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Y="-111"/>
        <w:tblW w:w="9834" w:type="dxa"/>
        <w:tblBorders>
          <w:top w:val="nil"/>
          <w:left w:val="nil"/>
          <w:bottom w:val="nil"/>
          <w:right w:val="nil"/>
        </w:tblBorders>
        <w:tblLayout w:type="fixed"/>
        <w:tblLook w:val="0000" w:firstRow="0" w:lastRow="0" w:firstColumn="0" w:lastColumn="0" w:noHBand="0" w:noVBand="0"/>
      </w:tblPr>
      <w:tblGrid>
        <w:gridCol w:w="9834"/>
      </w:tblGrid>
      <w:tr w:rsidR="004404CB" w:rsidRPr="00B56590" w:rsidTr="004404CB">
        <w:trPr>
          <w:trHeight w:val="362"/>
        </w:trPr>
        <w:tc>
          <w:tcPr>
            <w:tcW w:w="9834" w:type="dxa"/>
          </w:tcPr>
          <w:p w:rsidR="004404CB" w:rsidRPr="00E74908" w:rsidRDefault="007E0871" w:rsidP="00C345A0">
            <w:pPr>
              <w:pStyle w:val="Default"/>
              <w:rPr>
                <w:rFonts w:ascii="Times New Roman" w:hAnsi="Times New Roman"/>
                <w:lang w:val="en-US"/>
              </w:rPr>
            </w:pPr>
            <w:bookmarkStart w:id="0" w:name="_GoBack"/>
            <w:bookmarkEnd w:id="0"/>
            <w:r>
              <w:rPr>
                <w:rFonts w:ascii="Times New Roman" w:hAnsi="Times New Roman"/>
                <w:bCs/>
                <w:lang w:val="en-US"/>
              </w:rPr>
              <w:t>ESM</w:t>
            </w:r>
            <w:r w:rsidR="004404CB" w:rsidRPr="00E74908">
              <w:rPr>
                <w:rFonts w:ascii="Times New Roman" w:hAnsi="Times New Roman"/>
                <w:bCs/>
                <w:lang w:val="en-US"/>
              </w:rPr>
              <w:t xml:space="preserve">2: </w:t>
            </w:r>
            <w:r w:rsidR="004404CB" w:rsidRPr="00E74908">
              <w:rPr>
                <w:rFonts w:ascii="Times New Roman" w:hAnsi="Times New Roman"/>
                <w:b/>
                <w:bCs/>
                <w:lang w:val="en-US"/>
              </w:rPr>
              <w:t>Adapted version of the Cochrane Collaboration Tool for Assessing Risk of Bias</w:t>
            </w:r>
            <w:r w:rsidR="004404CB" w:rsidRPr="00E74908">
              <w:rPr>
                <w:rFonts w:ascii="Times New Roman" w:hAnsi="Times New Roman"/>
                <w:bCs/>
                <w:lang w:val="en-US"/>
              </w:rPr>
              <w:t xml:space="preserve">  </w:t>
            </w:r>
          </w:p>
        </w:tc>
      </w:tr>
      <w:tr w:rsidR="004404CB" w:rsidRPr="00B56590" w:rsidTr="004404CB">
        <w:trPr>
          <w:trHeight w:val="689"/>
        </w:trPr>
        <w:tc>
          <w:tcPr>
            <w:tcW w:w="9834" w:type="dxa"/>
          </w:tcPr>
          <w:p w:rsidR="004404CB" w:rsidRDefault="004404CB" w:rsidP="00C345A0">
            <w:pPr>
              <w:pStyle w:val="Default"/>
              <w:rPr>
                <w:rFonts w:ascii="Times New Roman" w:hAnsi="Times New Roman"/>
                <w:color w:val="auto"/>
                <w:lang w:val="en-US"/>
              </w:rPr>
            </w:pPr>
          </w:p>
          <w:p w:rsidR="004404CB" w:rsidRPr="00ED06F8" w:rsidRDefault="004404CB" w:rsidP="00C345A0">
            <w:pPr>
              <w:pStyle w:val="Default"/>
              <w:rPr>
                <w:rFonts w:ascii="Times New Roman" w:hAnsi="Times New Roman"/>
                <w:color w:val="auto"/>
                <w:lang w:val="en-US"/>
              </w:rPr>
            </w:pPr>
          </w:p>
          <w:p w:rsidR="004404CB" w:rsidRPr="00ED06F8" w:rsidRDefault="004404CB" w:rsidP="004404CB">
            <w:pPr>
              <w:pStyle w:val="Default"/>
              <w:numPr>
                <w:ilvl w:val="0"/>
                <w:numId w:val="1"/>
              </w:numPr>
              <w:rPr>
                <w:rFonts w:ascii="Times New Roman" w:hAnsi="Times New Roman"/>
                <w:lang w:val="en-US"/>
              </w:rPr>
            </w:pPr>
            <w:r w:rsidRPr="00ED06F8">
              <w:rPr>
                <w:rFonts w:ascii="Times New Roman" w:hAnsi="Times New Roman"/>
                <w:lang w:val="en-US"/>
              </w:rPr>
              <w:t>Was the method of randomization adequate, i.e. truly random?*</w:t>
            </w:r>
            <w:r w:rsidRPr="00ED06F8">
              <w:rPr>
                <w:rFonts w:ascii="Times New Roman" w:hAnsi="Times New Roman"/>
                <w:vertAlign w:val="superscript"/>
                <w:lang w:val="en-US"/>
              </w:rPr>
              <w:t>a</w:t>
            </w:r>
            <w:r w:rsidRPr="00ED06F8">
              <w:rPr>
                <w:rFonts w:ascii="Times New Roman" w:hAnsi="Times New Roman"/>
                <w:lang w:val="en-US"/>
              </w:rPr>
              <w:t xml:space="preserve"> </w:t>
            </w:r>
          </w:p>
          <w:p w:rsidR="004404CB" w:rsidRPr="00ED06F8" w:rsidRDefault="004404CB" w:rsidP="004404CB">
            <w:pPr>
              <w:pStyle w:val="Default"/>
              <w:numPr>
                <w:ilvl w:val="0"/>
                <w:numId w:val="1"/>
              </w:numPr>
              <w:rPr>
                <w:rFonts w:ascii="Times New Roman" w:hAnsi="Times New Roman"/>
                <w:lang w:val="en-US"/>
              </w:rPr>
            </w:pPr>
            <w:r w:rsidRPr="00ED06F8">
              <w:rPr>
                <w:rFonts w:ascii="Times New Roman" w:hAnsi="Times New Roman"/>
                <w:lang w:val="en-US"/>
              </w:rPr>
              <w:t>Was allocation concealed, i.e., could allocation to conditions have been influenced?*</w:t>
            </w:r>
            <w:r w:rsidRPr="00ED06F8">
              <w:rPr>
                <w:rFonts w:ascii="Times New Roman" w:hAnsi="Times New Roman"/>
                <w:vertAlign w:val="superscript"/>
                <w:lang w:val="en-US"/>
              </w:rPr>
              <w:t xml:space="preserve">a </w:t>
            </w:r>
          </w:p>
        </w:tc>
      </w:tr>
      <w:tr w:rsidR="004404CB" w:rsidRPr="00B56590" w:rsidTr="004404CB">
        <w:trPr>
          <w:trHeight w:val="689"/>
        </w:trPr>
        <w:tc>
          <w:tcPr>
            <w:tcW w:w="9834" w:type="dxa"/>
            <w:tcBorders>
              <w:left w:val="nil"/>
              <w:right w:val="nil"/>
            </w:tcBorders>
          </w:tcPr>
          <w:p w:rsidR="004404CB" w:rsidRPr="00ED06F8" w:rsidRDefault="004404CB" w:rsidP="004404CB">
            <w:pPr>
              <w:pStyle w:val="Default"/>
              <w:numPr>
                <w:ilvl w:val="0"/>
                <w:numId w:val="1"/>
              </w:numPr>
              <w:rPr>
                <w:rFonts w:ascii="Times New Roman" w:hAnsi="Times New Roman"/>
                <w:color w:val="auto"/>
                <w:lang w:val="en-US"/>
              </w:rPr>
            </w:pPr>
            <w:r w:rsidRPr="00ED06F8">
              <w:rPr>
                <w:rFonts w:ascii="Times New Roman" w:hAnsi="Times New Roman"/>
                <w:color w:val="auto"/>
                <w:lang w:val="en-US"/>
              </w:rPr>
              <w:t>Was the data analyst blinded (i.e., was the code only broken after conclusions were drawn)?</w:t>
            </w:r>
            <w:r w:rsidRPr="00ED06F8">
              <w:rPr>
                <w:rFonts w:ascii="Times New Roman" w:hAnsi="Times New Roman"/>
                <w:color w:val="auto"/>
                <w:vertAlign w:val="superscript"/>
                <w:lang w:val="en-US"/>
              </w:rPr>
              <w:t>a</w:t>
            </w:r>
            <w:r w:rsidRPr="00ED06F8">
              <w:rPr>
                <w:rFonts w:ascii="Times New Roman" w:hAnsi="Times New Roman"/>
                <w:color w:val="auto"/>
                <w:lang w:val="en-US"/>
              </w:rPr>
              <w:t xml:space="preserve"> </w:t>
            </w:r>
          </w:p>
          <w:p w:rsidR="004404CB" w:rsidRPr="00ED06F8" w:rsidRDefault="004404CB" w:rsidP="004404CB">
            <w:pPr>
              <w:pStyle w:val="Default"/>
              <w:numPr>
                <w:ilvl w:val="0"/>
                <w:numId w:val="1"/>
              </w:numPr>
              <w:rPr>
                <w:rFonts w:ascii="Times New Roman" w:hAnsi="Times New Roman"/>
                <w:color w:val="auto"/>
                <w:lang w:val="en-US"/>
              </w:rPr>
            </w:pPr>
            <w:r w:rsidRPr="00ED06F8">
              <w:rPr>
                <w:rFonts w:ascii="Times New Roman" w:hAnsi="Times New Roman"/>
                <w:color w:val="auto"/>
                <w:lang w:val="en-US"/>
              </w:rPr>
              <w:t xml:space="preserve">Were groups compared at baseline on at least one potential determinant of the outcomes (e.g., socio-demographics, medical characteristics and primary outcomes) and were the analyses properly controlled for differences?* </w:t>
            </w:r>
          </w:p>
          <w:p w:rsidR="004404CB" w:rsidRPr="00ED06F8" w:rsidRDefault="004404CB" w:rsidP="004404CB">
            <w:pPr>
              <w:pStyle w:val="Default"/>
              <w:numPr>
                <w:ilvl w:val="0"/>
                <w:numId w:val="1"/>
              </w:numPr>
              <w:rPr>
                <w:rFonts w:ascii="Times New Roman" w:hAnsi="Times New Roman"/>
                <w:color w:val="auto"/>
                <w:lang w:val="en-US"/>
              </w:rPr>
            </w:pPr>
            <w:r w:rsidRPr="00ED06F8">
              <w:rPr>
                <w:rFonts w:ascii="Times New Roman" w:hAnsi="Times New Roman"/>
                <w:color w:val="auto"/>
                <w:lang w:val="en-US"/>
              </w:rPr>
              <w:t xml:space="preserve">Was analysis done according to the intention-to-treat principle (i.e., were all allocated subjects included in the analysis, for example by data imputation)?* </w:t>
            </w:r>
          </w:p>
          <w:p w:rsidR="004404CB" w:rsidRPr="00ED06F8" w:rsidRDefault="004404CB" w:rsidP="004404CB">
            <w:pPr>
              <w:pStyle w:val="Default"/>
              <w:numPr>
                <w:ilvl w:val="0"/>
                <w:numId w:val="1"/>
              </w:numPr>
              <w:rPr>
                <w:rFonts w:ascii="Times New Roman" w:hAnsi="Times New Roman"/>
                <w:color w:val="auto"/>
                <w:lang w:val="en-US"/>
              </w:rPr>
            </w:pPr>
            <w:r w:rsidRPr="00ED06F8">
              <w:rPr>
                <w:rFonts w:ascii="Times New Roman" w:hAnsi="Times New Roman"/>
                <w:color w:val="auto"/>
                <w:lang w:val="en-US"/>
              </w:rPr>
              <w:t xml:space="preserve">Were validated measures used to assess at least one outcome of relevance to this review (i.e., by well-known questionnaires or reliable coding schemes)?* </w:t>
            </w:r>
          </w:p>
          <w:p w:rsidR="004404CB" w:rsidRPr="00ED06F8" w:rsidRDefault="004404CB" w:rsidP="004404CB">
            <w:pPr>
              <w:pStyle w:val="Default"/>
              <w:numPr>
                <w:ilvl w:val="0"/>
                <w:numId w:val="1"/>
              </w:numPr>
              <w:rPr>
                <w:rFonts w:ascii="Times New Roman" w:hAnsi="Times New Roman"/>
                <w:color w:val="auto"/>
                <w:lang w:val="en-US"/>
              </w:rPr>
            </w:pPr>
            <w:r w:rsidRPr="00ED06F8">
              <w:rPr>
                <w:rFonts w:ascii="Times New Roman" w:hAnsi="Times New Roman"/>
                <w:color w:val="auto"/>
                <w:lang w:val="en-US"/>
              </w:rPr>
              <w:t xml:space="preserve">Was the study sufficiently powered?* The fairly liberal criterion of Coyne et al. [95] was adopted, which means that based on a power of 55% and a medium effect size (d = 0.05), a sample size of more than 35 per condition is required, i.e., at least 35 respondents should be participating at the first follow-up assessment or, if applicable, for at least 35 respondents recordings of the consultation should be available. </w:t>
            </w:r>
          </w:p>
          <w:p w:rsidR="004404CB" w:rsidRPr="00ED06F8" w:rsidRDefault="004404CB" w:rsidP="004404CB">
            <w:pPr>
              <w:pStyle w:val="Default"/>
              <w:numPr>
                <w:ilvl w:val="0"/>
                <w:numId w:val="1"/>
              </w:numPr>
              <w:rPr>
                <w:rFonts w:ascii="Times New Roman" w:hAnsi="Times New Roman"/>
                <w:color w:val="auto"/>
                <w:lang w:val="en-US"/>
              </w:rPr>
            </w:pPr>
            <w:r w:rsidRPr="00ED06F8">
              <w:rPr>
                <w:rFonts w:ascii="Times New Roman" w:hAnsi="Times New Roman"/>
                <w:color w:val="auto"/>
                <w:lang w:val="en-US"/>
              </w:rPr>
              <w:t xml:space="preserve">Have all pre-specified (primary and secondary) outcomes been reported? </w:t>
            </w:r>
          </w:p>
          <w:p w:rsidR="004404CB" w:rsidRPr="00ED06F8" w:rsidRDefault="004404CB" w:rsidP="004404CB">
            <w:pPr>
              <w:pStyle w:val="Default"/>
              <w:numPr>
                <w:ilvl w:val="0"/>
                <w:numId w:val="1"/>
              </w:numPr>
              <w:rPr>
                <w:rFonts w:ascii="Times New Roman" w:hAnsi="Times New Roman"/>
                <w:color w:val="auto"/>
                <w:lang w:val="en-US"/>
              </w:rPr>
            </w:pPr>
            <w:r w:rsidRPr="00ED06F8">
              <w:rPr>
                <w:rFonts w:ascii="Times New Roman" w:hAnsi="Times New Roman"/>
                <w:color w:val="auto"/>
                <w:lang w:val="en-US"/>
              </w:rPr>
              <w:t xml:space="preserve">Does the study appears to be free of other bias? (i.e., bias due to problems not covered elsewhere in the checklist) </w:t>
            </w:r>
          </w:p>
          <w:p w:rsidR="004404CB" w:rsidRPr="00ED06F8" w:rsidRDefault="004404CB" w:rsidP="00C345A0">
            <w:pPr>
              <w:pStyle w:val="Default"/>
              <w:rPr>
                <w:rFonts w:ascii="Times New Roman" w:hAnsi="Times New Roman"/>
                <w:color w:val="auto"/>
                <w:lang w:val="en-US"/>
              </w:rPr>
            </w:pPr>
          </w:p>
        </w:tc>
      </w:tr>
      <w:tr w:rsidR="004404CB" w:rsidRPr="00B56590" w:rsidTr="004404CB">
        <w:trPr>
          <w:trHeight w:val="88"/>
        </w:trPr>
        <w:tc>
          <w:tcPr>
            <w:tcW w:w="9834" w:type="dxa"/>
            <w:tcBorders>
              <w:left w:val="nil"/>
              <w:bottom w:val="nil"/>
              <w:right w:val="nil"/>
            </w:tcBorders>
          </w:tcPr>
          <w:p w:rsidR="004404CB" w:rsidRPr="00ED06F8" w:rsidRDefault="004404CB" w:rsidP="00C345A0">
            <w:pPr>
              <w:pStyle w:val="Default"/>
              <w:rPr>
                <w:rFonts w:ascii="Times New Roman" w:hAnsi="Times New Roman"/>
                <w:color w:val="auto"/>
                <w:lang w:val="en-US"/>
              </w:rPr>
            </w:pPr>
            <w:r w:rsidRPr="00ED06F8">
              <w:rPr>
                <w:rFonts w:ascii="Times New Roman" w:hAnsi="Times New Roman"/>
                <w:color w:val="auto"/>
                <w:lang w:val="en-US"/>
              </w:rPr>
              <w:t xml:space="preserve">* Among the criteria of Cochrane Collaboration Consumer and Communication review group, adapted </w:t>
            </w:r>
            <w:r w:rsidRPr="00AC6E0D">
              <w:rPr>
                <w:rFonts w:ascii="Times New Roman" w:hAnsi="Times New Roman"/>
                <w:color w:val="auto"/>
                <w:lang w:val="en-US"/>
              </w:rPr>
              <w:t xml:space="preserve">by </w:t>
            </w:r>
            <w:r w:rsidR="00AC6E0D" w:rsidRPr="00AC6E0D">
              <w:rPr>
                <w:rFonts w:ascii="Times New Roman" w:hAnsi="Times New Roman"/>
                <w:color w:val="auto"/>
                <w:lang w:val="en-US"/>
              </w:rPr>
              <w:t>Henselmans et al.</w:t>
            </w:r>
            <w:r w:rsidRPr="00AC6E0D">
              <w:rPr>
                <w:rFonts w:ascii="Times New Roman" w:hAnsi="Times New Roman"/>
                <w:color w:val="auto"/>
                <w:lang w:val="en-US"/>
              </w:rPr>
              <w:t xml:space="preserve"> </w:t>
            </w:r>
            <w:r w:rsidR="00AC6E0D" w:rsidRPr="00AC6E0D">
              <w:rPr>
                <w:rFonts w:ascii="Times New Roman" w:hAnsi="Times New Roman"/>
                <w:color w:val="auto"/>
                <w:lang w:val="en-US"/>
              </w:rPr>
              <w:fldChar w:fldCharType="begin"/>
            </w:r>
            <w:r w:rsidR="00AC6E0D" w:rsidRPr="00AC6E0D">
              <w:rPr>
                <w:rFonts w:ascii="Times New Roman" w:hAnsi="Times New Roman"/>
                <w:color w:val="auto"/>
                <w:lang w:val="en-US"/>
              </w:rPr>
              <w:instrText xml:space="preserve"> ADDIN EN.CITE &lt;EndNote&gt;&lt;Cite&gt;&lt;Author&gt;Henselmans&lt;/Author&gt;&lt;Year&gt;2013&lt;/Year&gt;&lt;RecNum&gt;46&lt;/RecNum&gt;&lt;DisplayText&gt;(1)&lt;/DisplayText&gt;&lt;record&gt;&lt;rec-number&gt;46&lt;/rec-number&gt;&lt;foreign-keys&gt;&lt;key app="EN" db-id="t2t5sszwbrtez1ex004pfsdtx9dzptfweeta" timestamp="1557483693"&gt;46&lt;/key&gt;&lt;/foreign-keys&gt;&lt;ref-type name="Journal Article"&gt;17&lt;/ref-type&gt;&lt;contributors&gt;&lt;authors&gt;&lt;author&gt;Henselmans, Inge&lt;/author&gt;&lt;author&gt;de Haes, Hanneke CJM&lt;/author&gt;&lt;author&gt;Smets, Ellen MA %J Psycho</w:instrText>
            </w:r>
            <w:r w:rsidR="00AC6E0D" w:rsidRPr="00AC6E0D">
              <w:rPr>
                <w:rFonts w:ascii="Cambria Math" w:hAnsi="Cambria Math" w:cs="Cambria Math"/>
                <w:color w:val="auto"/>
                <w:lang w:val="en-US"/>
              </w:rPr>
              <w:instrText>‐</w:instrText>
            </w:r>
            <w:r w:rsidR="00AC6E0D" w:rsidRPr="00AC6E0D">
              <w:rPr>
                <w:rFonts w:ascii="Times New Roman" w:hAnsi="Times New Roman"/>
                <w:color w:val="auto"/>
                <w:lang w:val="en-US"/>
              </w:rPr>
              <w:instrText>Oncology&lt;/author&gt;&lt;/authors&gt;&lt;/contributors&gt;&lt;titles&gt;&lt;title&gt;Enhancing patient participation in oncology consultations: a best evidence synthesis of patient</w:instrText>
            </w:r>
            <w:r w:rsidR="00AC6E0D" w:rsidRPr="00AC6E0D">
              <w:rPr>
                <w:rFonts w:ascii="Cambria Math" w:hAnsi="Cambria Math" w:cs="Cambria Math"/>
                <w:color w:val="auto"/>
                <w:lang w:val="en-US"/>
              </w:rPr>
              <w:instrText>‐</w:instrText>
            </w:r>
            <w:r w:rsidR="00AC6E0D" w:rsidRPr="00AC6E0D">
              <w:rPr>
                <w:rFonts w:ascii="Times New Roman" w:hAnsi="Times New Roman"/>
                <w:color w:val="auto"/>
                <w:lang w:val="en-US"/>
              </w:rPr>
              <w:instrText>targeted interventions&lt;/title&gt;&lt;/titles&gt;&lt;pages&gt;961-977&lt;/pages&gt;&lt;volume&gt;22&lt;/volume&gt;&lt;number&gt;5&lt;/number&gt;&lt;dates&gt;&lt;year&gt;2013&lt;/year&gt;&lt;/dates&gt;&lt;isbn&gt;1057-9249&lt;/isbn&gt;&lt;urls&gt;&lt;related-urls&gt;&lt;url&gt;https://onlinelibrary.wiley.com/doi/pdf/10.1002/pon.3099&lt;/url&gt;&lt;/related-urls&gt;&lt;/urls&gt;&lt;/record&gt;&lt;/Cite&gt;&lt;/EndNote&gt;</w:instrText>
            </w:r>
            <w:r w:rsidR="00AC6E0D" w:rsidRPr="00AC6E0D">
              <w:rPr>
                <w:rFonts w:ascii="Times New Roman" w:hAnsi="Times New Roman"/>
                <w:color w:val="auto"/>
                <w:lang w:val="en-US"/>
              </w:rPr>
              <w:fldChar w:fldCharType="separate"/>
            </w:r>
            <w:r w:rsidR="00AC6E0D" w:rsidRPr="00AC6E0D">
              <w:rPr>
                <w:rFonts w:ascii="Times New Roman" w:hAnsi="Times New Roman"/>
                <w:noProof/>
                <w:color w:val="auto"/>
                <w:lang w:val="en-US"/>
              </w:rPr>
              <w:t>(1)</w:t>
            </w:r>
            <w:r w:rsidR="00AC6E0D" w:rsidRPr="00AC6E0D">
              <w:rPr>
                <w:rFonts w:ascii="Times New Roman" w:hAnsi="Times New Roman"/>
                <w:color w:val="auto"/>
                <w:lang w:val="en-US"/>
              </w:rPr>
              <w:fldChar w:fldCharType="end"/>
            </w:r>
          </w:p>
          <w:p w:rsidR="004404CB" w:rsidRPr="00ED06F8" w:rsidRDefault="004404CB" w:rsidP="00C345A0">
            <w:pPr>
              <w:pStyle w:val="Default"/>
              <w:rPr>
                <w:rFonts w:ascii="Times New Roman" w:hAnsi="Times New Roman"/>
                <w:color w:val="auto"/>
                <w:lang w:val="en-US"/>
              </w:rPr>
            </w:pPr>
            <w:proofErr w:type="gramStart"/>
            <w:r w:rsidRPr="00ED06F8">
              <w:rPr>
                <w:rFonts w:ascii="Times New Roman" w:hAnsi="Times New Roman"/>
                <w:color w:val="auto"/>
                <w:vertAlign w:val="superscript"/>
                <w:lang w:val="en-US"/>
              </w:rPr>
              <w:t>a</w:t>
            </w:r>
            <w:proofErr w:type="gramEnd"/>
            <w:r w:rsidRPr="00ED06F8">
              <w:rPr>
                <w:rFonts w:ascii="Times New Roman" w:hAnsi="Times New Roman"/>
                <w:color w:val="auto"/>
                <w:lang w:val="en-US"/>
              </w:rPr>
              <w:t xml:space="preserve"> Considered fulfilled when called random, concealed or blinded by authors or when the text explicitly refers to such methods (such as mention of ‘sealed opaque envelopes’, a cover story for patients in the control group or separate consent forms). </w:t>
            </w:r>
          </w:p>
          <w:p w:rsidR="004404CB" w:rsidRPr="00ED06F8" w:rsidRDefault="004404CB" w:rsidP="00C345A0">
            <w:pPr>
              <w:pStyle w:val="Default"/>
              <w:rPr>
                <w:rFonts w:ascii="Times New Roman" w:hAnsi="Times New Roman"/>
                <w:color w:val="auto"/>
                <w:lang w:val="en-US"/>
              </w:rPr>
            </w:pPr>
            <w:proofErr w:type="gramStart"/>
            <w:r w:rsidRPr="00ED06F8">
              <w:rPr>
                <w:rFonts w:ascii="Times New Roman" w:hAnsi="Times New Roman"/>
                <w:color w:val="auto"/>
                <w:vertAlign w:val="superscript"/>
                <w:lang w:val="en-US"/>
              </w:rPr>
              <w:t>b</w:t>
            </w:r>
            <w:proofErr w:type="gramEnd"/>
            <w:r w:rsidRPr="00ED06F8">
              <w:rPr>
                <w:rFonts w:ascii="Times New Roman" w:hAnsi="Times New Roman"/>
                <w:color w:val="auto"/>
                <w:lang w:val="en-US"/>
              </w:rPr>
              <w:t xml:space="preserve"> With respect to the multiple criteria of blinding, we decided to exclude the criterion of blinding the doctor, the patient and the outcome assessor. In most studies, blinding of the ‘doctor’ or the ‘patient’ was not possible due to the nature of the intervention. Also in most studies, patients themselves were among the outcome assessors. </w:t>
            </w:r>
          </w:p>
        </w:tc>
      </w:tr>
    </w:tbl>
    <w:p w:rsidR="00AC6E0D" w:rsidRDefault="00AC6E0D"/>
    <w:p w:rsidR="00AC6E0D" w:rsidRDefault="00AC6E0D">
      <w:r>
        <w:t>REFERENCES</w:t>
      </w:r>
    </w:p>
    <w:p w:rsidR="00AC6E0D" w:rsidRPr="00AC6E0D" w:rsidRDefault="00AC6E0D" w:rsidP="00AC6E0D">
      <w:pPr>
        <w:pStyle w:val="EndNoteBibliography"/>
        <w:framePr w:wrap="around"/>
      </w:pPr>
      <w:r>
        <w:fldChar w:fldCharType="begin"/>
      </w:r>
      <w:r w:rsidRPr="006B4508">
        <w:rPr>
          <w:lang w:val="en-US"/>
        </w:rPr>
        <w:instrText xml:space="preserve"> ADDIN EN.REFLIST </w:instrText>
      </w:r>
      <w:r>
        <w:fldChar w:fldCharType="separate"/>
      </w:r>
      <w:r w:rsidRPr="006B4508">
        <w:rPr>
          <w:lang w:val="en-US"/>
        </w:rPr>
        <w:t>1.</w:t>
      </w:r>
      <w:r w:rsidRPr="006B4508">
        <w:rPr>
          <w:lang w:val="en-US"/>
        </w:rPr>
        <w:tab/>
        <w:t xml:space="preserve">Henselmans I, de Haes HC, Smets EMJPO. </w:t>
      </w:r>
      <w:r w:rsidRPr="00AC6E0D">
        <w:t>Enhancing patient participation in oncology consultations: a best evidence synthesis of patient</w:t>
      </w:r>
      <w:r w:rsidRPr="00AC6E0D">
        <w:rPr>
          <w:rFonts w:ascii="Cambria Math" w:hAnsi="Cambria Math" w:cs="Cambria Math"/>
        </w:rPr>
        <w:t>‐</w:t>
      </w:r>
      <w:r w:rsidRPr="00AC6E0D">
        <w:t>targeted interventions. 2013;22(5):961-77.</w:t>
      </w:r>
    </w:p>
    <w:p w:rsidR="006B4508" w:rsidRDefault="00AC6E0D">
      <w:r>
        <w:fldChar w:fldCharType="end"/>
      </w:r>
    </w:p>
    <w:p w:rsidR="006B4508" w:rsidRDefault="006B4508">
      <w:pPr>
        <w:spacing w:after="200" w:line="276" w:lineRule="auto"/>
      </w:pPr>
      <w:r>
        <w:br w:type="page"/>
      </w:r>
    </w:p>
    <w:p w:rsidR="006B4508" w:rsidRPr="00B3694A" w:rsidRDefault="006B4508" w:rsidP="006B4508">
      <w:pPr>
        <w:spacing w:line="276" w:lineRule="auto"/>
        <w:rPr>
          <w:color w:val="595959" w:themeColor="text1" w:themeTint="A6"/>
          <w:sz w:val="20"/>
          <w:szCs w:val="20"/>
          <w:lang w:val="en-US"/>
        </w:rPr>
      </w:pPr>
      <w:r w:rsidRPr="00B3694A">
        <w:rPr>
          <w:color w:val="595959" w:themeColor="text1" w:themeTint="A6"/>
          <w:sz w:val="20"/>
          <w:szCs w:val="20"/>
        </w:rPr>
        <w:lastRenderedPageBreak/>
        <w:t>A</w:t>
      </w:r>
      <w:proofErr w:type="spellStart"/>
      <w:r w:rsidRPr="00B3694A">
        <w:rPr>
          <w:color w:val="595959" w:themeColor="text1" w:themeTint="A6"/>
          <w:sz w:val="20"/>
          <w:szCs w:val="20"/>
          <w:lang w:val="en-US"/>
        </w:rPr>
        <w:t>rticle</w:t>
      </w:r>
      <w:proofErr w:type="spellEnd"/>
      <w:r w:rsidRPr="00B3694A">
        <w:rPr>
          <w:color w:val="595959" w:themeColor="text1" w:themeTint="A6"/>
          <w:sz w:val="20"/>
          <w:szCs w:val="20"/>
          <w:lang w:val="en-US"/>
        </w:rPr>
        <w:t xml:space="preserve"> title: Communicating treatment risks and benefits to cancer p</w:t>
      </w:r>
      <w:r>
        <w:rPr>
          <w:color w:val="595959" w:themeColor="text1" w:themeTint="A6"/>
          <w:sz w:val="20"/>
          <w:szCs w:val="20"/>
          <w:lang w:val="en-US"/>
        </w:rPr>
        <w:t xml:space="preserve">atients: a systematic review of </w:t>
      </w:r>
      <w:r w:rsidRPr="00B3694A">
        <w:rPr>
          <w:color w:val="595959" w:themeColor="text1" w:themeTint="A6"/>
          <w:sz w:val="20"/>
          <w:szCs w:val="20"/>
          <w:lang w:val="en-US"/>
        </w:rPr>
        <w:t>communication methods.</w:t>
      </w:r>
    </w:p>
    <w:p w:rsidR="006B4508" w:rsidRPr="006B4508" w:rsidRDefault="006B4508" w:rsidP="006B4508">
      <w:pPr>
        <w:spacing w:line="276" w:lineRule="auto"/>
        <w:rPr>
          <w:color w:val="595959" w:themeColor="text1" w:themeTint="A6"/>
          <w:sz w:val="20"/>
          <w:szCs w:val="20"/>
          <w:lang w:val="nl-NL"/>
        </w:rPr>
      </w:pPr>
      <w:r w:rsidRPr="006B4508">
        <w:rPr>
          <w:color w:val="595959" w:themeColor="text1" w:themeTint="A6"/>
          <w:sz w:val="20"/>
          <w:szCs w:val="20"/>
          <w:lang w:val="nl-NL"/>
        </w:rPr>
        <w:t>Journal: Quality of Life Research</w:t>
      </w:r>
    </w:p>
    <w:p w:rsidR="006B4508" w:rsidRPr="00B3694A" w:rsidRDefault="006B4508" w:rsidP="006B4508">
      <w:pPr>
        <w:spacing w:line="276" w:lineRule="auto"/>
        <w:rPr>
          <w:color w:val="595959" w:themeColor="text1" w:themeTint="A6"/>
          <w:sz w:val="20"/>
          <w:szCs w:val="20"/>
          <w:vertAlign w:val="superscript"/>
          <w:lang w:val="nl-NL"/>
        </w:rPr>
      </w:pPr>
      <w:r w:rsidRPr="00B3694A">
        <w:rPr>
          <w:color w:val="595959" w:themeColor="text1" w:themeTint="A6"/>
          <w:sz w:val="20"/>
          <w:szCs w:val="20"/>
          <w:lang w:val="nl-NL"/>
        </w:rPr>
        <w:t>Author names: L.F. van de Water</w:t>
      </w:r>
      <w:r w:rsidRPr="00B3694A">
        <w:rPr>
          <w:color w:val="595959" w:themeColor="text1" w:themeTint="A6"/>
          <w:sz w:val="20"/>
          <w:szCs w:val="20"/>
          <w:vertAlign w:val="superscript"/>
          <w:lang w:val="nl-NL"/>
        </w:rPr>
        <w:t>1,2</w:t>
      </w:r>
      <w:r w:rsidRPr="00B3694A">
        <w:rPr>
          <w:color w:val="595959" w:themeColor="text1" w:themeTint="A6"/>
          <w:sz w:val="20"/>
          <w:szCs w:val="20"/>
          <w:lang w:val="nl-NL"/>
        </w:rPr>
        <w:t>, J. J. van Kleef</w:t>
      </w:r>
      <w:r w:rsidRPr="00B3694A">
        <w:rPr>
          <w:color w:val="595959" w:themeColor="text1" w:themeTint="A6"/>
          <w:sz w:val="20"/>
          <w:szCs w:val="20"/>
          <w:vertAlign w:val="superscript"/>
          <w:lang w:val="nl-NL"/>
        </w:rPr>
        <w:t>1,2</w:t>
      </w:r>
      <w:r w:rsidRPr="00B3694A">
        <w:rPr>
          <w:color w:val="595959" w:themeColor="text1" w:themeTint="A6"/>
          <w:sz w:val="20"/>
          <w:szCs w:val="20"/>
          <w:lang w:val="nl-NL"/>
        </w:rPr>
        <w:t>, I. Henselmans</w:t>
      </w:r>
      <w:r w:rsidRPr="00B3694A">
        <w:rPr>
          <w:color w:val="595959" w:themeColor="text1" w:themeTint="A6"/>
          <w:sz w:val="20"/>
          <w:szCs w:val="20"/>
          <w:vertAlign w:val="superscript"/>
          <w:lang w:val="nl-NL"/>
        </w:rPr>
        <w:t>2</w:t>
      </w:r>
      <w:r w:rsidRPr="00B3694A">
        <w:rPr>
          <w:color w:val="595959" w:themeColor="text1" w:themeTint="A6"/>
          <w:sz w:val="20"/>
          <w:szCs w:val="20"/>
          <w:lang w:val="nl-NL"/>
        </w:rPr>
        <w:t>, H.G. van den Boorn</w:t>
      </w:r>
      <w:r w:rsidRPr="00B3694A">
        <w:rPr>
          <w:color w:val="595959" w:themeColor="text1" w:themeTint="A6"/>
          <w:sz w:val="20"/>
          <w:szCs w:val="20"/>
          <w:vertAlign w:val="superscript"/>
          <w:lang w:val="nl-NL"/>
        </w:rPr>
        <w:t>1</w:t>
      </w:r>
      <w:r w:rsidRPr="00B3694A">
        <w:rPr>
          <w:color w:val="595959" w:themeColor="text1" w:themeTint="A6"/>
          <w:sz w:val="20"/>
          <w:szCs w:val="20"/>
          <w:lang w:val="nl-NL"/>
        </w:rPr>
        <w:t>, N.M. Vaarzon Morel</w:t>
      </w:r>
      <w:r w:rsidRPr="00B3694A">
        <w:rPr>
          <w:color w:val="595959" w:themeColor="text1" w:themeTint="A6"/>
          <w:sz w:val="20"/>
          <w:szCs w:val="20"/>
          <w:vertAlign w:val="superscript"/>
          <w:lang w:val="nl-NL"/>
        </w:rPr>
        <w:t>1</w:t>
      </w:r>
      <w:r w:rsidRPr="00B3694A">
        <w:rPr>
          <w:color w:val="595959" w:themeColor="text1" w:themeTint="A6"/>
          <w:sz w:val="20"/>
          <w:szCs w:val="20"/>
          <w:lang w:val="nl-NL"/>
        </w:rPr>
        <w:t>, K. F. Schut</w:t>
      </w:r>
      <w:r w:rsidRPr="00B3694A">
        <w:rPr>
          <w:color w:val="595959" w:themeColor="text1" w:themeTint="A6"/>
          <w:sz w:val="20"/>
          <w:szCs w:val="20"/>
          <w:vertAlign w:val="superscript"/>
          <w:lang w:val="nl-NL"/>
        </w:rPr>
        <w:t>1</w:t>
      </w:r>
      <w:r w:rsidRPr="00B3694A">
        <w:rPr>
          <w:color w:val="595959" w:themeColor="text1" w:themeTint="A6"/>
          <w:sz w:val="20"/>
          <w:szCs w:val="20"/>
          <w:lang w:val="nl-NL"/>
        </w:rPr>
        <w:t>, J. G. Daams</w:t>
      </w:r>
      <w:r w:rsidRPr="00B3694A">
        <w:rPr>
          <w:color w:val="595959" w:themeColor="text1" w:themeTint="A6"/>
          <w:sz w:val="20"/>
          <w:szCs w:val="20"/>
          <w:vertAlign w:val="superscript"/>
          <w:lang w:val="nl-NL"/>
        </w:rPr>
        <w:t>3</w:t>
      </w:r>
      <w:r w:rsidRPr="00B3694A">
        <w:rPr>
          <w:color w:val="595959" w:themeColor="text1" w:themeTint="A6"/>
          <w:sz w:val="20"/>
          <w:szCs w:val="20"/>
          <w:lang w:val="nl-NL"/>
        </w:rPr>
        <w:t>, E.M.A Smets</w:t>
      </w:r>
      <w:r w:rsidRPr="00B3694A">
        <w:rPr>
          <w:color w:val="595959" w:themeColor="text1" w:themeTint="A6"/>
          <w:sz w:val="20"/>
          <w:szCs w:val="20"/>
          <w:vertAlign w:val="superscript"/>
          <w:lang w:val="nl-NL"/>
        </w:rPr>
        <w:t>2</w:t>
      </w:r>
      <w:r w:rsidRPr="00B3694A">
        <w:rPr>
          <w:color w:val="595959" w:themeColor="text1" w:themeTint="A6"/>
          <w:sz w:val="20"/>
          <w:szCs w:val="20"/>
          <w:lang w:val="nl-NL"/>
        </w:rPr>
        <w:t>, H.W.M. van Laarhoven</w:t>
      </w:r>
      <w:r w:rsidRPr="00B3694A">
        <w:rPr>
          <w:color w:val="595959" w:themeColor="text1" w:themeTint="A6"/>
          <w:sz w:val="20"/>
          <w:szCs w:val="20"/>
          <w:vertAlign w:val="superscript"/>
          <w:lang w:val="nl-NL"/>
        </w:rPr>
        <w:t>1</w:t>
      </w:r>
      <w:r w:rsidRPr="00B3694A">
        <w:rPr>
          <w:color w:val="595959" w:themeColor="text1" w:themeTint="A6"/>
          <w:sz w:val="20"/>
          <w:szCs w:val="20"/>
          <w:lang w:val="nl-NL"/>
        </w:rPr>
        <w:t>*</w:t>
      </w:r>
    </w:p>
    <w:p w:rsidR="006B4508" w:rsidRPr="00B3694A" w:rsidRDefault="006B4508" w:rsidP="006B4508">
      <w:pPr>
        <w:numPr>
          <w:ilvl w:val="0"/>
          <w:numId w:val="2"/>
        </w:numPr>
        <w:spacing w:line="276" w:lineRule="auto"/>
        <w:rPr>
          <w:i/>
          <w:color w:val="595959" w:themeColor="text1" w:themeTint="A6"/>
          <w:sz w:val="20"/>
          <w:szCs w:val="20"/>
          <w:lang w:val="en-US"/>
        </w:rPr>
      </w:pPr>
      <w:r w:rsidRPr="00B3694A">
        <w:rPr>
          <w:i/>
          <w:color w:val="595959" w:themeColor="text1" w:themeTint="A6"/>
          <w:sz w:val="20"/>
          <w:szCs w:val="20"/>
          <w:lang w:val="en-US"/>
        </w:rPr>
        <w:t xml:space="preserve">Amsterdam University Medical Centers, Cancer Center Amsterdam, Department of Medical Oncology, University of Amsterdam, Amsterdam, the Netherlands </w:t>
      </w:r>
    </w:p>
    <w:p w:rsidR="006B4508" w:rsidRPr="00B3694A" w:rsidRDefault="006B4508" w:rsidP="006B4508">
      <w:pPr>
        <w:numPr>
          <w:ilvl w:val="0"/>
          <w:numId w:val="2"/>
        </w:numPr>
        <w:spacing w:line="276" w:lineRule="auto"/>
        <w:rPr>
          <w:i/>
          <w:color w:val="595959" w:themeColor="text1" w:themeTint="A6"/>
          <w:sz w:val="20"/>
          <w:szCs w:val="20"/>
          <w:lang w:val="en-US"/>
        </w:rPr>
      </w:pPr>
      <w:r w:rsidRPr="00B3694A">
        <w:rPr>
          <w:i/>
          <w:color w:val="595959" w:themeColor="text1" w:themeTint="A6"/>
          <w:sz w:val="20"/>
          <w:szCs w:val="20"/>
          <w:lang w:val="en-US"/>
        </w:rPr>
        <w:t xml:space="preserve">Amsterdam Public Health, Amsterdam University Medical Centers, Department of Medical Psychology, University of Amsterdam, Amsterdam, the Netherlands </w:t>
      </w:r>
    </w:p>
    <w:p w:rsidR="006B4508" w:rsidRPr="00B3694A" w:rsidRDefault="006B4508" w:rsidP="006B4508">
      <w:pPr>
        <w:numPr>
          <w:ilvl w:val="0"/>
          <w:numId w:val="2"/>
        </w:numPr>
        <w:spacing w:line="276" w:lineRule="auto"/>
        <w:rPr>
          <w:i/>
          <w:color w:val="595959" w:themeColor="text1" w:themeTint="A6"/>
          <w:sz w:val="20"/>
          <w:szCs w:val="20"/>
          <w:lang w:val="en-US"/>
        </w:rPr>
      </w:pPr>
      <w:r w:rsidRPr="00B3694A">
        <w:rPr>
          <w:i/>
          <w:color w:val="595959" w:themeColor="text1" w:themeTint="A6"/>
          <w:sz w:val="20"/>
          <w:szCs w:val="20"/>
          <w:lang w:val="en-US"/>
        </w:rPr>
        <w:t>Amsterdam University Medical Centers, Medical Library, University of Amsterdam, Amsterdam, the Netherlands.</w:t>
      </w:r>
    </w:p>
    <w:p w:rsidR="00514001" w:rsidRPr="006B4508" w:rsidRDefault="006B4508" w:rsidP="006B4508">
      <w:pPr>
        <w:rPr>
          <w:lang w:val="nl-NL"/>
        </w:rPr>
      </w:pPr>
      <w:r w:rsidRPr="00B3694A">
        <w:rPr>
          <w:color w:val="595959" w:themeColor="text1" w:themeTint="A6"/>
          <w:sz w:val="20"/>
          <w:szCs w:val="20"/>
          <w:lang w:val="nl-NL"/>
        </w:rPr>
        <w:t xml:space="preserve">Corresponding author: H.W.M. van Laarhoven, </w:t>
      </w:r>
      <w:r w:rsidRPr="006B4508">
        <w:rPr>
          <w:color w:val="595959" w:themeColor="text1" w:themeTint="A6"/>
          <w:sz w:val="20"/>
          <w:szCs w:val="20"/>
          <w:lang w:val="nl-NL"/>
        </w:rPr>
        <w:t>h.vanlaarhoven@amsterdamumc.nl</w:t>
      </w:r>
    </w:p>
    <w:sectPr w:rsidR="00514001" w:rsidRPr="006B45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276FFC"/>
    <w:multiLevelType w:val="hybridMultilevel"/>
    <w:tmpl w:val="5B00898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6A2A2725"/>
    <w:multiLevelType w:val="hybridMultilevel"/>
    <w:tmpl w:val="E63E80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LM&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2t5sszwbrtez1ex004pfsdtx9dzptfweeta&quot;&gt;My EndNote Library&lt;record-ids&gt;&lt;item&gt;46&lt;/item&gt;&lt;/record-ids&gt;&lt;/item&gt;&lt;/Libraries&gt;"/>
  </w:docVars>
  <w:rsids>
    <w:rsidRoot w:val="004404CB"/>
    <w:rsid w:val="004404CB"/>
    <w:rsid w:val="00514001"/>
    <w:rsid w:val="0052431D"/>
    <w:rsid w:val="006B4508"/>
    <w:rsid w:val="007E0871"/>
    <w:rsid w:val="0085537D"/>
    <w:rsid w:val="00980EB4"/>
    <w:rsid w:val="00AC6E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9A22FC-4CFB-47CB-853F-C0EA0F25C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04CB"/>
    <w:pPr>
      <w:spacing w:after="0" w:line="48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4404CB"/>
    <w:pPr>
      <w:autoSpaceDE w:val="0"/>
      <w:autoSpaceDN w:val="0"/>
      <w:adjustRightInd w:val="0"/>
      <w:spacing w:after="0" w:line="240" w:lineRule="auto"/>
    </w:pPr>
    <w:rPr>
      <w:rFonts w:ascii="Calibri" w:eastAsia="Calibri" w:hAnsi="Calibri" w:cs="Times New Roman"/>
      <w:color w:val="000000"/>
      <w:sz w:val="24"/>
      <w:szCs w:val="24"/>
      <w:lang w:eastAsia="nl-NL"/>
    </w:rPr>
  </w:style>
  <w:style w:type="character" w:customStyle="1" w:styleId="DefaultChar">
    <w:name w:val="Default Char"/>
    <w:link w:val="Default"/>
    <w:rsid w:val="004404CB"/>
    <w:rPr>
      <w:rFonts w:ascii="Calibri" w:eastAsia="Calibri" w:hAnsi="Calibri" w:cs="Times New Roman"/>
      <w:color w:val="000000"/>
      <w:sz w:val="24"/>
      <w:szCs w:val="24"/>
      <w:lang w:eastAsia="nl-NL"/>
    </w:rPr>
  </w:style>
  <w:style w:type="paragraph" w:customStyle="1" w:styleId="EndNoteBibliographyTitle">
    <w:name w:val="EndNote Bibliography Title"/>
    <w:basedOn w:val="Normal"/>
    <w:link w:val="EndNoteBibliographyTitleChar"/>
    <w:rsid w:val="00AC6E0D"/>
    <w:pPr>
      <w:framePr w:hSpace="141" w:wrap="around" w:vAnchor="text" w:hAnchor="margin" w:y="-111"/>
      <w:jc w:val="center"/>
    </w:pPr>
    <w:rPr>
      <w:noProof/>
    </w:rPr>
  </w:style>
  <w:style w:type="character" w:customStyle="1" w:styleId="EndNoteBibliographyTitleChar">
    <w:name w:val="EndNote Bibliography Title Char"/>
    <w:basedOn w:val="DefaultChar"/>
    <w:link w:val="EndNoteBibliographyTitle"/>
    <w:rsid w:val="00AC6E0D"/>
    <w:rPr>
      <w:rFonts w:ascii="Times New Roman" w:eastAsia="Times New Roman" w:hAnsi="Times New Roman" w:cs="Times New Roman"/>
      <w:noProof/>
      <w:color w:val="000000"/>
      <w:sz w:val="24"/>
      <w:szCs w:val="24"/>
      <w:lang w:val="en-GB" w:eastAsia="en-GB"/>
    </w:rPr>
  </w:style>
  <w:style w:type="paragraph" w:customStyle="1" w:styleId="EndNoteBibliography">
    <w:name w:val="EndNote Bibliography"/>
    <w:basedOn w:val="Normal"/>
    <w:link w:val="EndNoteBibliographyChar"/>
    <w:rsid w:val="00AC6E0D"/>
    <w:pPr>
      <w:framePr w:hSpace="141" w:wrap="around" w:vAnchor="text" w:hAnchor="margin" w:y="-111"/>
      <w:spacing w:line="240" w:lineRule="auto"/>
    </w:pPr>
    <w:rPr>
      <w:noProof/>
    </w:rPr>
  </w:style>
  <w:style w:type="character" w:customStyle="1" w:styleId="EndNoteBibliographyChar">
    <w:name w:val="EndNote Bibliography Char"/>
    <w:basedOn w:val="DefaultChar"/>
    <w:link w:val="EndNoteBibliography"/>
    <w:rsid w:val="00AC6E0D"/>
    <w:rPr>
      <w:rFonts w:ascii="Times New Roman" w:eastAsia="Times New Roman" w:hAnsi="Times New Roman" w:cs="Times New Roman"/>
      <w:noProof/>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616</Words>
  <Characters>3514</Characters>
  <Application>Microsoft Office Word</Application>
  <DocSecurity>0</DocSecurity>
  <Lines>29</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AMC</Company>
  <LinksUpToDate>false</LinksUpToDate>
  <CharactersWithSpaces>4122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Water, L.F. van de</dc:creator>
  <cp:keywords/>
  <dc:description/>
  <cp:lastModifiedBy>Nandhini N.</cp:lastModifiedBy>
  <cp:revision>2</cp:revision>
  <dcterms:created xsi:type="dcterms:W3CDTF">2020-04-14T04:13:00Z</dcterms:created>
  <dcterms:modified xsi:type="dcterms:W3CDTF">2020-04-14T04:13:00Z</dcterms:modified>
</cp:coreProperties>
</file>