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C1D" w:rsidRPr="00FB5149" w:rsidRDefault="00973C1D" w:rsidP="00973C1D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FB5149">
        <w:rPr>
          <w:rFonts w:ascii="Times New Roman" w:hAnsi="Times New Roman" w:cs="Times New Roman"/>
          <w:b/>
          <w:sz w:val="24"/>
          <w:lang w:val="en-GB"/>
        </w:rPr>
        <w:t>SUPPLEMENTAL MATERIALS TO:</w:t>
      </w:r>
    </w:p>
    <w:p w:rsidR="00973C1D" w:rsidRDefault="00973C1D" w:rsidP="00973C1D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FB5149">
        <w:rPr>
          <w:rFonts w:ascii="Times New Roman" w:hAnsi="Times New Roman" w:cs="Times New Roman"/>
          <w:b/>
          <w:sz w:val="24"/>
          <w:lang w:val="en-GB"/>
        </w:rPr>
        <w:t>RESPONSE SHIFT AFTER CORONARY REVASCULARIZATION</w:t>
      </w:r>
    </w:p>
    <w:p w:rsidR="00973C1D" w:rsidRDefault="00973C1D" w:rsidP="00973C1D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C538E0">
        <w:rPr>
          <w:rFonts w:ascii="Times New Roman" w:hAnsi="Times New Roman" w:cs="Times New Roman"/>
          <w:sz w:val="24"/>
          <w:szCs w:val="24"/>
          <w:lang w:val="en-GB"/>
        </w:rPr>
        <w:t>Tom H. Oreel, Pythia T. Nieuwkerk, Iris D. Hartog, Justine E. Netjes,  Alexander B.A. Vonk,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538E0">
        <w:rPr>
          <w:rFonts w:ascii="Times New Roman" w:hAnsi="Times New Roman" w:cs="Times New Roman"/>
          <w:sz w:val="24"/>
          <w:szCs w:val="24"/>
          <w:lang w:val="en-GB"/>
        </w:rPr>
        <w:t>Jorrit Lemkes, Hanneke W.M. van Laarhoven, Michael Scherer-Rath,</w:t>
      </w:r>
      <w:r w:rsidRPr="00FC05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538E0">
        <w:rPr>
          <w:rFonts w:ascii="Times New Roman" w:hAnsi="Times New Roman" w:cs="Times New Roman"/>
          <w:sz w:val="24"/>
          <w:szCs w:val="24"/>
          <w:lang w:val="en-GB"/>
        </w:rPr>
        <w:t>José P.S. Henriques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Frans J. Oort, </w:t>
      </w:r>
      <w:r w:rsidRPr="00C538E0">
        <w:rPr>
          <w:rFonts w:ascii="Times New Roman" w:hAnsi="Times New Roman" w:cs="Times New Roman"/>
          <w:sz w:val="24"/>
          <w:szCs w:val="24"/>
          <w:lang w:val="en-GB"/>
        </w:rPr>
        <w:t>Mirjam A.G. Sprangers</w:t>
      </w:r>
      <w:r>
        <w:rPr>
          <w:rFonts w:ascii="Times New Roman" w:hAnsi="Times New Roman" w:cs="Times New Roman"/>
          <w:sz w:val="24"/>
          <w:szCs w:val="24"/>
          <w:lang w:val="en-GB"/>
        </w:rPr>
        <w:t>, Mathilde G.E. Verdam</w:t>
      </w:r>
    </w:p>
    <w:p w:rsidR="00973C1D" w:rsidRDefault="00973C1D" w:rsidP="00973C1D">
      <w:pPr>
        <w:autoSpaceDE w:val="0"/>
        <w:autoSpaceDN w:val="0"/>
        <w:adjustRightInd w:val="0"/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Corresponding author: </w:t>
      </w:r>
      <w:hyperlink r:id="rId4" w:history="1">
        <w:r w:rsidRPr="00E221EC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m.g.e.verdam@amsterdamumc.nl</w:t>
        </w:r>
      </w:hyperlink>
    </w:p>
    <w:p w:rsidR="009A34CB" w:rsidRDefault="009A34CB" w:rsidP="00973C1D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</w:pPr>
    </w:p>
    <w:p w:rsidR="00973C1D" w:rsidRPr="008359EC" w:rsidRDefault="00973C1D" w:rsidP="00973C1D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</w:pPr>
      <w:r w:rsidRPr="008359E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Supplementary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Table 1</w:t>
      </w:r>
      <w:r w:rsidRPr="008359EC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 Overview of the items of the SF-36 and the SAQ7</w:t>
      </w:r>
    </w:p>
    <w:tbl>
      <w:tblPr>
        <w:tblW w:w="97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9"/>
      </w:tblGrid>
      <w:tr w:rsidR="00973C1D" w:rsidRPr="008359EC" w:rsidTr="003C7010">
        <w:trPr>
          <w:trHeight w:val="293"/>
        </w:trPr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3C1D" w:rsidRPr="008359EC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nl-NL"/>
              </w:rPr>
            </w:pPr>
            <w:r w:rsidRPr="00835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nl-NL"/>
              </w:rPr>
              <w:t>SF36</w:t>
            </w:r>
          </w:p>
        </w:tc>
      </w:tr>
      <w:tr w:rsidR="00973C1D" w:rsidRPr="006734C2" w:rsidTr="003C7010">
        <w:trPr>
          <w:trHeight w:val="293"/>
        </w:trPr>
        <w:tc>
          <w:tcPr>
            <w:tcW w:w="9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Mental Health (MH)</w:t>
            </w:r>
          </w:p>
        </w:tc>
      </w:tr>
      <w:tr w:rsidR="00973C1D" w:rsidRPr="009A34CB" w:rsidTr="003C7010">
        <w:trPr>
          <w:trHeight w:val="293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Have you been a very nervous person?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Have you felt so down in the dumps that nothing could cheer you up?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Have you felt calm and peaceful?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Have you felt downhearted and blue?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Have you been a happy person?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General Health (GH)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In general, would you say your health is…?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I seem to get sick a little easier than other people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I am as health as anybody I know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I expect my health to get worse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My health is excellent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Physical functioning (PF)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Vigorous activities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Moderate activities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Lifting or carrying groceries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Climbing several flights of stairs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Climbing one flight of stairs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Bending, kneeling, or stooping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Walking more than a mile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Walking several blocks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Walking one block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lastRenderedPageBreak/>
              <w:t>Bathing or dressing yourself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Role limitations due to physical health (RP)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cut down on the amount of time you spent on work or other activities?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accomplish</w:t>
            </w: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 xml:space="preserve"> less than you would like?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Were you limited in the kind of work or other activities?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have difficulty performing the work or other activities?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Bodily pain (BP)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How much bodily pain have you had?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How much did pain interfere with your normal work?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Social functioning (SF)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To what extent have your physical health or emotional problems interfered with your normal social activities with family, friends, neighbours, or groups?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How much of the time has your physical health or emotional problems interfered with your social activities?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Role limitations due to emotional problems (RE)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cut down on the amount of time you spent on work or other activities?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accomplished less than you would like?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do work or other activities less carefully than usual?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Vitality (VT)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feel full of pep?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have a lot of energy?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feel worn out?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Did you feel tired?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nl-NL"/>
              </w:rPr>
              <w:t>SAQ7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 xml:space="preserve">Physical Functioning (PF) 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PF1: Walking indoors on ground level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PF2: Gardening, vacuuming or carrying groceries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PF3: Lifting or moving heavy objects (e.g., furniture, children)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Angina Frequency (AF)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AF1: I have had chest pain, chest tightness or angina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AF2: I have taken nitro-glycerine</w:t>
            </w:r>
          </w:p>
        </w:tc>
      </w:tr>
      <w:tr w:rsidR="00973C1D" w:rsidRPr="006734C2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nl-NL"/>
              </w:rPr>
              <w:t>Quality of Life (QoL)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lastRenderedPageBreak/>
              <w:t>QoL1: How much has your chest pain, chest tightness or angina limited your enjoyment in life?</w:t>
            </w:r>
          </w:p>
        </w:tc>
      </w:tr>
      <w:tr w:rsidR="00973C1D" w:rsidRPr="009A34CB" w:rsidTr="003C7010">
        <w:trPr>
          <w:trHeight w:val="304"/>
        </w:trPr>
        <w:tc>
          <w:tcPr>
            <w:tcW w:w="970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73C1D" w:rsidRPr="00AB2B93" w:rsidRDefault="00973C1D" w:rsidP="003C7010">
            <w:pPr>
              <w:spacing w:after="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AB2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  <w:t>QoL2: If you had to spend the rest of your life with your chest pain, chest tightness or angina the way it is right now, how would you feel about this?</w:t>
            </w:r>
          </w:p>
        </w:tc>
      </w:tr>
    </w:tbl>
    <w:p w:rsidR="00973C1D" w:rsidRDefault="00973C1D" w:rsidP="00973C1D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:rsidR="00973C1D" w:rsidRDefault="00973C1D" w:rsidP="00973C1D">
      <w:pPr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br w:type="page"/>
      </w:r>
    </w:p>
    <w:p w:rsidR="00973C1D" w:rsidRDefault="00973C1D" w:rsidP="00973C1D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 xml:space="preserve">Supplementary </w:t>
      </w:r>
      <w:r w:rsidRPr="00936DAB">
        <w:rPr>
          <w:rFonts w:ascii="Times New Roman" w:hAnsi="Times New Roman" w:cs="Times New Roman"/>
          <w:b/>
          <w:sz w:val="28"/>
          <w:szCs w:val="28"/>
          <w:lang w:val="en-GB"/>
        </w:rPr>
        <w:t xml:space="preserve">Material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1: In- and exclusion criteria</w:t>
      </w:r>
    </w:p>
    <w:p w:rsidR="00973C1D" w:rsidRDefault="00973C1D" w:rsidP="00973C1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4696F">
        <w:rPr>
          <w:rFonts w:ascii="Times New Roman" w:hAnsi="Times New Roman" w:cs="Times New Roman"/>
          <w:color w:val="000000"/>
          <w:sz w:val="24"/>
          <w:szCs w:val="24"/>
          <w:lang w:val="en-GB"/>
        </w:rPr>
        <w:t>Patients were eligible if they were 18 years or older, had stable CAD and were scheduled for elective coronary artery bypass graft (CABG) or elective percutaneous coronary intervention (PCI)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7D0EE9">
        <w:rPr>
          <w:rFonts w:ascii="Times New Roman" w:hAnsi="Times New Roman" w:cs="Times New Roman"/>
          <w:sz w:val="24"/>
          <w:szCs w:val="24"/>
          <w:lang w:val="en-GB"/>
        </w:rPr>
        <w:t>Patients had to have at least one of the following somatic comorbidities: diabetes mellitus, obesity (body mass index &gt; 30 kg/m2), joint disease (rheumatism, arthritis, osteoarthritis, or gout), pulmonary disease (asthma, chronic obstructive pulmonary disease, or bronchiectasis) or another chronic disease, e.g., psoriasis, hypertension, HIV, peripheral facial paresis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4696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Patients </w:t>
      </w:r>
      <w:r w:rsidRPr="004767C4">
        <w:rPr>
          <w:rFonts w:ascii="Times New Roman" w:hAnsi="Times New Roman" w:cs="Times New Roman"/>
          <w:color w:val="000000"/>
          <w:sz w:val="24"/>
          <w:szCs w:val="24"/>
          <w:lang w:val="en-GB"/>
        </w:rPr>
        <w:t>with cognitive impairments due to brain haemorrhage, cerebral infarction, mental retardation, dementia, Alzheimer's disease, or patients who were unable to complete questionnaires due language problems were excluded</w:t>
      </w:r>
      <w:r w:rsidRPr="0031718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973C1D" w:rsidRDefault="00973C1D" w:rsidP="00973C1D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br w:type="page"/>
      </w:r>
    </w:p>
    <w:p w:rsidR="00973C1D" w:rsidRPr="00C66B41" w:rsidRDefault="00973C1D" w:rsidP="00973C1D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C66B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Supplementary </w:t>
      </w:r>
      <w:r w:rsidRPr="00936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Material </w:t>
      </w:r>
      <w:r w:rsidR="005C63F5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C66B41">
        <w:rPr>
          <w:rFonts w:ascii="Times New Roman" w:hAnsi="Times New Roman" w:cs="Times New Roman"/>
          <w:b/>
          <w:sz w:val="28"/>
          <w:szCs w:val="28"/>
          <w:lang w:val="en-US"/>
        </w:rPr>
        <w:t>, detailed results of the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SEM procedure for the</w:t>
      </w:r>
      <w:r w:rsidRPr="00C66B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SF-36, Steps 1 and 2</w:t>
      </w:r>
    </w:p>
    <w:p w:rsidR="00973C1D" w:rsidRDefault="00973C1D" w:rsidP="00973C1D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Step 1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. Based on the manual of the SF-36 (Ware et al., 1993) we chose a two-factor model as a starting point for the measurement model, where physical health (PCS) is measured by PF, RP, BP, and GH, and mental health (MCS) by RE, VT, MH, SF (see Figure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The initial measurement model showed poor overall model fit (see Table </w:t>
      </w:r>
      <w:r w:rsidR="005C63F5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step 1). To arrive at a well-fitting measurement model we included three model-modifications. First, a residual covariance between item RP and RE was added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∆χ</w:t>
      </w:r>
      <w:r w:rsidRPr="00785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F7289F">
        <w:rPr>
          <w:rFonts w:ascii="Times New Roman" w:hAnsi="Times New Roman" w:cs="Times New Roman"/>
          <w:sz w:val="24"/>
          <w:szCs w:val="24"/>
          <w:lang w:val="en-US"/>
        </w:rPr>
        <w:t>(4)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DA367D">
        <w:rPr>
          <w:rFonts w:ascii="Times New Roman" w:hAnsi="Times New Roman" w:cs="Times New Roman"/>
          <w:sz w:val="24"/>
          <w:szCs w:val="24"/>
          <w:lang w:val="en-US"/>
        </w:rPr>
        <w:t>38.777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. Adding this parameter means that RP and RE have something in common that is not explained by the underlying factors. Adding this parameter ma</w:t>
      </w:r>
      <w:r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sense given that both items measure one’s role in a social situation, a specific aspect that is not measured in the other items of the questionnaire. Second, a factor loading of VT on the factor PCS was added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∆χ</w:t>
      </w:r>
      <w:r w:rsidRPr="00785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36.562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&lt; .001) which means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VT is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not only indicative of the mental but also of the physical component of HRQoL</w:t>
      </w:r>
      <w:r>
        <w:rPr>
          <w:rFonts w:ascii="Times New Roman" w:hAnsi="Times New Roman" w:cs="Times New Roman"/>
          <w:sz w:val="24"/>
          <w:szCs w:val="24"/>
          <w:lang w:val="en-US"/>
        </w:rPr>
        <w:t>. This modification is warranted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because vitality and physical health are associated 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&lt;EndNote&gt;&lt;Cite&gt;&lt;Author&gt;Richman&lt;/Author&gt;&lt;Year&gt;2009&lt;/Year&gt;&lt;RecNum&gt;230&lt;/RecNum&gt;&lt;DisplayText&gt;[38,39]&lt;/DisplayText&gt;&lt;record&gt;&lt;rec-number&gt;230&lt;/rec-number&gt;&lt;foreign-keys&gt;&lt;key app="EN" db-id="t9exvettxx0t91evvpmxzwso5wfsrr0esers" timestamp="1593601088"&gt;230&lt;/key&gt;&lt;/foreign-keys&gt;&lt;ref-type name="Journal Article"&gt;17&lt;/ref-type&gt;&lt;contributors&gt;&lt;authors&gt;&lt;author&gt;Richman, Laura Smart&lt;/author&gt;&lt;author&gt;Kubzansky, Laura D&lt;/author&gt;&lt;author&gt;Maselko, Joanna&lt;/author&gt;&lt;author&gt;Ackerson, Leland K&lt;/author&gt;&lt;author&gt;Bauer, Mark&lt;/author&gt;&lt;/authors&gt;&lt;/contributors&gt;&lt;titles&gt;&lt;title&gt;The relationship between mental vitality and cardiovascular health&lt;/title&gt;&lt;secondary-title&gt;Psychology and Health&lt;/secondary-title&gt;&lt;/titles&gt;&lt;periodical&gt;&lt;full-title&gt;Psychology and Health&lt;/full-title&gt;&lt;/periodical&gt;&lt;pages&gt;919-932&lt;/pages&gt;&lt;volume&gt;24&lt;/volume&gt;&lt;number&gt;8&lt;/number&gt;&lt;dates&gt;&lt;year&gt;2009&lt;/year&gt;&lt;/dates&gt;&lt;isbn&gt;0887-0446&lt;/isbn&gt;&lt;urls&gt;&lt;/urls&gt;&lt;/record&gt;&lt;/Cite&gt;&lt;Cite&gt;&lt;Author&gt;Holt-Lunstad&lt;/Author&gt;&lt;Year&gt;2010&lt;/Year&gt;&lt;RecNum&gt;232&lt;/RecNum&gt;&lt;record&gt;&lt;rec-number&gt;232&lt;/rec-number&gt;&lt;foreign-keys&gt;&lt;key app="EN" db-id="t9exvettxx0t91evvpmxzwso5wfsrr0esers" timestamp="1593601277"&gt;232&lt;/key&gt;&lt;/foreign-keys&gt;&lt;ref-type name="Journal Article"&gt;17&lt;/ref-type&gt;&lt;contributors&gt;&lt;authors&gt;&lt;author&gt;Holt-Lunstad, Julianne&lt;/author&gt;&lt;author&gt;Smith, Timothy B&lt;/author&gt;&lt;author&gt;Layton, J Bradley&lt;/author&gt;&lt;/authors&gt;&lt;/contributors&gt;&lt;titles&gt;&lt;title&gt;Social relationships and mortality risk: a meta-analytic review&lt;/title&gt;&lt;secondary-title&gt;PLoS medicine&lt;/secondary-title&gt;&lt;/titles&gt;&lt;periodical&gt;&lt;full-title&gt;PLoS medicine&lt;/full-title&gt;&lt;/periodical&gt;&lt;pages&gt;e1000316&lt;/pages&gt;&lt;volume&gt;7&lt;/volume&gt;&lt;number&gt;7&lt;/number&gt;&lt;dates&gt;&lt;year&gt;2010&lt;/year&gt;&lt;/dates&gt;&lt;isbn&gt;1549-1676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[38,39]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. Finally, a factor loading of SF on the factor PCS was added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∆χ</w:t>
      </w:r>
      <w:r w:rsidRPr="00785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31.569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&lt; .001), which means that social functioning is also indicative of the physical component,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ould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>justified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theoretically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it is easier to engage in social activities when physically healthy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&lt;EndNote&gt;&lt;Cite&gt;&lt;Author&gt;Miller&lt;/Author&gt;&lt;Year&gt;2009&lt;/Year&gt;&lt;RecNum&gt;231&lt;/RecNum&gt;&lt;DisplayText&gt;[40]&lt;/DisplayText&gt;&lt;record&gt;&lt;rec-number&gt;231&lt;/rec-number&gt;&lt;foreign-keys&gt;&lt;key app="EN" db-id="t9exvettxx0t91evvpmxzwso5wfsrr0esers" timestamp="1593601242"&gt;231&lt;/key&gt;&lt;/foreign-keys&gt;&lt;ref-type name="Journal Article"&gt;17&lt;/ref-type&gt;&lt;contributors&gt;&lt;authors&gt;&lt;author&gt;Miller, Gregory&lt;/author&gt;&lt;author&gt;Chen, Edith&lt;/author&gt;&lt;author&gt;Cole, Steve W&lt;/author&gt;&lt;/authors&gt;&lt;/contributors&gt;&lt;titles&gt;&lt;title&gt;Health psychology: Developing biologically plausible models linking the social world and physical health&lt;/title&gt;&lt;secondary-title&gt;Annual review of psychology&lt;/secondary-title&gt;&lt;/titles&gt;&lt;periodical&gt;&lt;full-title&gt;Annual review of psychology&lt;/full-title&gt;&lt;/periodical&gt;&lt;pages&gt;501-524&lt;/pages&gt;&lt;volume&gt;60&lt;/volume&gt;&lt;dates&gt;&lt;year&gt;2009&lt;/year&gt;&lt;/dates&gt;&lt;isbn&gt;0066-4308&lt;/isbn&gt;&lt;urls&gt;&lt;/urls&gt;&lt;/record&gt;&lt;/Cite&gt;&lt;/EndNote&gt;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[40]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. With these modifications the measurement model showed </w:t>
      </w:r>
      <w:r>
        <w:rPr>
          <w:rFonts w:ascii="Times New Roman" w:hAnsi="Times New Roman" w:cs="Times New Roman"/>
          <w:sz w:val="24"/>
          <w:szCs w:val="24"/>
          <w:lang w:val="en-US"/>
        </w:rPr>
        <w:t>reasonable and good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overall model fit according to the RMSEA, CFI and SRMR, </w:t>
      </w:r>
      <w:r>
        <w:rPr>
          <w:rFonts w:ascii="Times New Roman" w:hAnsi="Times New Roman" w:cs="Times New Roman"/>
          <w:sz w:val="24"/>
          <w:szCs w:val="24"/>
          <w:lang w:val="en-US"/>
        </w:rPr>
        <w:t>respectively. W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e therefore considered this to be the final measurement model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(see Figure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7A91" w:rsidRPr="00973C1D" w:rsidRDefault="00973C1D" w:rsidP="00DB0FCC">
      <w:pPr>
        <w:spacing w:line="480" w:lineRule="auto"/>
        <w:ind w:firstLine="708"/>
        <w:rPr>
          <w:lang w:val="en-US"/>
        </w:rPr>
      </w:pP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Step 2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. In the no response shift model, all model parameters that are associated with response shift were set to be equal across measurement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; i.e., imposing across measurement invariance for the factor loadings and intercepts. The no response shift model fitted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significantly worse </w:t>
      </w:r>
      <w:r>
        <w:rPr>
          <w:rFonts w:ascii="Times New Roman" w:hAnsi="Times New Roman" w:cs="Times New Roman"/>
          <w:sz w:val="24"/>
          <w:szCs w:val="24"/>
          <w:lang w:val="en-US"/>
        </w:rPr>
        <w:t>as compared to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the measurement model (∆χ</w:t>
      </w:r>
      <w:r w:rsidRPr="00785D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(14)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6376">
        <w:rPr>
          <w:rFonts w:ascii="Times New Roman" w:hAnsi="Times New Roman" w:cs="Times New Roman"/>
          <w:sz w:val="24"/>
          <w:szCs w:val="24"/>
          <w:lang w:val="en-US"/>
        </w:rPr>
        <w:t>25.894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85D4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.027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), indicating the presence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 xml:space="preserve">response shift (see Table </w:t>
      </w:r>
      <w:r w:rsidR="005C63F5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step 2</w:t>
      </w:r>
      <w:r w:rsidRPr="00785D4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887A91" w:rsidRPr="0097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C1D"/>
    <w:rsid w:val="00041D84"/>
    <w:rsid w:val="005C63F5"/>
    <w:rsid w:val="00887A91"/>
    <w:rsid w:val="00973C1D"/>
    <w:rsid w:val="009A34CB"/>
    <w:rsid w:val="00D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800D"/>
  <w15:chartTrackingRefBased/>
  <w15:docId w15:val="{BC399867-09AD-4500-BE3B-E372D2F9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3C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3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g.e.verdam@amsterdamumc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1290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Oreel</dc:creator>
  <cp:keywords/>
  <dc:description/>
  <cp:lastModifiedBy>Verdam, M.G.E.</cp:lastModifiedBy>
  <cp:revision>5</cp:revision>
  <dcterms:created xsi:type="dcterms:W3CDTF">2020-12-02T14:54:00Z</dcterms:created>
  <dcterms:modified xsi:type="dcterms:W3CDTF">2021-05-25T10:53:00Z</dcterms:modified>
</cp:coreProperties>
</file>