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69B" w:rsidRPr="005C7B9A" w:rsidRDefault="00AF4B88" w:rsidP="00AF4B88">
      <w:pPr>
        <w:spacing w:after="120" w:line="240" w:lineRule="auto"/>
        <w:jc w:val="both"/>
        <w:rPr>
          <w:rFonts w:ascii="Times New Roman" w:hAnsi="Times New Roman" w:cs="Times New Roman"/>
          <w:color w:val="000000" w:themeColor="text1"/>
          <w:sz w:val="24"/>
          <w:szCs w:val="24"/>
          <w:lang w:val="en-GB"/>
        </w:rPr>
      </w:pPr>
      <w:r w:rsidRPr="005C7B9A">
        <w:rPr>
          <w:rFonts w:ascii="Times New Roman" w:hAnsi="Times New Roman" w:cs="Times New Roman"/>
          <w:b/>
          <w:color w:val="000000" w:themeColor="text1"/>
          <w:sz w:val="24"/>
          <w:szCs w:val="24"/>
          <w:lang w:val="en-GB"/>
        </w:rPr>
        <w:t>Appendix B</w:t>
      </w:r>
      <w:bookmarkStart w:id="0" w:name="_GoBack"/>
      <w:bookmarkEnd w:id="0"/>
    </w:p>
    <w:p w:rsidR="0017769B" w:rsidRPr="005C7B9A" w:rsidRDefault="0017769B" w:rsidP="00AF4B88">
      <w:pPr>
        <w:spacing w:after="120" w:line="240" w:lineRule="auto"/>
        <w:ind w:firstLine="708"/>
        <w:jc w:val="both"/>
        <w:rPr>
          <w:rFonts w:ascii="Times New Roman" w:hAnsi="Times New Roman" w:cs="Times New Roman"/>
          <w:color w:val="000000" w:themeColor="text1"/>
          <w:sz w:val="24"/>
          <w:szCs w:val="24"/>
          <w:lang w:val="en-GB"/>
        </w:rPr>
      </w:pPr>
      <w:r w:rsidRPr="005C7B9A">
        <w:rPr>
          <w:rFonts w:ascii="Times New Roman" w:hAnsi="Times New Roman" w:cs="Times New Roman"/>
          <w:color w:val="000000" w:themeColor="text1"/>
          <w:sz w:val="24"/>
          <w:szCs w:val="24"/>
          <w:lang w:val="en-GB"/>
        </w:rPr>
        <w:t>The instrumental variable analysis is increasingly used for learning about causality using observational data (</w:t>
      </w:r>
      <w:r w:rsidR="00113C11" w:rsidRPr="005C7B9A">
        <w:rPr>
          <w:rFonts w:ascii="Times New Roman" w:hAnsi="Times New Roman" w:cs="Times New Roman"/>
          <w:color w:val="000000" w:themeColor="text1"/>
          <w:sz w:val="24"/>
          <w:szCs w:val="24"/>
          <w:lang w:val="en-GB"/>
        </w:rPr>
        <w:t>Swanson &amp; Hernán, 2018</w:t>
      </w:r>
      <w:r w:rsidRPr="005C7B9A">
        <w:rPr>
          <w:rFonts w:ascii="Times New Roman" w:hAnsi="Times New Roman" w:cs="Times New Roman"/>
          <w:color w:val="000000" w:themeColor="text1"/>
          <w:sz w:val="24"/>
          <w:szCs w:val="24"/>
          <w:lang w:val="en-GB"/>
        </w:rPr>
        <w:t>). This approach is employed to address endogeneity, which arises when unobservable factors (u) in the model are correlated with the treatment variable (</w:t>
      </w:r>
      <m:oMath>
        <m:r>
          <w:rPr>
            <w:rFonts w:ascii="Cambria Math" w:hAnsi="Cambria Math" w:cs="Times New Roman"/>
            <w:color w:val="000000" w:themeColor="text1"/>
            <w:sz w:val="24"/>
            <w:szCs w:val="24"/>
            <w:lang w:val="en-GB"/>
          </w:rPr>
          <m:t>BMI</m:t>
        </m:r>
      </m:oMath>
      <w:r w:rsidRPr="005C7B9A">
        <w:rPr>
          <w:rFonts w:ascii="Times New Roman" w:hAnsi="Times New Roman" w:cs="Times New Roman"/>
          <w:color w:val="000000" w:themeColor="text1"/>
          <w:sz w:val="24"/>
          <w:szCs w:val="24"/>
          <w:lang w:val="en-GB"/>
        </w:rPr>
        <w:t xml:space="preserve">) ‒ </w:t>
      </w:r>
      <m:oMath>
        <m:r>
          <w:rPr>
            <w:rFonts w:ascii="Cambria Math" w:hAnsi="Cambria Math" w:cs="Times New Roman"/>
            <w:color w:val="000000" w:themeColor="text1"/>
            <w:sz w:val="24"/>
            <w:szCs w:val="24"/>
            <w:lang w:val="en-GB"/>
          </w:rPr>
          <m:t>Cov</m:t>
        </m:r>
        <m:d>
          <m:dPr>
            <m:ctrlPr>
              <w:rPr>
                <w:rFonts w:ascii="Cambria Math" w:hAnsi="Cambria Math" w:cs="Times New Roman"/>
                <w:i/>
                <w:color w:val="000000" w:themeColor="text1"/>
                <w:sz w:val="24"/>
                <w:szCs w:val="24"/>
                <w:lang w:val="en-GB"/>
              </w:rPr>
            </m:ctrlPr>
          </m:dPr>
          <m:e>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BMI</m:t>
                </m:r>
              </m:e>
              <m:sub>
                <m:r>
                  <w:rPr>
                    <w:rFonts w:ascii="Cambria Math" w:hAnsi="Cambria Math" w:cs="Times New Roman"/>
                    <w:color w:val="000000" w:themeColor="text1"/>
                    <w:sz w:val="24"/>
                    <w:szCs w:val="24"/>
                    <w:lang w:val="en-GB"/>
                  </w:rPr>
                  <m:t>i</m:t>
                </m:r>
              </m:sub>
            </m:sSub>
            <m:r>
              <w:rPr>
                <w:rFonts w:ascii="Cambria Math" w:hAnsi="Cambria Math" w:cs="Times New Roman"/>
                <w:color w:val="000000" w:themeColor="text1"/>
                <w:sz w:val="24"/>
                <w:szCs w:val="24"/>
                <w:lang w:val="en-GB"/>
              </w:rPr>
              <m:t xml:space="preserve">, </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u</m:t>
                </m:r>
              </m:e>
              <m:sub>
                <m:r>
                  <w:rPr>
                    <w:rFonts w:ascii="Cambria Math" w:hAnsi="Cambria Math" w:cs="Times New Roman"/>
                    <w:color w:val="000000" w:themeColor="text1"/>
                    <w:sz w:val="24"/>
                    <w:szCs w:val="24"/>
                    <w:lang w:val="en-GB"/>
                  </w:rPr>
                  <m:t xml:space="preserve">i </m:t>
                </m:r>
              </m:sub>
            </m:sSub>
          </m:e>
        </m:d>
        <m:r>
          <w:rPr>
            <w:rFonts w:ascii="Cambria Math" w:hAnsi="Cambria Math" w:cs="Times New Roman"/>
            <w:color w:val="000000" w:themeColor="text1"/>
            <w:sz w:val="24"/>
            <w:szCs w:val="24"/>
            <w:lang w:val="en-GB"/>
          </w:rPr>
          <m:t>≠0</m:t>
        </m:r>
      </m:oMath>
      <w:r w:rsidRPr="005C7B9A">
        <w:rPr>
          <w:rFonts w:ascii="Times New Roman" w:hAnsi="Times New Roman" w:cs="Times New Roman"/>
          <w:color w:val="000000" w:themeColor="text1"/>
          <w:sz w:val="24"/>
          <w:szCs w:val="24"/>
          <w:lang w:val="en-GB"/>
        </w:rPr>
        <w:t>. This correlation can result in biased estimates of the effect of the treatment (BMI) on the outcome (</w:t>
      </w:r>
      <m:oMath>
        <m:r>
          <w:rPr>
            <w:rFonts w:ascii="Cambria Math" w:hAnsi="Cambria Math" w:cs="Times New Roman"/>
            <w:color w:val="000000" w:themeColor="text1"/>
            <w:sz w:val="24"/>
            <w:szCs w:val="24"/>
            <w:lang w:val="en-GB"/>
          </w:rPr>
          <m:t>O</m:t>
        </m:r>
      </m:oMath>
      <w:r w:rsidRPr="005C7B9A">
        <w:rPr>
          <w:rFonts w:ascii="Times New Roman" w:hAnsi="Times New Roman" w:cs="Times New Roman"/>
          <w:color w:val="000000" w:themeColor="text1"/>
          <w:sz w:val="24"/>
          <w:szCs w:val="24"/>
          <w:lang w:val="en-GB"/>
        </w:rPr>
        <w:t>*)</w:t>
      </w:r>
      <w:r w:rsidR="00673C2C" w:rsidRPr="005C7B9A">
        <w:rPr>
          <w:rFonts w:ascii="Times New Roman" w:hAnsi="Times New Roman" w:cs="Times New Roman"/>
          <w:color w:val="000000" w:themeColor="text1"/>
          <w:sz w:val="24"/>
          <w:szCs w:val="24"/>
          <w:lang w:val="en-GB"/>
        </w:rPr>
        <w:t xml:space="preserve"> on equation (1)</w:t>
      </w:r>
      <w:r w:rsidRPr="005C7B9A">
        <w:rPr>
          <w:rFonts w:ascii="Times New Roman" w:hAnsi="Times New Roman" w:cs="Times New Roman"/>
          <w:color w:val="000000" w:themeColor="text1"/>
          <w:sz w:val="24"/>
          <w:szCs w:val="24"/>
          <w:lang w:val="en-GB"/>
        </w:rPr>
        <w:t xml:space="preserve">. </w:t>
      </w:r>
    </w:p>
    <w:p w:rsidR="0017769B" w:rsidRPr="005C7B9A" w:rsidRDefault="0017769B" w:rsidP="00AF4B88">
      <w:pPr>
        <w:spacing w:after="120" w:line="240" w:lineRule="auto"/>
        <w:ind w:firstLine="708"/>
        <w:jc w:val="both"/>
        <w:rPr>
          <w:rFonts w:ascii="Times New Roman" w:eastAsiaTheme="minorEastAsia" w:hAnsi="Times New Roman" w:cs="Times New Roman"/>
          <w:color w:val="000000" w:themeColor="text1"/>
          <w:sz w:val="24"/>
          <w:szCs w:val="24"/>
          <w:lang w:val="en-GB"/>
        </w:rPr>
      </w:pPr>
      <w:r w:rsidRPr="005C7B9A">
        <w:rPr>
          <w:rFonts w:ascii="Times New Roman" w:hAnsi="Times New Roman" w:cs="Times New Roman"/>
          <w:color w:val="000000" w:themeColor="text1"/>
          <w:sz w:val="24"/>
          <w:szCs w:val="24"/>
          <w:lang w:val="en-GB"/>
        </w:rPr>
        <w:t>To ascertain the causal effect of the treatment on the outcome</w:t>
      </w:r>
      <w:r w:rsidR="00C245AF" w:rsidRPr="005C7B9A">
        <w:rPr>
          <w:rFonts w:ascii="Times New Roman" w:hAnsi="Times New Roman" w:cs="Times New Roman"/>
          <w:color w:val="000000" w:themeColor="text1"/>
          <w:sz w:val="24"/>
          <w:szCs w:val="24"/>
          <w:lang w:val="en-GB"/>
        </w:rPr>
        <w:t>, t</w:t>
      </w:r>
      <w:r w:rsidRPr="005C7B9A">
        <w:rPr>
          <w:rFonts w:ascii="Times New Roman" w:hAnsi="Times New Roman" w:cs="Times New Roman"/>
          <w:color w:val="000000" w:themeColor="text1"/>
          <w:sz w:val="24"/>
          <w:szCs w:val="24"/>
          <w:lang w:val="en-GB"/>
        </w:rPr>
        <w:t xml:space="preserve">he instrument (Z) must exhibit a correlation with the endogenous variable ‒ denoted as </w:t>
      </w:r>
      <m:oMath>
        <m:r>
          <w:rPr>
            <w:rFonts w:ascii="Cambria Math" w:hAnsi="Cambria Math" w:cs="Times New Roman"/>
            <w:color w:val="000000" w:themeColor="text1"/>
            <w:sz w:val="24"/>
            <w:szCs w:val="24"/>
            <w:lang w:val="en-GB"/>
          </w:rPr>
          <m:t>Cov</m:t>
        </m:r>
        <m:d>
          <m:dPr>
            <m:ctrlPr>
              <w:rPr>
                <w:rFonts w:ascii="Cambria Math" w:hAnsi="Cambria Math" w:cs="Times New Roman"/>
                <w:i/>
                <w:color w:val="000000" w:themeColor="text1"/>
                <w:sz w:val="24"/>
                <w:szCs w:val="24"/>
                <w:lang w:val="en-GB"/>
              </w:rPr>
            </m:ctrlPr>
          </m:dPr>
          <m:e>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BMI</m:t>
                </m:r>
              </m:e>
              <m:sub>
                <m:r>
                  <w:rPr>
                    <w:rFonts w:ascii="Cambria Math" w:hAnsi="Cambria Math" w:cs="Times New Roman"/>
                    <w:color w:val="000000" w:themeColor="text1"/>
                    <w:sz w:val="24"/>
                    <w:szCs w:val="24"/>
                    <w:lang w:val="en-GB"/>
                  </w:rPr>
                  <m:t>i</m:t>
                </m:r>
              </m:sub>
            </m:sSub>
            <m:r>
              <w:rPr>
                <w:rFonts w:ascii="Cambria Math" w:hAnsi="Cambria Math" w:cs="Times New Roman"/>
                <w:color w:val="000000" w:themeColor="text1"/>
                <w:sz w:val="24"/>
                <w:szCs w:val="24"/>
                <w:lang w:val="en-GB"/>
              </w:rPr>
              <m:t xml:space="preserve">, </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Z</m:t>
                </m:r>
              </m:e>
              <m:sub>
                <m:r>
                  <w:rPr>
                    <w:rFonts w:ascii="Cambria Math" w:hAnsi="Cambria Math" w:cs="Times New Roman"/>
                    <w:color w:val="000000" w:themeColor="text1"/>
                    <w:sz w:val="24"/>
                    <w:szCs w:val="24"/>
                    <w:lang w:val="en-GB"/>
                  </w:rPr>
                  <m:t xml:space="preserve">i </m:t>
                </m:r>
              </m:sub>
            </m:sSub>
          </m:e>
        </m:d>
        <m:r>
          <w:rPr>
            <w:rFonts w:ascii="Cambria Math" w:hAnsi="Cambria Math" w:cs="Times New Roman"/>
            <w:color w:val="000000" w:themeColor="text1"/>
            <w:sz w:val="24"/>
            <w:szCs w:val="24"/>
            <w:lang w:val="en-GB"/>
          </w:rPr>
          <m:t>≠0</m:t>
        </m:r>
        <m:r>
          <w:rPr>
            <w:rFonts w:ascii="Cambria Math" w:eastAsiaTheme="minorEastAsia" w:hAnsi="Cambria Math" w:cs="Times New Roman"/>
            <w:color w:val="000000" w:themeColor="text1"/>
            <w:sz w:val="24"/>
            <w:szCs w:val="24"/>
            <w:lang w:val="en-GB"/>
          </w:rPr>
          <m:t xml:space="preserve"> </m:t>
        </m:r>
      </m:oMath>
      <w:r w:rsidRPr="005C7B9A">
        <w:rPr>
          <w:rFonts w:ascii="Times New Roman" w:hAnsi="Times New Roman" w:cs="Times New Roman"/>
          <w:color w:val="000000" w:themeColor="text1"/>
          <w:sz w:val="24"/>
          <w:szCs w:val="24"/>
          <w:lang w:val="en-GB"/>
        </w:rPr>
        <w:t xml:space="preserve">‒, </w:t>
      </w:r>
      <w:r w:rsidRPr="005C7B9A">
        <w:rPr>
          <w:rFonts w:ascii="Times New Roman" w:eastAsiaTheme="minorEastAsia" w:hAnsi="Times New Roman" w:cs="Times New Roman"/>
          <w:color w:val="000000" w:themeColor="text1"/>
          <w:sz w:val="24"/>
          <w:szCs w:val="24"/>
          <w:lang w:val="en-GB"/>
        </w:rPr>
        <w:t xml:space="preserve">and it should be exogenous </w:t>
      </w:r>
      <w:r w:rsidRPr="005C7B9A">
        <w:rPr>
          <w:rFonts w:ascii="Times New Roman" w:hAnsi="Times New Roman" w:cs="Times New Roman"/>
          <w:color w:val="000000" w:themeColor="text1"/>
          <w:sz w:val="24"/>
          <w:szCs w:val="24"/>
          <w:lang w:val="en-GB"/>
        </w:rPr>
        <w:t>‒</w:t>
      </w:r>
      <w:r w:rsidR="00C245AF" w:rsidRPr="005C7B9A">
        <w:rPr>
          <w:rFonts w:ascii="Times New Roman" w:hAnsi="Times New Roman" w:cs="Times New Roman"/>
          <w:color w:val="000000" w:themeColor="text1"/>
          <w:sz w:val="24"/>
          <w:szCs w:val="24"/>
          <w:lang w:val="en-GB"/>
        </w:rPr>
        <w:t xml:space="preserve"> </w:t>
      </w:r>
      <w:r w:rsidRPr="005C7B9A">
        <w:rPr>
          <w:rFonts w:ascii="Times New Roman" w:hAnsi="Times New Roman" w:cs="Times New Roman"/>
          <w:color w:val="000000" w:themeColor="text1"/>
          <w:sz w:val="24"/>
          <w:szCs w:val="24"/>
          <w:lang w:val="en-GB"/>
        </w:rPr>
        <w:t xml:space="preserve">meaning it is not </w:t>
      </w:r>
      <w:r w:rsidRPr="005C7B9A">
        <w:rPr>
          <w:rFonts w:ascii="Times New Roman" w:eastAsiaTheme="minorEastAsia" w:hAnsi="Times New Roman" w:cs="Times New Roman"/>
          <w:color w:val="000000" w:themeColor="text1"/>
          <w:sz w:val="24"/>
          <w:szCs w:val="24"/>
          <w:lang w:val="en-GB"/>
        </w:rPr>
        <w:t xml:space="preserve">correlated with the error term </w:t>
      </w:r>
      <m:oMath>
        <m:r>
          <w:rPr>
            <w:rFonts w:ascii="Cambria Math" w:hAnsi="Cambria Math" w:cs="Times New Roman"/>
            <w:color w:val="000000" w:themeColor="text1"/>
            <w:sz w:val="24"/>
            <w:szCs w:val="24"/>
            <w:lang w:val="en-GB"/>
          </w:rPr>
          <m:t>Cov</m:t>
        </m:r>
        <m:d>
          <m:dPr>
            <m:ctrlPr>
              <w:rPr>
                <w:rFonts w:ascii="Cambria Math" w:hAnsi="Cambria Math" w:cs="Times New Roman"/>
                <w:i/>
                <w:color w:val="000000" w:themeColor="text1"/>
                <w:sz w:val="24"/>
                <w:szCs w:val="24"/>
                <w:lang w:val="en-GB"/>
              </w:rPr>
            </m:ctrlPr>
          </m:dPr>
          <m:e>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Z</m:t>
                </m:r>
              </m:e>
              <m:sub>
                <m:r>
                  <w:rPr>
                    <w:rFonts w:ascii="Cambria Math" w:hAnsi="Cambria Math" w:cs="Times New Roman"/>
                    <w:color w:val="000000" w:themeColor="text1"/>
                    <w:sz w:val="24"/>
                    <w:szCs w:val="24"/>
                    <w:lang w:val="en-GB"/>
                  </w:rPr>
                  <m:t>i</m:t>
                </m:r>
              </m:sub>
            </m:sSub>
            <m:r>
              <w:rPr>
                <w:rFonts w:ascii="Cambria Math" w:hAnsi="Cambria Math" w:cs="Times New Roman"/>
                <w:color w:val="000000" w:themeColor="text1"/>
                <w:sz w:val="24"/>
                <w:szCs w:val="24"/>
                <w:lang w:val="en-GB"/>
              </w:rPr>
              <m:t xml:space="preserve">, </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u</m:t>
                </m:r>
              </m:e>
              <m:sub>
                <m:r>
                  <w:rPr>
                    <w:rFonts w:ascii="Cambria Math" w:hAnsi="Cambria Math" w:cs="Times New Roman"/>
                    <w:color w:val="000000" w:themeColor="text1"/>
                    <w:sz w:val="24"/>
                    <w:szCs w:val="24"/>
                    <w:lang w:val="en-GB"/>
                  </w:rPr>
                  <m:t xml:space="preserve">i </m:t>
                </m:r>
              </m:sub>
            </m:sSub>
          </m:e>
        </m:d>
        <m:r>
          <w:rPr>
            <w:rFonts w:ascii="Cambria Math" w:hAnsi="Cambria Math" w:cs="Times New Roman"/>
            <w:color w:val="000000" w:themeColor="text1"/>
            <w:sz w:val="24"/>
            <w:szCs w:val="24"/>
            <w:lang w:val="en-GB"/>
          </w:rPr>
          <m:t>=0</m:t>
        </m:r>
      </m:oMath>
      <w:r w:rsidRPr="005C7B9A">
        <w:rPr>
          <w:rFonts w:ascii="Times New Roman" w:eastAsiaTheme="minorEastAsia" w:hAnsi="Times New Roman" w:cs="Times New Roman"/>
          <w:color w:val="000000" w:themeColor="text1"/>
          <w:sz w:val="24"/>
          <w:szCs w:val="24"/>
          <w:lang w:val="en-GB"/>
        </w:rPr>
        <w:t>. In specific terms, valid instruments must meet the following conditions</w:t>
      </w:r>
      <w:r w:rsidR="00C245AF" w:rsidRPr="005C7B9A">
        <w:rPr>
          <w:rFonts w:ascii="Times New Roman" w:eastAsiaTheme="minorEastAsia" w:hAnsi="Times New Roman" w:cs="Times New Roman"/>
          <w:color w:val="000000" w:themeColor="text1"/>
          <w:sz w:val="24"/>
          <w:szCs w:val="24"/>
          <w:lang w:val="en-GB"/>
        </w:rPr>
        <w:t xml:space="preserve"> (see </w:t>
      </w:r>
      <w:r w:rsidR="00232CAA" w:rsidRPr="005C7B9A">
        <w:rPr>
          <w:rFonts w:ascii="Times New Roman" w:eastAsiaTheme="minorEastAsia" w:hAnsi="Times New Roman" w:cs="Times New Roman"/>
          <w:color w:val="000000" w:themeColor="text1"/>
          <w:sz w:val="24"/>
          <w:szCs w:val="24"/>
          <w:lang w:val="en-GB"/>
        </w:rPr>
        <w:t>Angrist &amp; Pischke, 2009</w:t>
      </w:r>
      <w:r w:rsidR="00AC74C5" w:rsidRPr="005C7B9A">
        <w:rPr>
          <w:rFonts w:ascii="Times New Roman" w:eastAsiaTheme="minorEastAsia" w:hAnsi="Times New Roman" w:cs="Times New Roman"/>
          <w:color w:val="000000" w:themeColor="text1"/>
          <w:sz w:val="24"/>
          <w:szCs w:val="24"/>
          <w:lang w:val="en-GB"/>
        </w:rPr>
        <w:t>;</w:t>
      </w:r>
      <w:r w:rsidR="00232CAA" w:rsidRPr="005C7B9A">
        <w:rPr>
          <w:rFonts w:ascii="Times New Roman" w:eastAsiaTheme="minorEastAsia" w:hAnsi="Times New Roman" w:cs="Times New Roman"/>
          <w:color w:val="000000" w:themeColor="text1"/>
          <w:sz w:val="24"/>
          <w:szCs w:val="24"/>
          <w:lang w:val="en-GB"/>
        </w:rPr>
        <w:t xml:space="preserve"> Wooldridge, 2010</w:t>
      </w:r>
      <w:r w:rsidR="00673C2C" w:rsidRPr="005C7B9A">
        <w:rPr>
          <w:rFonts w:ascii="Times New Roman" w:eastAsiaTheme="minorEastAsia" w:hAnsi="Times New Roman" w:cs="Times New Roman"/>
          <w:color w:val="000000" w:themeColor="text1"/>
          <w:sz w:val="24"/>
          <w:szCs w:val="24"/>
          <w:lang w:val="en-GB"/>
        </w:rPr>
        <w:t>,</w:t>
      </w:r>
      <w:r w:rsidR="00C245AF" w:rsidRPr="005C7B9A">
        <w:rPr>
          <w:rFonts w:ascii="Times New Roman" w:eastAsiaTheme="minorEastAsia" w:hAnsi="Times New Roman" w:cs="Times New Roman"/>
          <w:color w:val="000000" w:themeColor="text1"/>
          <w:sz w:val="24"/>
          <w:szCs w:val="24"/>
          <w:lang w:val="en-GB"/>
        </w:rPr>
        <w:t xml:space="preserve"> for algebraic </w:t>
      </w:r>
      <w:r w:rsidR="00113C11" w:rsidRPr="005C7B9A">
        <w:rPr>
          <w:rFonts w:ascii="Times New Roman" w:eastAsiaTheme="minorEastAsia" w:hAnsi="Times New Roman" w:cs="Times New Roman"/>
          <w:color w:val="000000" w:themeColor="text1"/>
          <w:sz w:val="24"/>
          <w:szCs w:val="24"/>
          <w:lang w:val="en-GB"/>
        </w:rPr>
        <w:t>and formal definitions</w:t>
      </w:r>
      <w:r w:rsidR="00C245AF" w:rsidRPr="005C7B9A">
        <w:rPr>
          <w:rFonts w:ascii="Times New Roman" w:eastAsiaTheme="minorEastAsia" w:hAnsi="Times New Roman" w:cs="Times New Roman"/>
          <w:color w:val="000000" w:themeColor="text1"/>
          <w:sz w:val="24"/>
          <w:szCs w:val="24"/>
          <w:lang w:val="en-GB"/>
        </w:rPr>
        <w:t xml:space="preserve"> of the </w:t>
      </w:r>
      <w:r w:rsidR="00BE7C2A" w:rsidRPr="005C7B9A">
        <w:rPr>
          <w:rFonts w:ascii="Times New Roman" w:eastAsiaTheme="minorEastAsia" w:hAnsi="Times New Roman" w:cs="Times New Roman"/>
          <w:color w:val="000000" w:themeColor="text1"/>
          <w:sz w:val="24"/>
          <w:szCs w:val="24"/>
          <w:lang w:val="en-GB"/>
        </w:rPr>
        <w:t>assumptions</w:t>
      </w:r>
      <w:r w:rsidR="00C245AF" w:rsidRPr="005C7B9A">
        <w:rPr>
          <w:rFonts w:ascii="Times New Roman" w:eastAsiaTheme="minorEastAsia" w:hAnsi="Times New Roman" w:cs="Times New Roman"/>
          <w:color w:val="000000" w:themeColor="text1"/>
          <w:sz w:val="24"/>
          <w:szCs w:val="24"/>
          <w:lang w:val="en-GB"/>
        </w:rPr>
        <w:t>):</w:t>
      </w:r>
    </w:p>
    <w:p w:rsidR="0017769B" w:rsidRPr="005C7B9A" w:rsidRDefault="0017769B" w:rsidP="00AF4B88">
      <w:pPr>
        <w:pStyle w:val="ListParagraph"/>
        <w:numPr>
          <w:ilvl w:val="0"/>
          <w:numId w:val="1"/>
        </w:numPr>
        <w:spacing w:after="120" w:line="240" w:lineRule="auto"/>
        <w:ind w:left="993"/>
        <w:jc w:val="both"/>
        <w:rPr>
          <w:rFonts w:ascii="Times New Roman" w:hAnsi="Times New Roman" w:cs="Times New Roman"/>
          <w:color w:val="000000" w:themeColor="text1"/>
          <w:sz w:val="24"/>
          <w:szCs w:val="24"/>
          <w:lang w:val="en-GB"/>
        </w:rPr>
      </w:pPr>
      <w:r w:rsidRPr="005C7B9A">
        <w:rPr>
          <w:rFonts w:ascii="Times New Roman" w:eastAsia="Times New Roman" w:hAnsi="Times New Roman" w:cs="Times New Roman"/>
          <w:color w:val="000000" w:themeColor="text1"/>
          <w:sz w:val="24"/>
          <w:szCs w:val="24"/>
          <w:lang w:val="en-GB" w:eastAsia="es-ES"/>
        </w:rPr>
        <w:t xml:space="preserve">The </w:t>
      </w:r>
      <w:r w:rsidRPr="005C7B9A">
        <w:rPr>
          <w:rFonts w:ascii="Times New Roman" w:eastAsia="Times New Roman" w:hAnsi="Times New Roman" w:cs="Times New Roman"/>
          <w:i/>
          <w:color w:val="000000" w:themeColor="text1"/>
          <w:sz w:val="24"/>
          <w:szCs w:val="24"/>
          <w:lang w:val="en-GB" w:eastAsia="es-ES"/>
        </w:rPr>
        <w:t>relevance condition</w:t>
      </w:r>
      <w:r w:rsidRPr="005C7B9A">
        <w:rPr>
          <w:rFonts w:ascii="Times New Roman" w:eastAsia="Times New Roman" w:hAnsi="Times New Roman" w:cs="Times New Roman"/>
          <w:color w:val="000000" w:themeColor="text1"/>
          <w:sz w:val="24"/>
          <w:szCs w:val="24"/>
          <w:lang w:val="en-GB" w:eastAsia="es-ES"/>
        </w:rPr>
        <w:t xml:space="preserve"> or </w:t>
      </w:r>
      <w:r w:rsidRPr="005C7B9A">
        <w:rPr>
          <w:rFonts w:ascii="Times New Roman" w:eastAsia="Times New Roman" w:hAnsi="Times New Roman" w:cs="Times New Roman"/>
          <w:i/>
          <w:color w:val="000000" w:themeColor="text1"/>
          <w:sz w:val="24"/>
          <w:szCs w:val="24"/>
          <w:lang w:val="en-GB" w:eastAsia="es-ES"/>
        </w:rPr>
        <w:t>first stage</w:t>
      </w:r>
      <w:r w:rsidRPr="005C7B9A">
        <w:rPr>
          <w:rFonts w:ascii="Times New Roman" w:eastAsia="Times New Roman" w:hAnsi="Times New Roman" w:cs="Times New Roman"/>
          <w:color w:val="000000" w:themeColor="text1"/>
          <w:sz w:val="24"/>
          <w:szCs w:val="24"/>
          <w:lang w:val="en-GB" w:eastAsia="es-ES"/>
        </w:rPr>
        <w:t>. This condition indicates that the instrument should be strongly associated with the treatment</w:t>
      </w:r>
      <w:r w:rsidRPr="005C7B9A">
        <w:rPr>
          <w:rFonts w:ascii="Times New Roman" w:hAnsi="Times New Roman" w:cs="Times New Roman"/>
          <w:color w:val="000000" w:themeColor="text1"/>
          <w:sz w:val="24"/>
          <w:szCs w:val="24"/>
          <w:lang w:val="en-GB"/>
        </w:rPr>
        <w:t>.</w:t>
      </w:r>
      <w:r w:rsidRPr="005C7B9A">
        <w:rPr>
          <w:rFonts w:ascii="Times New Roman" w:eastAsia="Times New Roman" w:hAnsi="Times New Roman" w:cs="Times New Roman"/>
          <w:color w:val="000000" w:themeColor="text1"/>
          <w:sz w:val="24"/>
          <w:szCs w:val="24"/>
          <w:lang w:val="en-GB" w:eastAsia="es-ES"/>
        </w:rPr>
        <w:t xml:space="preserve"> The Stock and Yogo test, also known as the Cragg-Donald Wald F-statistic, is a statistical test used to assess the validity of instrumental variables. Specifically, it helps determine whether the instrumental variable is correlated with the endogenous variable, which is a key requirement for instrumental variable analysis. The null hypothesis is that the IV is weakly correlated with the instrument. If it fails to reject the null hypothesis, the instrument is weak and the results of the IV estimations may be unreliable. </w:t>
      </w:r>
      <w:r w:rsidR="00C4077D" w:rsidRPr="005C7B9A">
        <w:rPr>
          <w:rFonts w:ascii="Times New Roman" w:hAnsi="Times New Roman" w:cs="Times New Roman"/>
          <w:color w:val="000000" w:themeColor="text1"/>
          <w:sz w:val="24"/>
          <w:szCs w:val="24"/>
          <w:lang w:val="en-GB"/>
        </w:rPr>
        <w:t>Besides having literature supports of an existing association between alcohol consumption and overweight (Traversy &amp; Chaput, 2015), we will observe in the estimations that the frequency of alcohol consumption is clearly correlated with body mass index, conditional on other covariates. We will also see that the Stock and Yogo (2005) test of weak instruments rejects the null hypothesis (i.e. the instrument is weak) and confirms that the relevance condition holds</w:t>
      </w:r>
      <w:r w:rsidR="00C4077D" w:rsidRPr="005C7B9A">
        <w:rPr>
          <w:rStyle w:val="FootnoteReference"/>
          <w:rFonts w:ascii="Times New Roman" w:hAnsi="Times New Roman" w:cs="Times New Roman"/>
          <w:color w:val="000000" w:themeColor="text1"/>
          <w:sz w:val="24"/>
          <w:szCs w:val="24"/>
          <w:lang w:val="en-GB"/>
        </w:rPr>
        <w:footnoteReference w:id="1"/>
      </w:r>
      <w:r w:rsidR="00C4077D" w:rsidRPr="005C7B9A">
        <w:rPr>
          <w:rFonts w:ascii="Times New Roman" w:hAnsi="Times New Roman" w:cs="Times New Roman"/>
          <w:color w:val="000000" w:themeColor="text1"/>
          <w:sz w:val="24"/>
          <w:szCs w:val="24"/>
          <w:lang w:val="en-GB"/>
        </w:rPr>
        <w:t>.</w:t>
      </w:r>
    </w:p>
    <w:p w:rsidR="0017769B" w:rsidRPr="005C7B9A" w:rsidRDefault="0017769B" w:rsidP="00AF4B88">
      <w:pPr>
        <w:pStyle w:val="ListParagraph"/>
        <w:numPr>
          <w:ilvl w:val="0"/>
          <w:numId w:val="1"/>
        </w:numPr>
        <w:spacing w:after="120" w:line="240" w:lineRule="auto"/>
        <w:ind w:left="993"/>
        <w:jc w:val="both"/>
        <w:rPr>
          <w:rFonts w:ascii="Times New Roman" w:eastAsia="Times New Roman" w:hAnsi="Times New Roman" w:cs="Times New Roman"/>
          <w:color w:val="000000" w:themeColor="text1"/>
          <w:sz w:val="24"/>
          <w:szCs w:val="24"/>
          <w:lang w:val="en-GB" w:eastAsia="es-ES"/>
        </w:rPr>
      </w:pPr>
      <w:r w:rsidRPr="005C7B9A">
        <w:rPr>
          <w:rFonts w:ascii="Times New Roman" w:eastAsia="Times New Roman" w:hAnsi="Times New Roman" w:cs="Times New Roman"/>
          <w:color w:val="000000" w:themeColor="text1"/>
          <w:sz w:val="24"/>
          <w:szCs w:val="24"/>
          <w:lang w:val="en-GB" w:eastAsia="es-ES"/>
        </w:rPr>
        <w:t xml:space="preserve">The </w:t>
      </w:r>
      <w:r w:rsidRPr="005C7B9A">
        <w:rPr>
          <w:rFonts w:ascii="Times New Roman" w:eastAsia="Times New Roman" w:hAnsi="Times New Roman" w:cs="Times New Roman"/>
          <w:i/>
          <w:color w:val="000000" w:themeColor="text1"/>
          <w:sz w:val="24"/>
          <w:szCs w:val="24"/>
          <w:lang w:val="en-GB" w:eastAsia="es-ES"/>
        </w:rPr>
        <w:t>independence</w:t>
      </w:r>
      <w:r w:rsidRPr="005C7B9A">
        <w:rPr>
          <w:rFonts w:ascii="Times New Roman" w:eastAsia="Times New Roman" w:hAnsi="Times New Roman" w:cs="Times New Roman"/>
          <w:color w:val="000000" w:themeColor="text1"/>
          <w:sz w:val="24"/>
          <w:szCs w:val="24"/>
          <w:lang w:val="en-GB" w:eastAsia="es-ES"/>
        </w:rPr>
        <w:t>/</w:t>
      </w:r>
      <w:r w:rsidRPr="005C7B9A">
        <w:rPr>
          <w:rFonts w:ascii="Times New Roman" w:eastAsia="Times New Roman" w:hAnsi="Times New Roman" w:cs="Times New Roman"/>
          <w:i/>
          <w:color w:val="000000" w:themeColor="text1"/>
          <w:sz w:val="24"/>
          <w:szCs w:val="24"/>
          <w:lang w:val="en-GB" w:eastAsia="es-ES"/>
        </w:rPr>
        <w:t>exogeneity assumption</w:t>
      </w:r>
      <w:r w:rsidRPr="005C7B9A">
        <w:rPr>
          <w:rFonts w:ascii="Times New Roman" w:eastAsia="Times New Roman" w:hAnsi="Times New Roman" w:cs="Times New Roman"/>
          <w:color w:val="000000" w:themeColor="text1"/>
          <w:sz w:val="24"/>
          <w:szCs w:val="24"/>
          <w:lang w:val="en-GB" w:eastAsia="es-ES"/>
        </w:rPr>
        <w:t xml:space="preserve">. This condition stablishes that the instrument is randomly assigned or “as good as randomly assigned” meaning that it is uncorrelated to the omitted variables we might like to control for. </w:t>
      </w:r>
      <w:r w:rsidRPr="005C7B9A">
        <w:rPr>
          <w:rFonts w:ascii="Times New Roman" w:hAnsi="Times New Roman" w:cs="Times New Roman"/>
          <w:color w:val="000000" w:themeColor="text1"/>
          <w:sz w:val="24"/>
          <w:szCs w:val="24"/>
          <w:lang w:val="en-GB"/>
        </w:rPr>
        <w:t xml:space="preserve">This entails that the instrument cannot be correlated with the error term, that is </w:t>
      </w:r>
      <m:oMath>
        <m:r>
          <w:rPr>
            <w:rFonts w:ascii="Cambria Math" w:hAnsi="Cambria Math" w:cs="Times New Roman"/>
            <w:color w:val="000000" w:themeColor="text1"/>
            <w:sz w:val="24"/>
            <w:szCs w:val="24"/>
            <w:lang w:val="en-GB"/>
          </w:rPr>
          <m:t>Cov</m:t>
        </m:r>
        <m:d>
          <m:dPr>
            <m:ctrlPr>
              <w:rPr>
                <w:rFonts w:ascii="Cambria Math" w:hAnsi="Cambria Math" w:cs="Times New Roman"/>
                <w:i/>
                <w:color w:val="000000" w:themeColor="text1"/>
                <w:sz w:val="24"/>
                <w:szCs w:val="24"/>
                <w:lang w:val="en-GB"/>
              </w:rPr>
            </m:ctrlPr>
          </m:dPr>
          <m:e>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Z</m:t>
                </m:r>
              </m:e>
              <m:sub>
                <m:r>
                  <w:rPr>
                    <w:rFonts w:ascii="Cambria Math" w:hAnsi="Cambria Math" w:cs="Times New Roman"/>
                    <w:color w:val="000000" w:themeColor="text1"/>
                    <w:sz w:val="24"/>
                    <w:szCs w:val="24"/>
                    <w:lang w:val="en-GB"/>
                  </w:rPr>
                  <m:t>i</m:t>
                </m:r>
              </m:sub>
            </m:sSub>
            <m:r>
              <w:rPr>
                <w:rFonts w:ascii="Cambria Math" w:hAnsi="Cambria Math" w:cs="Times New Roman"/>
                <w:color w:val="000000" w:themeColor="text1"/>
                <w:sz w:val="24"/>
                <w:szCs w:val="24"/>
                <w:lang w:val="en-GB"/>
              </w:rPr>
              <m:t xml:space="preserve">, </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u</m:t>
                </m:r>
              </m:e>
              <m:sub>
                <m:r>
                  <w:rPr>
                    <w:rFonts w:ascii="Cambria Math" w:hAnsi="Cambria Math" w:cs="Times New Roman"/>
                    <w:color w:val="000000" w:themeColor="text1"/>
                    <w:sz w:val="24"/>
                    <w:szCs w:val="24"/>
                    <w:lang w:val="en-GB"/>
                  </w:rPr>
                  <m:t xml:space="preserve">i </m:t>
                </m:r>
              </m:sub>
            </m:sSub>
          </m:e>
        </m:d>
        <m:r>
          <w:rPr>
            <w:rFonts w:ascii="Cambria Math" w:hAnsi="Cambria Math" w:cs="Times New Roman"/>
            <w:color w:val="000000" w:themeColor="text1"/>
            <w:sz w:val="24"/>
            <w:szCs w:val="24"/>
            <w:lang w:val="en-GB"/>
          </w:rPr>
          <m:t>=0</m:t>
        </m:r>
      </m:oMath>
      <w:r w:rsidRPr="005C7B9A">
        <w:rPr>
          <w:rFonts w:ascii="Times New Roman" w:hAnsi="Times New Roman" w:cs="Times New Roman"/>
          <w:color w:val="000000" w:themeColor="text1"/>
          <w:sz w:val="24"/>
          <w:szCs w:val="24"/>
          <w:lang w:val="en-GB"/>
        </w:rPr>
        <w:t xml:space="preserve">. </w:t>
      </w:r>
      <w:r w:rsidR="00C4077D" w:rsidRPr="005C7B9A">
        <w:rPr>
          <w:rFonts w:ascii="Times New Roman" w:eastAsia="Times New Roman" w:hAnsi="Times New Roman" w:cs="Times New Roman"/>
          <w:color w:val="000000" w:themeColor="text1"/>
          <w:sz w:val="24"/>
          <w:szCs w:val="24"/>
          <w:lang w:val="en-GB" w:eastAsia="es-ES"/>
        </w:rPr>
        <w:t>After including the control variables, alcohol consumption is assumed to be as good as random, given that alcohol consumption in adolescence may be mostly driven by socioeconomic and cultural variables, which are thoroughly controlled in the model with father and mother socioeconomic status and home possessions.</w:t>
      </w:r>
    </w:p>
    <w:p w:rsidR="0017769B" w:rsidRPr="005C7B9A" w:rsidRDefault="0017769B" w:rsidP="00AF4B88">
      <w:pPr>
        <w:pStyle w:val="ListParagraph"/>
        <w:numPr>
          <w:ilvl w:val="0"/>
          <w:numId w:val="1"/>
        </w:numPr>
        <w:spacing w:after="120" w:line="240" w:lineRule="auto"/>
        <w:ind w:left="993"/>
        <w:jc w:val="both"/>
        <w:rPr>
          <w:rFonts w:ascii="Times New Roman" w:eastAsia="Times New Roman" w:hAnsi="Times New Roman" w:cs="Times New Roman"/>
          <w:color w:val="000000" w:themeColor="text1"/>
          <w:sz w:val="24"/>
          <w:szCs w:val="24"/>
          <w:lang w:val="en-GB" w:eastAsia="es-ES"/>
        </w:rPr>
      </w:pPr>
      <w:r w:rsidRPr="005C7B9A">
        <w:rPr>
          <w:rFonts w:ascii="Times New Roman" w:hAnsi="Times New Roman" w:cs="Times New Roman"/>
          <w:color w:val="000000" w:themeColor="text1"/>
          <w:sz w:val="24"/>
          <w:szCs w:val="24"/>
          <w:lang w:val="en-GB" w:eastAsia="es-ES"/>
        </w:rPr>
        <w:t xml:space="preserve">The </w:t>
      </w:r>
      <w:r w:rsidRPr="005C7B9A">
        <w:rPr>
          <w:rFonts w:ascii="Times New Roman" w:hAnsi="Times New Roman" w:cs="Times New Roman"/>
          <w:i/>
          <w:color w:val="000000" w:themeColor="text1"/>
          <w:sz w:val="24"/>
          <w:szCs w:val="24"/>
          <w:lang w:val="en-GB" w:eastAsia="es-ES"/>
        </w:rPr>
        <w:t>exclusion restriction</w:t>
      </w:r>
      <w:r w:rsidRPr="005C7B9A">
        <w:rPr>
          <w:rFonts w:ascii="Times New Roman" w:hAnsi="Times New Roman" w:cs="Times New Roman"/>
          <w:color w:val="000000" w:themeColor="text1"/>
          <w:sz w:val="24"/>
          <w:szCs w:val="24"/>
          <w:lang w:val="en-GB" w:eastAsia="es-ES"/>
        </w:rPr>
        <w:t xml:space="preserve">. This condition stablishes that the instrumental variable may not have an influence on the dependent variable through any other channel except its impact on the endogenous variable. It means that there is a sole channel for the influence of the instrument on the outcomes, that is the endogenous variable. </w:t>
      </w:r>
      <w:r w:rsidR="00C4077D" w:rsidRPr="005C7B9A">
        <w:rPr>
          <w:rFonts w:ascii="Times New Roman" w:hAnsi="Times New Roman" w:cs="Times New Roman"/>
          <w:color w:val="000000" w:themeColor="text1"/>
          <w:sz w:val="24"/>
          <w:szCs w:val="24"/>
          <w:lang w:val="en-GB" w:eastAsia="es-ES"/>
        </w:rPr>
        <w:t xml:space="preserve">According to this condition, the alcohol consumption may exert their influence on the outcomes variable solely through the </w:t>
      </w:r>
      <m:oMath>
        <m:sSub>
          <m:sSubPr>
            <m:ctrlPr>
              <w:rPr>
                <w:rFonts w:ascii="Cambria Math" w:eastAsiaTheme="minorEastAsia" w:hAnsi="Cambria Math" w:cs="Times New Roman"/>
                <w:i/>
                <w:color w:val="000000" w:themeColor="text1"/>
                <w:sz w:val="24"/>
                <w:szCs w:val="24"/>
                <w:lang w:val="en-GB"/>
              </w:rPr>
            </m:ctrlPr>
          </m:sSubPr>
          <m:e>
            <m:r>
              <w:rPr>
                <w:rFonts w:ascii="Cambria Math" w:eastAsiaTheme="minorEastAsia" w:hAnsi="Cambria Math" w:cs="Times New Roman"/>
                <w:color w:val="000000" w:themeColor="text1"/>
                <w:sz w:val="24"/>
                <w:szCs w:val="24"/>
                <w:lang w:val="en-GB"/>
              </w:rPr>
              <m:t>BMI</m:t>
            </m:r>
          </m:e>
          <m:sub>
            <m:r>
              <w:rPr>
                <w:rFonts w:ascii="Cambria Math" w:eastAsiaTheme="minorEastAsia" w:hAnsi="Cambria Math" w:cs="Times New Roman"/>
                <w:color w:val="000000" w:themeColor="text1"/>
                <w:sz w:val="24"/>
                <w:szCs w:val="24"/>
                <w:lang w:val="en-GB"/>
              </w:rPr>
              <m:t>i</m:t>
            </m:r>
          </m:sub>
        </m:sSub>
        <m:r>
          <w:rPr>
            <w:rFonts w:ascii="Cambria Math" w:eastAsiaTheme="minorEastAsia" w:hAnsi="Cambria Math" w:cs="Times New Roman"/>
            <w:color w:val="000000" w:themeColor="text1"/>
            <w:sz w:val="24"/>
            <w:szCs w:val="24"/>
            <w:lang w:val="en-GB"/>
          </w:rPr>
          <m:t>.</m:t>
        </m:r>
      </m:oMath>
      <w:r w:rsidR="00C4077D" w:rsidRPr="005C7B9A">
        <w:rPr>
          <w:rFonts w:ascii="Times New Roman" w:eastAsiaTheme="minorEastAsia" w:hAnsi="Times New Roman" w:cs="Times New Roman"/>
          <w:color w:val="000000" w:themeColor="text1"/>
          <w:sz w:val="24"/>
          <w:szCs w:val="24"/>
          <w:lang w:val="en-GB"/>
        </w:rPr>
        <w:t xml:space="preserve"> </w:t>
      </w:r>
      <w:r w:rsidR="00C4077D" w:rsidRPr="005C7B9A">
        <w:rPr>
          <w:rFonts w:ascii="Times New Roman" w:hAnsi="Times New Roman" w:cs="Times New Roman"/>
          <w:color w:val="000000" w:themeColor="text1"/>
          <w:sz w:val="24"/>
          <w:szCs w:val="24"/>
          <w:lang w:val="en-GB" w:eastAsia="es-ES"/>
        </w:rPr>
        <w:t>We argue that this assumption may hold based on the fact that other plausible channels of influence have been controlled for.</w:t>
      </w:r>
    </w:p>
    <w:p w:rsidR="0017769B" w:rsidRPr="005C7B9A" w:rsidRDefault="0017769B" w:rsidP="00AF4B88">
      <w:pPr>
        <w:pStyle w:val="ListParagraph"/>
        <w:numPr>
          <w:ilvl w:val="0"/>
          <w:numId w:val="1"/>
        </w:numPr>
        <w:spacing w:after="120" w:line="240" w:lineRule="auto"/>
        <w:ind w:left="993"/>
        <w:jc w:val="both"/>
        <w:rPr>
          <w:rFonts w:ascii="Times New Roman" w:hAnsi="Times New Roman" w:cs="Times New Roman"/>
          <w:color w:val="000000" w:themeColor="text1"/>
          <w:sz w:val="24"/>
          <w:szCs w:val="24"/>
          <w:lang w:val="en-GB"/>
        </w:rPr>
      </w:pPr>
      <w:r w:rsidRPr="005C7B9A">
        <w:rPr>
          <w:rFonts w:ascii="Times New Roman" w:hAnsi="Times New Roman" w:cs="Times New Roman"/>
          <w:color w:val="000000" w:themeColor="text1"/>
          <w:sz w:val="24"/>
          <w:szCs w:val="24"/>
          <w:lang w:val="en-GB" w:eastAsia="es-ES"/>
        </w:rPr>
        <w:t xml:space="preserve">The </w:t>
      </w:r>
      <w:r w:rsidRPr="005C7B9A">
        <w:rPr>
          <w:rFonts w:ascii="Times New Roman" w:hAnsi="Times New Roman" w:cs="Times New Roman"/>
          <w:i/>
          <w:color w:val="000000" w:themeColor="text1"/>
          <w:sz w:val="24"/>
          <w:szCs w:val="24"/>
          <w:lang w:val="en-GB" w:eastAsia="es-ES"/>
        </w:rPr>
        <w:t>monotonicity property</w:t>
      </w:r>
      <w:r w:rsidRPr="005C7B9A">
        <w:rPr>
          <w:rFonts w:ascii="Times New Roman" w:hAnsi="Times New Roman" w:cs="Times New Roman"/>
          <w:color w:val="000000" w:themeColor="text1"/>
          <w:sz w:val="24"/>
          <w:szCs w:val="24"/>
          <w:lang w:val="en-GB" w:eastAsia="es-ES"/>
        </w:rPr>
        <w:t>. While the instrument may have no effect on some individuals, all of those who are affected should be affected unidirectionally.</w:t>
      </w:r>
      <w:r w:rsidRPr="005C7B9A">
        <w:rPr>
          <w:rFonts w:ascii="Times New Roman" w:hAnsi="Times New Roman" w:cs="Times New Roman"/>
          <w:color w:val="000000" w:themeColor="text1"/>
          <w:sz w:val="24"/>
          <w:szCs w:val="24"/>
          <w:lang w:val="en-GB"/>
        </w:rPr>
        <w:t xml:space="preserve"> </w:t>
      </w:r>
      <w:r w:rsidR="00113C11" w:rsidRPr="005C7B9A">
        <w:rPr>
          <w:rFonts w:ascii="Times New Roman" w:hAnsi="Times New Roman" w:cs="Times New Roman"/>
          <w:color w:val="000000" w:themeColor="text1"/>
          <w:sz w:val="24"/>
          <w:szCs w:val="24"/>
          <w:lang w:val="en-GB"/>
        </w:rPr>
        <w:t xml:space="preserve">It means that the instrument cannot increase the treatment level for some individuals and decrease it for others. </w:t>
      </w:r>
      <w:r w:rsidR="00C4077D" w:rsidRPr="005C7B9A">
        <w:rPr>
          <w:rFonts w:ascii="Times New Roman" w:hAnsi="Times New Roman" w:cs="Times New Roman"/>
          <w:color w:val="000000" w:themeColor="text1"/>
          <w:sz w:val="24"/>
          <w:szCs w:val="24"/>
          <w:lang w:val="en-GB"/>
        </w:rPr>
        <w:t xml:space="preserve">This condition means that those individuals who drank alcohol in the last 30 days and their BMI is influenced by it would see this in one direction, i.e. BMI will increase (as highlighted by </w:t>
      </w:r>
      <w:r w:rsidR="00C4077D" w:rsidRPr="005C7B9A">
        <w:rPr>
          <w:rFonts w:ascii="Times New Roman" w:hAnsi="Times New Roman" w:cs="Times New Roman"/>
          <w:color w:val="000000" w:themeColor="text1"/>
          <w:sz w:val="24"/>
          <w:szCs w:val="24"/>
          <w:shd w:val="clear" w:color="auto" w:fill="FFFFFF"/>
          <w:lang w:val="en-US"/>
        </w:rPr>
        <w:t xml:space="preserve">Kleiner et al., 2004; </w:t>
      </w:r>
      <w:r w:rsidR="00C4077D" w:rsidRPr="005C7B9A">
        <w:rPr>
          <w:rFonts w:ascii="Times New Roman" w:hAnsi="Times New Roman" w:cs="Times New Roman"/>
          <w:color w:val="000000" w:themeColor="text1"/>
          <w:sz w:val="24"/>
          <w:szCs w:val="24"/>
          <w:shd w:val="clear" w:color="auto" w:fill="FFFFFF"/>
          <w:lang w:val="en-GB"/>
        </w:rPr>
        <w:t>Traversy &amp; Chaput, 2015</w:t>
      </w:r>
      <w:r w:rsidR="00C4077D" w:rsidRPr="005C7B9A">
        <w:rPr>
          <w:rFonts w:ascii="Times New Roman" w:hAnsi="Times New Roman" w:cs="Times New Roman"/>
          <w:color w:val="000000" w:themeColor="text1"/>
          <w:sz w:val="24"/>
          <w:szCs w:val="24"/>
          <w:lang w:val="en-GB"/>
        </w:rPr>
        <w:t>). As we will also see in the first stage estimations in the Results section, higher alcohol consumption is associated with higher BMI.</w:t>
      </w:r>
    </w:p>
    <w:p w:rsidR="000903EC" w:rsidRPr="005C7B9A" w:rsidRDefault="000903EC">
      <w:pPr>
        <w:rPr>
          <w:color w:val="000000" w:themeColor="text1"/>
          <w:lang w:val="en-GB"/>
        </w:rPr>
      </w:pPr>
    </w:p>
    <w:sectPr w:rsidR="000903EC" w:rsidRPr="005C7B9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E26" w:rsidRDefault="00FC0E26" w:rsidP="00C4077D">
      <w:pPr>
        <w:spacing w:after="0" w:line="240" w:lineRule="auto"/>
      </w:pPr>
      <w:r>
        <w:separator/>
      </w:r>
    </w:p>
  </w:endnote>
  <w:endnote w:type="continuationSeparator" w:id="0">
    <w:p w:rsidR="00FC0E26" w:rsidRDefault="00FC0E26" w:rsidP="00C4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E26" w:rsidRDefault="00FC0E26" w:rsidP="00C4077D">
      <w:pPr>
        <w:spacing w:after="0" w:line="240" w:lineRule="auto"/>
      </w:pPr>
      <w:r>
        <w:separator/>
      </w:r>
    </w:p>
  </w:footnote>
  <w:footnote w:type="continuationSeparator" w:id="0">
    <w:p w:rsidR="00FC0E26" w:rsidRDefault="00FC0E26" w:rsidP="00C4077D">
      <w:pPr>
        <w:spacing w:after="0" w:line="240" w:lineRule="auto"/>
      </w:pPr>
      <w:r>
        <w:continuationSeparator/>
      </w:r>
    </w:p>
  </w:footnote>
  <w:footnote w:id="1">
    <w:p w:rsidR="00C4077D" w:rsidRPr="00CF224B" w:rsidRDefault="00C4077D" w:rsidP="00C4077D">
      <w:pPr>
        <w:pStyle w:val="FootnoteText"/>
        <w:rPr>
          <w:rFonts w:ascii="Times New Roman" w:hAnsi="Times New Roman" w:cs="Times New Roman"/>
          <w:lang w:val="en-GB"/>
        </w:rPr>
      </w:pPr>
      <w:r w:rsidRPr="00746E9A">
        <w:rPr>
          <w:rStyle w:val="FootnoteReference"/>
          <w:rFonts w:ascii="Times New Roman" w:hAnsi="Times New Roman" w:cs="Times New Roman"/>
        </w:rPr>
        <w:footnoteRef/>
      </w:r>
      <w:r w:rsidRPr="00746E9A">
        <w:rPr>
          <w:rFonts w:ascii="Times New Roman" w:hAnsi="Times New Roman" w:cs="Times New Roman"/>
          <w:lang w:val="en-GB"/>
        </w:rPr>
        <w:t xml:space="preserve"> The null hypothesis (the instrument is weak) cannot be rejected in the modelling of two variables: “been bullied” (Table A5, Appendix) and “can count on friends” (Table A6, Appendix).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B538EF"/>
    <w:multiLevelType w:val="hybridMultilevel"/>
    <w:tmpl w:val="23FE2664"/>
    <w:lvl w:ilvl="0" w:tplc="74CAF622">
      <w:start w:val="1"/>
      <w:numFmt w:val="lowerLetter"/>
      <w:lvlText w:val="(%1)"/>
      <w:lvlJc w:val="left"/>
      <w:pPr>
        <w:ind w:left="1093" w:hanging="384"/>
      </w:pPr>
      <w:rPr>
        <w:rFonts w:eastAsia="Times New Roman"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activeWritingStyle w:appName="MSWord" w:lang="es-ES" w:vendorID="64" w:dllVersion="131078" w:nlCheck="1" w:checkStyle="0"/>
  <w:activeWritingStyle w:appName="MSWord" w:lang="en-GB"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69B"/>
    <w:rsid w:val="000903EC"/>
    <w:rsid w:val="000919CA"/>
    <w:rsid w:val="00093F29"/>
    <w:rsid w:val="00113C11"/>
    <w:rsid w:val="0017769B"/>
    <w:rsid w:val="00232CAA"/>
    <w:rsid w:val="003000B2"/>
    <w:rsid w:val="005C7B9A"/>
    <w:rsid w:val="00603F29"/>
    <w:rsid w:val="00673C2C"/>
    <w:rsid w:val="006B5576"/>
    <w:rsid w:val="00725A2D"/>
    <w:rsid w:val="00746E9A"/>
    <w:rsid w:val="008554E2"/>
    <w:rsid w:val="00871A75"/>
    <w:rsid w:val="00984CAF"/>
    <w:rsid w:val="00A41536"/>
    <w:rsid w:val="00AC74C5"/>
    <w:rsid w:val="00AF4B88"/>
    <w:rsid w:val="00BE7C2A"/>
    <w:rsid w:val="00C16206"/>
    <w:rsid w:val="00C245AF"/>
    <w:rsid w:val="00C4077D"/>
    <w:rsid w:val="00F767E9"/>
    <w:rsid w:val="00FC0E2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D33CFE-B48B-465D-B779-713F2B670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769B"/>
    <w:rPr>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69B"/>
    <w:pPr>
      <w:ind w:left="720"/>
      <w:contextualSpacing/>
    </w:pPr>
  </w:style>
  <w:style w:type="character" w:styleId="Hyperlink">
    <w:name w:val="Hyperlink"/>
    <w:basedOn w:val="DefaultParagraphFont"/>
    <w:uiPriority w:val="99"/>
    <w:semiHidden/>
    <w:unhideWhenUsed/>
    <w:rsid w:val="00113C11"/>
    <w:rPr>
      <w:color w:val="0000FF"/>
      <w:u w:val="single"/>
    </w:rPr>
  </w:style>
  <w:style w:type="character" w:styleId="CommentReference">
    <w:name w:val="annotation reference"/>
    <w:basedOn w:val="DefaultParagraphFont"/>
    <w:uiPriority w:val="99"/>
    <w:semiHidden/>
    <w:unhideWhenUsed/>
    <w:rsid w:val="00C4077D"/>
    <w:rPr>
      <w:sz w:val="16"/>
      <w:szCs w:val="16"/>
    </w:rPr>
  </w:style>
  <w:style w:type="paragraph" w:styleId="CommentText">
    <w:name w:val="annotation text"/>
    <w:basedOn w:val="Normal"/>
    <w:link w:val="CommentTextChar"/>
    <w:uiPriority w:val="99"/>
    <w:unhideWhenUsed/>
    <w:rsid w:val="00C4077D"/>
    <w:pPr>
      <w:spacing w:line="240" w:lineRule="auto"/>
    </w:pPr>
    <w:rPr>
      <w:sz w:val="20"/>
      <w:szCs w:val="20"/>
    </w:rPr>
  </w:style>
  <w:style w:type="character" w:customStyle="1" w:styleId="CommentTextChar">
    <w:name w:val="Comment Text Char"/>
    <w:basedOn w:val="DefaultParagraphFont"/>
    <w:link w:val="CommentText"/>
    <w:uiPriority w:val="99"/>
    <w:rsid w:val="00C4077D"/>
    <w:rPr>
      <w:sz w:val="20"/>
      <w:szCs w:val="20"/>
      <w:lang w:val="es-ES"/>
    </w:rPr>
  </w:style>
  <w:style w:type="paragraph" w:styleId="BalloonText">
    <w:name w:val="Balloon Text"/>
    <w:basedOn w:val="Normal"/>
    <w:link w:val="BalloonTextChar"/>
    <w:uiPriority w:val="99"/>
    <w:semiHidden/>
    <w:unhideWhenUsed/>
    <w:rsid w:val="00C407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77D"/>
    <w:rPr>
      <w:rFonts w:ascii="Segoe UI" w:hAnsi="Segoe UI" w:cs="Segoe UI"/>
      <w:sz w:val="18"/>
      <w:szCs w:val="18"/>
      <w:lang w:val="es-ES"/>
    </w:rPr>
  </w:style>
  <w:style w:type="paragraph" w:styleId="FootnoteText">
    <w:name w:val="footnote text"/>
    <w:basedOn w:val="Normal"/>
    <w:link w:val="FootnoteTextChar"/>
    <w:uiPriority w:val="99"/>
    <w:unhideWhenUsed/>
    <w:rsid w:val="00C4077D"/>
    <w:pPr>
      <w:spacing w:after="0" w:line="240" w:lineRule="auto"/>
    </w:pPr>
    <w:rPr>
      <w:sz w:val="20"/>
      <w:szCs w:val="20"/>
    </w:rPr>
  </w:style>
  <w:style w:type="character" w:customStyle="1" w:styleId="FootnoteTextChar">
    <w:name w:val="Footnote Text Char"/>
    <w:basedOn w:val="DefaultParagraphFont"/>
    <w:link w:val="FootnoteText"/>
    <w:uiPriority w:val="99"/>
    <w:rsid w:val="00C4077D"/>
    <w:rPr>
      <w:sz w:val="20"/>
      <w:szCs w:val="20"/>
      <w:lang w:val="es-ES"/>
    </w:rPr>
  </w:style>
  <w:style w:type="character" w:styleId="FootnoteReference">
    <w:name w:val="footnote reference"/>
    <w:basedOn w:val="DefaultParagraphFont"/>
    <w:uiPriority w:val="99"/>
    <w:unhideWhenUsed/>
    <w:rsid w:val="00C407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590</Words>
  <Characters>3363</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Universidad de Málaga</Company>
  <LinksUpToDate>false</LinksUpToDate>
  <CharactersWithSpaces>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dc:creator>
  <cp:keywords/>
  <dc:description/>
  <cp:lastModifiedBy>Reshma Velan</cp:lastModifiedBy>
  <cp:revision>18</cp:revision>
  <dcterms:created xsi:type="dcterms:W3CDTF">2023-10-10T15:18:00Z</dcterms:created>
  <dcterms:modified xsi:type="dcterms:W3CDTF">2023-11-27T08:32:00Z</dcterms:modified>
</cp:coreProperties>
</file>