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7B42" w14:textId="7138CB88" w:rsidR="00FA5EF0" w:rsidRDefault="00FA5EF0" w:rsidP="006F0B51">
      <w:pPr>
        <w:spacing w:line="276" w:lineRule="auto"/>
        <w:rPr>
          <w:rFonts w:ascii="Times New Roman" w:hAnsi="Times New Roman" w:cs="Times New Roman"/>
          <w:b/>
          <w:bCs/>
        </w:rPr>
      </w:pPr>
      <w:r w:rsidRPr="002D49A4">
        <w:rPr>
          <w:rFonts w:ascii="Times New Roman" w:hAnsi="Times New Roman" w:cs="Times New Roman"/>
          <w:b/>
          <w:bCs/>
        </w:rPr>
        <w:t>Estimating the Minimal Clinically Important Difference for the Myasthenia Gravis</w:t>
      </w:r>
      <w:r w:rsidRPr="002D49A4">
        <w:rPr>
          <w:rFonts w:ascii="Times New Roman" w:hAnsi="Times New Roman" w:cs="Times New Roman"/>
        </w:rPr>
        <w:t xml:space="preserve"> </w:t>
      </w:r>
      <w:r w:rsidRPr="002D49A4">
        <w:rPr>
          <w:rFonts w:ascii="Times New Roman" w:hAnsi="Times New Roman" w:cs="Times New Roman"/>
          <w:b/>
          <w:bCs/>
        </w:rPr>
        <w:t>Quality of Life revised scale (MG-QOL15R)</w:t>
      </w:r>
    </w:p>
    <w:p w14:paraId="3BD955AA" w14:textId="77777777" w:rsidR="00FA5EF0" w:rsidRPr="00A40A74" w:rsidRDefault="00FA5EF0" w:rsidP="006F0B5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40A74">
        <w:rPr>
          <w:rFonts w:ascii="Times New Roman" w:hAnsi="Times New Roman" w:cs="Times New Roman"/>
          <w:sz w:val="22"/>
          <w:szCs w:val="22"/>
        </w:rPr>
        <w:t>Quality of Life Research</w:t>
      </w:r>
    </w:p>
    <w:p w14:paraId="1BB82790" w14:textId="77777777" w:rsidR="00FA5EF0" w:rsidRDefault="00FA5EF0" w:rsidP="006F0B51">
      <w:pPr>
        <w:spacing w:line="276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2D49A4">
        <w:rPr>
          <w:rFonts w:ascii="Times New Roman" w:hAnsi="Times New Roman" w:cs="Times New Roman"/>
          <w:sz w:val="20"/>
          <w:szCs w:val="20"/>
        </w:rPr>
        <w:t>Ângela Jornada Ben MD,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49A4">
        <w:rPr>
          <w:rFonts w:ascii="Times New Roman" w:hAnsi="Times New Roman" w:cs="Times New Roman"/>
          <w:sz w:val="20"/>
          <w:szCs w:val="20"/>
        </w:rPr>
        <w:t xml:space="preserve">; Febe </w:t>
      </w:r>
      <w:proofErr w:type="spellStart"/>
      <w:r w:rsidRPr="002D49A4">
        <w:rPr>
          <w:rFonts w:ascii="Times New Roman" w:hAnsi="Times New Roman" w:cs="Times New Roman"/>
          <w:sz w:val="20"/>
          <w:szCs w:val="20"/>
        </w:rPr>
        <w:t>Brackx</w:t>
      </w:r>
      <w:proofErr w:type="spellEnd"/>
      <w:r w:rsidRPr="002D49A4">
        <w:rPr>
          <w:rFonts w:ascii="Times New Roman" w:hAnsi="Times New Roman" w:cs="Times New Roman"/>
          <w:sz w:val="20"/>
          <w:szCs w:val="20"/>
        </w:rPr>
        <w:t xml:space="preserve"> MSc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49A4">
        <w:rPr>
          <w:rFonts w:ascii="Times New Roman" w:hAnsi="Times New Roman" w:cs="Times New Roman"/>
          <w:sz w:val="20"/>
          <w:szCs w:val="20"/>
        </w:rPr>
        <w:t>; Glenn Phillips,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D49A4">
        <w:rPr>
          <w:rFonts w:ascii="Times New Roman" w:hAnsi="Times New Roman" w:cs="Times New Roman"/>
          <w:sz w:val="20"/>
          <w:szCs w:val="20"/>
        </w:rPr>
        <w:t>; Carolina Barnett-Tapia, MD,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D49A4">
        <w:rPr>
          <w:rFonts w:ascii="Times New Roman" w:hAnsi="Times New Roman" w:cs="Times New Roman"/>
          <w:sz w:val="20"/>
          <w:szCs w:val="20"/>
        </w:rPr>
        <w:t>; Cynthia Qi,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D49A4">
        <w:rPr>
          <w:rFonts w:ascii="Times New Roman" w:hAnsi="Times New Roman" w:cs="Times New Roman"/>
          <w:sz w:val="20"/>
          <w:szCs w:val="20"/>
        </w:rPr>
        <w:t>;  Fanni Rencz DSc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D49A4">
        <w:rPr>
          <w:rFonts w:ascii="Times New Roman" w:hAnsi="Times New Roman" w:cs="Times New Roman"/>
          <w:sz w:val="20"/>
          <w:szCs w:val="20"/>
        </w:rPr>
        <w:t>, Sarah Dewilde PhD</w:t>
      </w: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237D8737" w14:textId="77777777" w:rsidR="006F0B51" w:rsidRPr="002D49A4" w:rsidRDefault="006F0B51" w:rsidP="006F0B5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D49A4">
        <w:rPr>
          <w:rFonts w:ascii="Times New Roman" w:hAnsi="Times New Roman" w:cs="Times New Roman"/>
          <w:sz w:val="20"/>
          <w:szCs w:val="20"/>
        </w:rPr>
        <w:t xml:space="preserve"> Services in Health Economics, Brussels, Belgium</w:t>
      </w:r>
    </w:p>
    <w:p w14:paraId="21B90680" w14:textId="77777777" w:rsidR="006F0B51" w:rsidRPr="002D49A4" w:rsidRDefault="006F0B51" w:rsidP="006F0B5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D49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D49A4">
        <w:rPr>
          <w:rFonts w:ascii="Times New Roman" w:hAnsi="Times New Roman" w:cs="Times New Roman"/>
          <w:sz w:val="20"/>
          <w:szCs w:val="20"/>
        </w:rPr>
        <w:t>argenX</w:t>
      </w:r>
      <w:proofErr w:type="spellEnd"/>
      <w:r w:rsidRPr="002D49A4">
        <w:rPr>
          <w:rFonts w:ascii="Times New Roman" w:hAnsi="Times New Roman" w:cs="Times New Roman"/>
          <w:sz w:val="20"/>
          <w:szCs w:val="20"/>
        </w:rPr>
        <w:t xml:space="preserve"> Ghent, Belgium</w:t>
      </w:r>
    </w:p>
    <w:p w14:paraId="523B14D8" w14:textId="77777777" w:rsidR="006F0B51" w:rsidRPr="002D49A4" w:rsidRDefault="006F0B51" w:rsidP="006F0B5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D49A4">
        <w:rPr>
          <w:rFonts w:ascii="Times New Roman" w:hAnsi="Times New Roman" w:cs="Times New Roman"/>
          <w:sz w:val="20"/>
          <w:szCs w:val="20"/>
        </w:rPr>
        <w:t xml:space="preserve"> Division of Neurology, Department of Medicine, University Health Network, University of Toronto, Toronto, Ontario, Canada.</w:t>
      </w:r>
    </w:p>
    <w:p w14:paraId="3F9B9316" w14:textId="77777777" w:rsidR="006F0B51" w:rsidRPr="002D49A4" w:rsidRDefault="006F0B51" w:rsidP="006F0B5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D49A4">
        <w:rPr>
          <w:rFonts w:ascii="Times New Roman" w:hAnsi="Times New Roman" w:cs="Times New Roman"/>
          <w:sz w:val="20"/>
          <w:szCs w:val="20"/>
        </w:rPr>
        <w:t xml:space="preserve"> Department of Health Policy, Corvinus University of Budapest, Budapest, Hungary</w:t>
      </w:r>
    </w:p>
    <w:p w14:paraId="02D279C3" w14:textId="77777777" w:rsidR="00FA5EF0" w:rsidRPr="00043EB9" w:rsidRDefault="00FA5EF0" w:rsidP="006F0B51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25F53">
        <w:rPr>
          <w:rFonts w:ascii="Times New Roman" w:hAnsi="Times New Roman" w:cs="Times New Roman"/>
          <w:b/>
          <w:bCs/>
          <w:sz w:val="20"/>
          <w:szCs w:val="20"/>
          <w:lang w:val="en-GB"/>
        </w:rPr>
        <w:t>Corresponding author:</w:t>
      </w:r>
      <w:r w:rsidRPr="00425F53">
        <w:rPr>
          <w:rFonts w:ascii="Times New Roman" w:hAnsi="Times New Roman" w:cs="Times New Roman"/>
          <w:sz w:val="20"/>
          <w:szCs w:val="20"/>
          <w:lang w:val="en-GB"/>
        </w:rPr>
        <w:t xml:space="preserve"> Ângela Jornada Ben.</w:t>
      </w:r>
      <w:r w:rsidRPr="00425F53">
        <w:rPr>
          <w:lang w:val="en-GB"/>
        </w:rPr>
        <w:t xml:space="preserve"> </w:t>
      </w:r>
      <w:r w:rsidRPr="00043EB9">
        <w:rPr>
          <w:rFonts w:ascii="Times New Roman" w:hAnsi="Times New Roman" w:cs="Times New Roman"/>
          <w:sz w:val="20"/>
          <w:szCs w:val="20"/>
          <w:lang w:val="en-GB"/>
        </w:rPr>
        <w:t>angela@she-consulting.be</w:t>
      </w:r>
    </w:p>
    <w:tbl>
      <w:tblPr>
        <w:tblStyle w:val="TableGrid"/>
        <w:tblW w:w="13744" w:type="dxa"/>
        <w:tblLook w:val="04A0" w:firstRow="1" w:lastRow="0" w:firstColumn="1" w:lastColumn="0" w:noHBand="0" w:noVBand="1"/>
      </w:tblPr>
      <w:tblGrid>
        <w:gridCol w:w="6917"/>
        <w:gridCol w:w="6827"/>
      </w:tblGrid>
      <w:tr w:rsidR="00E54A2F" w:rsidRPr="002D49A4" w14:paraId="363EFE3C" w14:textId="77777777" w:rsidTr="00BA1EA6">
        <w:trPr>
          <w:trHeight w:val="4455"/>
        </w:trPr>
        <w:tc>
          <w:tcPr>
            <w:tcW w:w="0" w:type="auto"/>
          </w:tcPr>
          <w:p w14:paraId="727D2C63" w14:textId="77777777" w:rsidR="00E54A2F" w:rsidRPr="002D49A4" w:rsidRDefault="00E54A2F" w:rsidP="00BA1EA6">
            <w:pPr>
              <w:rPr>
                <w:rFonts w:ascii="Times New Roman" w:hAnsi="Times New Roman" w:cs="Times New Roman"/>
                <w:b/>
                <w:bCs/>
              </w:rPr>
            </w:pPr>
            <w:r w:rsidRPr="002D49A4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B52E3E1" wp14:editId="45FCFB77">
                  <wp:extent cx="4225126" cy="2560320"/>
                  <wp:effectExtent l="0" t="0" r="4445" b="0"/>
                  <wp:docPr id="1009212385" name="Picture 1" descr="A graph with blue dots and red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212385" name="Picture 1" descr="A graph with blue dots and red line&#10;&#10;AI-generated content may be incorrect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0624" cy="2612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71CC85A" w14:textId="77777777" w:rsidR="00E54A2F" w:rsidRPr="002D49A4" w:rsidRDefault="00E54A2F" w:rsidP="00BA1EA6">
            <w:pPr>
              <w:rPr>
                <w:rFonts w:ascii="Times New Roman" w:hAnsi="Times New Roman" w:cs="Times New Roman"/>
                <w:b/>
                <w:bCs/>
              </w:rPr>
            </w:pPr>
            <w:r w:rsidRPr="002D49A4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547DE13" wp14:editId="011F2A37">
                  <wp:extent cx="4167299" cy="2600754"/>
                  <wp:effectExtent l="0" t="0" r="5080" b="9525"/>
                  <wp:docPr id="566210887" name="Picture 4" descr="A graph with a red line and blue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210887" name="Picture 4" descr="A graph with a red line and blue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9360" cy="2683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AC1FF6" w14:textId="7FBB73AC" w:rsidR="00E54A2F" w:rsidRPr="002D49A4" w:rsidRDefault="00E54A2F" w:rsidP="00E54A2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D49A4">
        <w:rPr>
          <w:rFonts w:ascii="Times New Roman" w:hAnsi="Times New Roman" w:cs="Times New Roman"/>
          <w:b/>
          <w:bCs/>
          <w:sz w:val="20"/>
          <w:szCs w:val="20"/>
        </w:rPr>
        <w:t>Supplementary Fig 1</w:t>
      </w:r>
      <w:r w:rsidRPr="002D49A4">
        <w:rPr>
          <w:rFonts w:ascii="Times New Roman" w:hAnsi="Times New Roman" w:cs="Times New Roman"/>
          <w:sz w:val="20"/>
          <w:szCs w:val="20"/>
        </w:rPr>
        <w:t xml:space="preserve"> Association between changes in MG-ADL and MG-QOL15R scores in the MRW-MG study. Each point represents an individual participant. Negative values on both axes indicate clinical improvement. The red regression line with a 95% confidence band (shaded area) suggests a positive association: participants who improved in MG-ADL tended to show improvement in MG-QOL15R</w:t>
      </w:r>
      <w:r w:rsidR="00D1420C">
        <w:rPr>
          <w:rFonts w:ascii="Times New Roman" w:hAnsi="Times New Roman" w:cs="Times New Roman"/>
          <w:sz w:val="20"/>
          <w:szCs w:val="20"/>
        </w:rPr>
        <w:t>.</w:t>
      </w:r>
    </w:p>
    <w:p w14:paraId="59E42875" w14:textId="77777777" w:rsidR="00E46853" w:rsidRDefault="00E46853"/>
    <w:sectPr w:rsidR="00E46853" w:rsidSect="00E54A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2F"/>
    <w:rsid w:val="00061C3B"/>
    <w:rsid w:val="003B55E4"/>
    <w:rsid w:val="00554AAC"/>
    <w:rsid w:val="006F0B51"/>
    <w:rsid w:val="00A42440"/>
    <w:rsid w:val="00D1420C"/>
    <w:rsid w:val="00D84FEC"/>
    <w:rsid w:val="00E46853"/>
    <w:rsid w:val="00E54A2F"/>
    <w:rsid w:val="00FA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A5AF03"/>
  <w15:chartTrackingRefBased/>
  <w15:docId w15:val="{95BF9657-D15C-49C0-B029-4B0546BF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A2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A2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A2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A2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A2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A2F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A2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A2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A2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A2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54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A2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A2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54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A2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54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A2F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54A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4A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1E46BEBA91A49A6D6DFD77046917B" ma:contentTypeVersion="18" ma:contentTypeDescription="Create a new document." ma:contentTypeScope="" ma:versionID="55685c43289a648d62fe87a0dfca9d4c">
  <xsd:schema xmlns:xsd="http://www.w3.org/2001/XMLSchema" xmlns:xs="http://www.w3.org/2001/XMLSchema" xmlns:p="http://schemas.microsoft.com/office/2006/metadata/properties" xmlns:ns1="http://schemas.microsoft.com/sharepoint/v3" xmlns:ns2="bb936009-2082-4634-ad94-59cf7980793d" xmlns:ns3="ac3777f5-04a9-4cee-a11e-9631b11e927a" targetNamespace="http://schemas.microsoft.com/office/2006/metadata/properties" ma:root="true" ma:fieldsID="25f860084689c716700fea4a0ddcb94e" ns1:_="" ns2:_="" ns3:_="">
    <xsd:import namespace="http://schemas.microsoft.com/sharepoint/v3"/>
    <xsd:import namespace="bb936009-2082-4634-ad94-59cf7980793d"/>
    <xsd:import namespace="ac3777f5-04a9-4cee-a11e-9631b11e92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6009-2082-4634-ad94-59cf798079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b47c8e-9ab1-4105-876a-889f58ade9f4}" ma:internalName="TaxCatchAll" ma:showField="CatchAllData" ma:web="bb936009-2082-4634-ad94-59cf79807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777f5-04a9-4cee-a11e-9631b11e9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bae615e-44d2-450b-8a08-f5c1aac00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c3777f5-04a9-4cee-a11e-9631b11e927a">
      <Terms xmlns="http://schemas.microsoft.com/office/infopath/2007/PartnerControls"/>
    </lcf76f155ced4ddcb4097134ff3c332f>
    <_ip_UnifiedCompliancePolicyProperties xmlns="http://schemas.microsoft.com/sharepoint/v3" xsi:nil="true"/>
    <TaxCatchAll xmlns="bb936009-2082-4634-ad94-59cf7980793d" xsi:nil="true"/>
  </documentManagement>
</p:properties>
</file>

<file path=customXml/itemProps1.xml><?xml version="1.0" encoding="utf-8"?>
<ds:datastoreItem xmlns:ds="http://schemas.openxmlformats.org/officeDocument/2006/customXml" ds:itemID="{07612C19-5963-4B16-937C-253B6BB60FB8}"/>
</file>

<file path=customXml/itemProps2.xml><?xml version="1.0" encoding="utf-8"?>
<ds:datastoreItem xmlns:ds="http://schemas.openxmlformats.org/officeDocument/2006/customXml" ds:itemID="{4121A256-DB9E-42A9-B534-95E79A052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15C9A-8322-49FF-B343-E222D531D5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3777f5-04a9-4cee-a11e-9631b11e927a"/>
    <ds:schemaRef ds:uri="bb936009-2082-4634-ad94-59cf798079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Ângela J Ben</dc:creator>
  <cp:keywords/>
  <dc:description/>
  <cp:lastModifiedBy>Ângela J Ben</cp:lastModifiedBy>
  <cp:revision>4</cp:revision>
  <dcterms:created xsi:type="dcterms:W3CDTF">2025-07-28T11:44:00Z</dcterms:created>
  <dcterms:modified xsi:type="dcterms:W3CDTF">2025-09-08T09:31:00Z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0x0101005681E46BEBA91A49A6D6DFD77046917B</vt:lpwstr>
  </property>
  <property fmtid="{D5CDD505-2E9C-101B-9397-08002B2CF9AE}" pid="3" name="MediaServiceImageTags">
    <vt:lpwstr/>
  </property>
</Properties>
</file>