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CF3A6" w14:textId="77777777" w:rsidR="00050EF9" w:rsidRPr="00050EF9" w:rsidRDefault="00050EF9" w:rsidP="00050EF9">
      <w:pPr>
        <w:spacing w:line="480" w:lineRule="auto"/>
        <w:jc w:val="center"/>
        <w:rPr>
          <w:rFonts w:ascii="Times New Roman" w:eastAsia="MS Mincho" w:hAnsi="Times New Roman" w:cs="Times New Roman"/>
          <w:b/>
          <w:kern w:val="0"/>
          <w:lang w:val="en-US"/>
          <w14:ligatures w14:val="none"/>
        </w:rPr>
      </w:pPr>
      <w:r w:rsidRPr="00050EF9">
        <w:rPr>
          <w:rFonts w:ascii="Times New Roman" w:eastAsia="MS Mincho" w:hAnsi="Times New Roman" w:cs="Times New Roman"/>
          <w:b/>
          <w:kern w:val="0"/>
          <w:lang w:val="en-US"/>
          <w14:ligatures w14:val="none"/>
        </w:rPr>
        <w:t>Appendix</w:t>
      </w:r>
    </w:p>
    <w:p w14:paraId="04C22513" w14:textId="77777777" w:rsidR="00E048AC" w:rsidRDefault="00E048AC" w:rsidP="00050EF9">
      <w:pPr>
        <w:keepNext/>
        <w:spacing w:after="0" w:line="480" w:lineRule="auto"/>
        <w:rPr>
          <w:rFonts w:ascii="Times New Roman" w:eastAsia="MS Mincho" w:hAnsi="Times New Roman" w:cs="Times New Roman"/>
          <w:i/>
          <w:iCs/>
          <w:kern w:val="0"/>
          <w:lang w:val="en-US"/>
          <w14:ligatures w14:val="none"/>
        </w:rPr>
      </w:pPr>
      <w:bookmarkStart w:id="0" w:name="_Ref193709968"/>
    </w:p>
    <w:p w14:paraId="5E7C0424" w14:textId="383C84DF" w:rsidR="00050EF9" w:rsidRPr="00050EF9" w:rsidRDefault="00050EF9" w:rsidP="00050EF9">
      <w:pPr>
        <w:keepNext/>
        <w:spacing w:after="0" w:line="480" w:lineRule="auto"/>
        <w:rPr>
          <w:rFonts w:ascii="Times New Roman" w:eastAsia="MS Mincho" w:hAnsi="Times New Roman" w:cs="Times New Roman"/>
          <w:i/>
          <w:iCs/>
          <w:kern w:val="0"/>
          <w:lang w:val="en-US"/>
          <w14:ligatures w14:val="none"/>
        </w:rPr>
      </w:pPr>
      <w:r w:rsidRPr="00050EF9">
        <w:rPr>
          <w:rFonts w:ascii="Times New Roman" w:eastAsia="MS Mincho" w:hAnsi="Times New Roman" w:cs="Times New Roman"/>
          <w:i/>
          <w:iCs/>
          <w:kern w:val="0"/>
          <w:lang w:val="en-US"/>
          <w14:ligatures w14:val="none"/>
        </w:rPr>
        <w:t xml:space="preserve">Table </w:t>
      </w:r>
      <w:bookmarkEnd w:id="0"/>
      <w:r w:rsidRPr="00050EF9">
        <w:rPr>
          <w:rFonts w:ascii="Times New Roman" w:eastAsia="MS Mincho" w:hAnsi="Times New Roman" w:cs="Times New Roman"/>
          <w:i/>
          <w:iCs/>
          <w:kern w:val="0"/>
          <w:lang w:val="en-US"/>
          <w14:ligatures w14:val="none"/>
        </w:rPr>
        <w:t>A1: Distribution of patients' reply to PGIC at baseline and last assessment of Stage A, and for responders and non-responders</w:t>
      </w:r>
    </w:p>
    <w:tbl>
      <w:tblPr>
        <w:tblW w:w="11282" w:type="dxa"/>
        <w:tblInd w:w="-959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823"/>
        <w:gridCol w:w="943"/>
        <w:gridCol w:w="943"/>
        <w:gridCol w:w="1079"/>
        <w:gridCol w:w="1079"/>
        <w:gridCol w:w="1079"/>
        <w:gridCol w:w="1101"/>
        <w:gridCol w:w="933"/>
        <w:gridCol w:w="1391"/>
        <w:gridCol w:w="911"/>
      </w:tblGrid>
      <w:tr w:rsidR="00050EF9" w:rsidRPr="00050EF9" w14:paraId="27C32164" w14:textId="77777777" w:rsidTr="00050EF9">
        <w:trPr>
          <w:trHeight w:val="717"/>
        </w:trPr>
        <w:tc>
          <w:tcPr>
            <w:tcW w:w="1823" w:type="dxa"/>
            <w:tcBorders>
              <w:top w:val="single" w:sz="8" w:space="0" w:color="DBE8E9"/>
              <w:left w:val="nil"/>
              <w:bottom w:val="single" w:sz="8" w:space="0" w:color="DBE8E9"/>
              <w:right w:val="nil"/>
            </w:tcBorders>
            <w:shd w:val="clear" w:color="auto" w:fill="D6D4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B7B4F0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bookmarkStart w:id="1" w:name="_Hlk193709485"/>
          </w:p>
        </w:tc>
        <w:tc>
          <w:tcPr>
            <w:tcW w:w="943" w:type="dxa"/>
            <w:tcBorders>
              <w:top w:val="single" w:sz="8" w:space="0" w:color="DBE8E9"/>
              <w:left w:val="nil"/>
              <w:bottom w:val="single" w:sz="8" w:space="0" w:color="DBE8E9"/>
              <w:right w:val="nil"/>
            </w:tcBorders>
            <w:shd w:val="clear" w:color="auto" w:fill="D6D4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A54F8D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Very much worse</w:t>
            </w:r>
          </w:p>
        </w:tc>
        <w:tc>
          <w:tcPr>
            <w:tcW w:w="943" w:type="dxa"/>
            <w:tcBorders>
              <w:top w:val="single" w:sz="8" w:space="0" w:color="DBE8E9"/>
              <w:left w:val="nil"/>
              <w:bottom w:val="single" w:sz="8" w:space="0" w:color="DBE8E9"/>
              <w:right w:val="nil"/>
            </w:tcBorders>
            <w:shd w:val="clear" w:color="auto" w:fill="D6D4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E9B16F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Much worse</w:t>
            </w:r>
          </w:p>
        </w:tc>
        <w:tc>
          <w:tcPr>
            <w:tcW w:w="1079" w:type="dxa"/>
            <w:tcBorders>
              <w:top w:val="single" w:sz="8" w:space="0" w:color="DBE8E9"/>
              <w:left w:val="nil"/>
              <w:bottom w:val="single" w:sz="8" w:space="0" w:color="DBE8E9"/>
              <w:right w:val="nil"/>
            </w:tcBorders>
            <w:shd w:val="clear" w:color="auto" w:fill="D6D4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48C7AA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A little worse</w:t>
            </w:r>
          </w:p>
        </w:tc>
        <w:tc>
          <w:tcPr>
            <w:tcW w:w="1079" w:type="dxa"/>
            <w:tcBorders>
              <w:top w:val="single" w:sz="8" w:space="0" w:color="DBE8E9"/>
              <w:left w:val="nil"/>
              <w:bottom w:val="single" w:sz="8" w:space="0" w:color="DBE8E9"/>
              <w:right w:val="nil"/>
            </w:tcBorders>
            <w:shd w:val="clear" w:color="auto" w:fill="D6D4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20A484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No change</w:t>
            </w:r>
          </w:p>
        </w:tc>
        <w:tc>
          <w:tcPr>
            <w:tcW w:w="1079" w:type="dxa"/>
            <w:tcBorders>
              <w:top w:val="single" w:sz="8" w:space="0" w:color="DBE8E9"/>
              <w:left w:val="nil"/>
              <w:bottom w:val="single" w:sz="8" w:space="0" w:color="DBE8E9"/>
              <w:right w:val="nil"/>
            </w:tcBorders>
            <w:shd w:val="clear" w:color="auto" w:fill="D6D4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543B09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A little better</w:t>
            </w:r>
          </w:p>
        </w:tc>
        <w:tc>
          <w:tcPr>
            <w:tcW w:w="1101" w:type="dxa"/>
            <w:tcBorders>
              <w:top w:val="single" w:sz="8" w:space="0" w:color="DBE8E9"/>
              <w:left w:val="nil"/>
              <w:bottom w:val="single" w:sz="8" w:space="0" w:color="DBE8E9"/>
              <w:right w:val="nil"/>
            </w:tcBorders>
            <w:shd w:val="clear" w:color="auto" w:fill="D6D4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69B55E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Much better</w:t>
            </w:r>
          </w:p>
        </w:tc>
        <w:tc>
          <w:tcPr>
            <w:tcW w:w="933" w:type="dxa"/>
            <w:tcBorders>
              <w:top w:val="single" w:sz="8" w:space="0" w:color="DBE8E9"/>
              <w:left w:val="nil"/>
              <w:bottom w:val="single" w:sz="8" w:space="0" w:color="DBE8E9"/>
              <w:right w:val="nil"/>
            </w:tcBorders>
            <w:shd w:val="clear" w:color="auto" w:fill="D6D4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5F9C9C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Very much better</w:t>
            </w:r>
          </w:p>
        </w:tc>
        <w:tc>
          <w:tcPr>
            <w:tcW w:w="1391" w:type="dxa"/>
            <w:tcBorders>
              <w:top w:val="single" w:sz="8" w:space="0" w:color="DBE8E9"/>
              <w:left w:val="nil"/>
              <w:bottom w:val="single" w:sz="8" w:space="0" w:color="DBE8E9"/>
              <w:right w:val="nil"/>
            </w:tcBorders>
            <w:shd w:val="clear" w:color="auto" w:fill="D6D4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07CEC3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I don’t remember</w:t>
            </w:r>
          </w:p>
        </w:tc>
        <w:tc>
          <w:tcPr>
            <w:tcW w:w="911" w:type="dxa"/>
            <w:tcBorders>
              <w:top w:val="single" w:sz="8" w:space="0" w:color="DBE8E9"/>
              <w:left w:val="nil"/>
              <w:bottom w:val="single" w:sz="8" w:space="0" w:color="DBE8E9"/>
              <w:right w:val="nil"/>
            </w:tcBorders>
            <w:shd w:val="clear" w:color="auto" w:fill="D6D4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93CA43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Total</w:t>
            </w:r>
          </w:p>
        </w:tc>
      </w:tr>
      <w:tr w:rsidR="00050EF9" w:rsidRPr="00050EF9" w14:paraId="7A3B84AC" w14:textId="77777777" w:rsidTr="00050EF9">
        <w:trPr>
          <w:trHeight w:val="131"/>
        </w:trPr>
        <w:tc>
          <w:tcPr>
            <w:tcW w:w="11282" w:type="dxa"/>
            <w:gridSpan w:val="10"/>
            <w:tcBorders>
              <w:top w:val="single" w:sz="8" w:space="0" w:color="DBE8E9"/>
              <w:left w:val="nil"/>
              <w:bottom w:val="nil"/>
              <w:right w:val="nil"/>
            </w:tcBorders>
            <w:shd w:val="clear" w:color="auto" w:fill="ECEBE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E4C3E3" w14:textId="77777777" w:rsidR="00050EF9" w:rsidRPr="00050EF9" w:rsidRDefault="00050EF9" w:rsidP="00050EF9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Distribution of patients’ reply after one week of efgartigimod treatment and at the last assessment of Stage A</w:t>
            </w:r>
          </w:p>
        </w:tc>
      </w:tr>
      <w:tr w:rsidR="00050EF9" w:rsidRPr="00050EF9" w14:paraId="4FD7F440" w14:textId="77777777" w:rsidTr="00B24291">
        <w:trPr>
          <w:trHeight w:val="303"/>
        </w:trPr>
        <w:tc>
          <w:tcPr>
            <w:tcW w:w="1823" w:type="dxa"/>
            <w:tcBorders>
              <w:top w:val="single" w:sz="8" w:space="0" w:color="DBE8E9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5DB6F0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After one week of efgartigimod</w:t>
            </w:r>
          </w:p>
        </w:tc>
        <w:tc>
          <w:tcPr>
            <w:tcW w:w="943" w:type="dxa"/>
            <w:tcBorders>
              <w:top w:val="single" w:sz="8" w:space="0" w:color="DBE8E9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400A27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10 </w:t>
            </w:r>
          </w:p>
          <w:p w14:paraId="19D24267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(3.3%)</w:t>
            </w:r>
          </w:p>
        </w:tc>
        <w:tc>
          <w:tcPr>
            <w:tcW w:w="943" w:type="dxa"/>
            <w:tcBorders>
              <w:top w:val="single" w:sz="8" w:space="0" w:color="DBE8E9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24A20CB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13 (4.29%)</w:t>
            </w:r>
          </w:p>
        </w:tc>
        <w:tc>
          <w:tcPr>
            <w:tcW w:w="1079" w:type="dxa"/>
            <w:tcBorders>
              <w:top w:val="single" w:sz="8" w:space="0" w:color="DBE8E9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0D8C823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31 (10.23%)</w:t>
            </w:r>
          </w:p>
        </w:tc>
        <w:tc>
          <w:tcPr>
            <w:tcW w:w="1079" w:type="dxa"/>
            <w:tcBorders>
              <w:top w:val="single" w:sz="8" w:space="0" w:color="DBE8E9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782CFFC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159 (52.48%)</w:t>
            </w:r>
          </w:p>
        </w:tc>
        <w:tc>
          <w:tcPr>
            <w:tcW w:w="1079" w:type="dxa"/>
            <w:tcBorders>
              <w:top w:val="single" w:sz="8" w:space="0" w:color="DBE8E9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71FE9D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78 (25.74%)</w:t>
            </w:r>
          </w:p>
        </w:tc>
        <w:tc>
          <w:tcPr>
            <w:tcW w:w="1101" w:type="dxa"/>
            <w:tcBorders>
              <w:top w:val="single" w:sz="8" w:space="0" w:color="DBE8E9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041C7D7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9 </w:t>
            </w:r>
          </w:p>
          <w:p w14:paraId="569C7838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(2.97%)</w:t>
            </w:r>
          </w:p>
        </w:tc>
        <w:tc>
          <w:tcPr>
            <w:tcW w:w="933" w:type="dxa"/>
            <w:tcBorders>
              <w:top w:val="single" w:sz="8" w:space="0" w:color="DBE8E9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BCD283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3 </w:t>
            </w:r>
          </w:p>
          <w:p w14:paraId="25E4C116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(0.99%)</w:t>
            </w:r>
          </w:p>
        </w:tc>
        <w:tc>
          <w:tcPr>
            <w:tcW w:w="1391" w:type="dxa"/>
            <w:tcBorders>
              <w:top w:val="single" w:sz="8" w:space="0" w:color="DBE8E9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D02622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</w:t>
            </w:r>
          </w:p>
          <w:p w14:paraId="7353C894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(0%)</w:t>
            </w:r>
          </w:p>
        </w:tc>
        <w:tc>
          <w:tcPr>
            <w:tcW w:w="911" w:type="dxa"/>
            <w:tcBorders>
              <w:top w:val="single" w:sz="8" w:space="0" w:color="DBE8E9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42DAFC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303 (100%)</w:t>
            </w:r>
          </w:p>
        </w:tc>
      </w:tr>
      <w:tr w:rsidR="00050EF9" w:rsidRPr="00050EF9" w14:paraId="1D0D7A54" w14:textId="77777777" w:rsidTr="00B24291">
        <w:trPr>
          <w:trHeight w:val="272"/>
        </w:trPr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C21B16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Last assessment Stage A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395DAAE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26 (8.13%)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6F32E2F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14 (4.38%)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3FAD58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16 </w:t>
            </w:r>
          </w:p>
          <w:p w14:paraId="07E9F4DF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(5%)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563B1B4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44 (13.75%)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A5240D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113 (35.31%)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664E282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72 </w:t>
            </w:r>
          </w:p>
          <w:p w14:paraId="175282A0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(22.5%)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69EF18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34 (10.63%)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0643B0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</w:t>
            </w:r>
          </w:p>
          <w:p w14:paraId="655F73DA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(0.31%)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9EC65E3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320 (100%)</w:t>
            </w:r>
          </w:p>
        </w:tc>
      </w:tr>
      <w:tr w:rsidR="00050EF9" w:rsidRPr="00050EF9" w14:paraId="7C74D5BA" w14:textId="77777777" w:rsidTr="00050EF9">
        <w:trPr>
          <w:trHeight w:val="272"/>
        </w:trPr>
        <w:tc>
          <w:tcPr>
            <w:tcW w:w="1128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ECEBE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1A9939" w14:textId="77777777" w:rsidR="00050EF9" w:rsidRPr="00050EF9" w:rsidRDefault="00050EF9" w:rsidP="00050EF9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Distribution of responders and non-responders at the last assessment of Stage A</w:t>
            </w:r>
          </w:p>
        </w:tc>
      </w:tr>
      <w:tr w:rsidR="00050EF9" w:rsidRPr="00050EF9" w14:paraId="01B20DBC" w14:textId="77777777" w:rsidTr="00B24291">
        <w:trPr>
          <w:trHeight w:val="272"/>
        </w:trPr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383F5A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Non-responders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DE3200E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24 (22.64%)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D51BA6A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13 (12.26%)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3693BC5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11 (10.38%)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7269E13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19 (17.92%)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F8B30DF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32 (30.19%)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9DE9921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5</w:t>
            </w:r>
          </w:p>
          <w:p w14:paraId="2BA550B8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(4.72%)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016727F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1 </w:t>
            </w:r>
          </w:p>
          <w:p w14:paraId="783328D5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(0.94%)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DB26425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1 </w:t>
            </w:r>
          </w:p>
          <w:p w14:paraId="1FB8D528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(0.94%)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0D620B9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106 (100%)</w:t>
            </w:r>
          </w:p>
        </w:tc>
      </w:tr>
      <w:tr w:rsidR="00050EF9" w:rsidRPr="00050EF9" w14:paraId="5BA7C31F" w14:textId="77777777" w:rsidTr="00050EF9">
        <w:trPr>
          <w:trHeight w:val="272"/>
        </w:trPr>
        <w:tc>
          <w:tcPr>
            <w:tcW w:w="1823" w:type="dxa"/>
            <w:tcBorders>
              <w:top w:val="nil"/>
              <w:left w:val="nil"/>
              <w:bottom w:val="single" w:sz="4" w:space="0" w:color="D6D4D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C5A570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Responders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D6D4D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7687FC0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2 </w:t>
            </w:r>
          </w:p>
          <w:p w14:paraId="4EF9ACDC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(0.93%)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D6D4D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B695208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1 </w:t>
            </w:r>
          </w:p>
          <w:p w14:paraId="727CDC23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(0.47%)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D6D4D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B1625BF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5</w:t>
            </w:r>
          </w:p>
          <w:p w14:paraId="5BB2F41D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(2.34%)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D6D4D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B4BF3AB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25 (11.68%)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D6D4D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BCFDFFB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81 (37.85%)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D6D4D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0D07992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67 (31.31%)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D6D4D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8D4CAA1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33 (15.42%)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D6D4D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66E4E3D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0 </w:t>
            </w:r>
          </w:p>
          <w:p w14:paraId="60BC6C80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(0%)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D6D4D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79B4B62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214 (100%)</w:t>
            </w:r>
          </w:p>
        </w:tc>
      </w:tr>
    </w:tbl>
    <w:p w14:paraId="4DF551E7" w14:textId="77777777" w:rsidR="00050EF9" w:rsidRPr="00050EF9" w:rsidRDefault="00050EF9" w:rsidP="00050EF9">
      <w:pPr>
        <w:keepNext/>
        <w:spacing w:after="200" w:line="480" w:lineRule="auto"/>
        <w:rPr>
          <w:rFonts w:ascii="Times New Roman" w:eastAsia="MS Mincho" w:hAnsi="Times New Roman" w:cs="Times New Roman"/>
          <w:i/>
          <w:iCs/>
          <w:color w:val="3B6B6C"/>
          <w:kern w:val="0"/>
          <w:sz w:val="18"/>
          <w:szCs w:val="18"/>
          <w:lang w:val="en-US"/>
          <w14:ligatures w14:val="none"/>
        </w:rPr>
      </w:pPr>
      <w:bookmarkStart w:id="2" w:name="_Ref193720682"/>
      <w:bookmarkEnd w:id="1"/>
    </w:p>
    <w:p w14:paraId="5753FC5C" w14:textId="77777777" w:rsidR="00050EF9" w:rsidRPr="00050EF9" w:rsidRDefault="00050EF9" w:rsidP="00050EF9">
      <w:pPr>
        <w:rPr>
          <w:rFonts w:ascii="Aptos" w:eastAsia="MS Mincho" w:hAnsi="Aptos" w:cs="Times New Roman"/>
          <w:kern w:val="0"/>
          <w:sz w:val="21"/>
          <w:szCs w:val="21"/>
          <w:lang w:val="en-US"/>
          <w14:ligatures w14:val="none"/>
        </w:rPr>
      </w:pPr>
    </w:p>
    <w:p w14:paraId="56BFC0A1" w14:textId="77777777" w:rsidR="00E048AC" w:rsidRDefault="00E048AC">
      <w:pPr>
        <w:rPr>
          <w:rFonts w:ascii="Aptos" w:eastAsia="MS Mincho" w:hAnsi="Aptos" w:cs="Times New Roman"/>
          <w:kern w:val="0"/>
          <w:sz w:val="21"/>
          <w:szCs w:val="21"/>
          <w:lang w:val="en-US"/>
          <w14:ligatures w14:val="none"/>
        </w:rPr>
      </w:pPr>
      <w:r>
        <w:rPr>
          <w:rFonts w:ascii="Aptos" w:eastAsia="MS Mincho" w:hAnsi="Aptos" w:cs="Times New Roman"/>
          <w:kern w:val="0"/>
          <w:sz w:val="21"/>
          <w:szCs w:val="21"/>
          <w:lang w:val="en-US"/>
          <w14:ligatures w14:val="none"/>
        </w:rPr>
        <w:br w:type="page"/>
      </w:r>
    </w:p>
    <w:p w14:paraId="4854F343" w14:textId="76E8A99C" w:rsidR="00050EF9" w:rsidRPr="00050EF9" w:rsidRDefault="00050EF9" w:rsidP="00050EF9">
      <w:pPr>
        <w:keepNext/>
        <w:spacing w:after="0" w:line="480" w:lineRule="auto"/>
        <w:rPr>
          <w:rFonts w:ascii="Times New Roman" w:eastAsia="MS Mincho" w:hAnsi="Times New Roman" w:cs="Times New Roman"/>
          <w:i/>
          <w:iCs/>
          <w:kern w:val="0"/>
          <w:lang w:val="en-US"/>
          <w14:ligatures w14:val="none"/>
        </w:rPr>
      </w:pPr>
      <w:r w:rsidRPr="00050EF9">
        <w:rPr>
          <w:rFonts w:ascii="Times New Roman" w:eastAsia="MS Mincho" w:hAnsi="Times New Roman" w:cs="Times New Roman"/>
          <w:i/>
          <w:iCs/>
          <w:kern w:val="0"/>
          <w:lang w:val="en-US"/>
          <w14:ligatures w14:val="none"/>
        </w:rPr>
        <w:lastRenderedPageBreak/>
        <w:t xml:space="preserve">Table </w:t>
      </w:r>
      <w:bookmarkEnd w:id="2"/>
      <w:r w:rsidRPr="00050EF9">
        <w:rPr>
          <w:rFonts w:ascii="Times New Roman" w:eastAsia="MS Mincho" w:hAnsi="Times New Roman" w:cs="Times New Roman"/>
          <w:i/>
          <w:iCs/>
          <w:kern w:val="0"/>
          <w:lang w:val="en-US"/>
          <w14:ligatures w14:val="none"/>
        </w:rPr>
        <w:t>A2: The distribution of the change in EQ-5D-5L utility values between baseline and last assessment of Stage A for the different levels  of  the PGIC</w:t>
      </w:r>
    </w:p>
    <w:tbl>
      <w:tblPr>
        <w:tblW w:w="10173" w:type="dxa"/>
        <w:tblInd w:w="-959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68"/>
        <w:gridCol w:w="1215"/>
        <w:gridCol w:w="1215"/>
        <w:gridCol w:w="1215"/>
        <w:gridCol w:w="1215"/>
        <w:gridCol w:w="1215"/>
        <w:gridCol w:w="1215"/>
        <w:gridCol w:w="1215"/>
      </w:tblGrid>
      <w:tr w:rsidR="00050EF9" w:rsidRPr="00050EF9" w14:paraId="629FF9C6" w14:textId="77777777" w:rsidTr="00050EF9">
        <w:trPr>
          <w:trHeight w:val="334"/>
        </w:trPr>
        <w:tc>
          <w:tcPr>
            <w:tcW w:w="1668" w:type="dxa"/>
            <w:tcBorders>
              <w:top w:val="single" w:sz="8" w:space="0" w:color="DBE8E9"/>
              <w:left w:val="nil"/>
              <w:bottom w:val="single" w:sz="8" w:space="0" w:color="DBE8E9"/>
              <w:right w:val="nil"/>
            </w:tcBorders>
            <w:shd w:val="clear" w:color="auto" w:fill="D6D4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052063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15" w:type="dxa"/>
            <w:tcBorders>
              <w:top w:val="single" w:sz="8" w:space="0" w:color="DBE8E9"/>
              <w:left w:val="nil"/>
              <w:bottom w:val="single" w:sz="8" w:space="0" w:color="DBE8E9"/>
              <w:right w:val="nil"/>
            </w:tcBorders>
            <w:shd w:val="clear" w:color="auto" w:fill="D6D4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B86802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Very much worse</w:t>
            </w:r>
          </w:p>
        </w:tc>
        <w:tc>
          <w:tcPr>
            <w:tcW w:w="1215" w:type="dxa"/>
            <w:tcBorders>
              <w:top w:val="single" w:sz="8" w:space="0" w:color="DBE8E9"/>
              <w:left w:val="nil"/>
              <w:bottom w:val="single" w:sz="8" w:space="0" w:color="DBE8E9"/>
              <w:right w:val="nil"/>
            </w:tcBorders>
            <w:shd w:val="clear" w:color="auto" w:fill="D6D4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7AD9E3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Much worse</w:t>
            </w:r>
          </w:p>
        </w:tc>
        <w:tc>
          <w:tcPr>
            <w:tcW w:w="1215" w:type="dxa"/>
            <w:tcBorders>
              <w:top w:val="single" w:sz="8" w:space="0" w:color="DBE8E9"/>
              <w:left w:val="nil"/>
              <w:bottom w:val="single" w:sz="8" w:space="0" w:color="DBE8E9"/>
              <w:right w:val="nil"/>
            </w:tcBorders>
            <w:shd w:val="clear" w:color="auto" w:fill="D6D4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05A60B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A little worse</w:t>
            </w:r>
          </w:p>
        </w:tc>
        <w:tc>
          <w:tcPr>
            <w:tcW w:w="1215" w:type="dxa"/>
            <w:tcBorders>
              <w:top w:val="single" w:sz="8" w:space="0" w:color="DBE8E9"/>
              <w:left w:val="nil"/>
              <w:bottom w:val="single" w:sz="8" w:space="0" w:color="DBE8E9"/>
              <w:right w:val="nil"/>
            </w:tcBorders>
            <w:shd w:val="clear" w:color="auto" w:fill="D6D4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BFBFE7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No change</w:t>
            </w:r>
          </w:p>
        </w:tc>
        <w:tc>
          <w:tcPr>
            <w:tcW w:w="1215" w:type="dxa"/>
            <w:tcBorders>
              <w:top w:val="single" w:sz="8" w:space="0" w:color="DBE8E9"/>
              <w:left w:val="nil"/>
              <w:bottom w:val="single" w:sz="8" w:space="0" w:color="DBE8E9"/>
              <w:right w:val="nil"/>
            </w:tcBorders>
            <w:shd w:val="clear" w:color="auto" w:fill="D6D4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31B478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A little better</w:t>
            </w:r>
          </w:p>
        </w:tc>
        <w:tc>
          <w:tcPr>
            <w:tcW w:w="1215" w:type="dxa"/>
            <w:tcBorders>
              <w:top w:val="single" w:sz="8" w:space="0" w:color="DBE8E9"/>
              <w:left w:val="nil"/>
              <w:bottom w:val="single" w:sz="8" w:space="0" w:color="DBE8E9"/>
              <w:right w:val="nil"/>
            </w:tcBorders>
            <w:shd w:val="clear" w:color="auto" w:fill="D6D4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E5383D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Much better</w:t>
            </w:r>
          </w:p>
        </w:tc>
        <w:tc>
          <w:tcPr>
            <w:tcW w:w="1215" w:type="dxa"/>
            <w:tcBorders>
              <w:top w:val="single" w:sz="8" w:space="0" w:color="DBE8E9"/>
              <w:left w:val="nil"/>
              <w:bottom w:val="single" w:sz="8" w:space="0" w:color="DBE8E9"/>
              <w:right w:val="nil"/>
            </w:tcBorders>
            <w:shd w:val="clear" w:color="auto" w:fill="D6D4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AB2B11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Very much better</w:t>
            </w:r>
          </w:p>
        </w:tc>
      </w:tr>
      <w:tr w:rsidR="00050EF9" w:rsidRPr="00050EF9" w14:paraId="34A31822" w14:textId="77777777" w:rsidTr="00B24291">
        <w:trPr>
          <w:trHeight w:val="251"/>
        </w:trPr>
        <w:tc>
          <w:tcPr>
            <w:tcW w:w="1668" w:type="dxa"/>
            <w:tcBorders>
              <w:top w:val="single" w:sz="8" w:space="0" w:color="DBE8E9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3E0F86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N</w:t>
            </w:r>
          </w:p>
        </w:tc>
        <w:tc>
          <w:tcPr>
            <w:tcW w:w="1215" w:type="dxa"/>
            <w:tcBorders>
              <w:top w:val="single" w:sz="8" w:space="0" w:color="DBE8E9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1DE6656B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25</w:t>
            </w:r>
          </w:p>
        </w:tc>
        <w:tc>
          <w:tcPr>
            <w:tcW w:w="1215" w:type="dxa"/>
            <w:tcBorders>
              <w:top w:val="single" w:sz="8" w:space="0" w:color="DBE8E9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2ACD7644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13</w:t>
            </w:r>
          </w:p>
        </w:tc>
        <w:tc>
          <w:tcPr>
            <w:tcW w:w="1215" w:type="dxa"/>
            <w:tcBorders>
              <w:top w:val="single" w:sz="8" w:space="0" w:color="DBE8E9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273ED19E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12</w:t>
            </w:r>
          </w:p>
        </w:tc>
        <w:tc>
          <w:tcPr>
            <w:tcW w:w="1215" w:type="dxa"/>
            <w:tcBorders>
              <w:top w:val="single" w:sz="8" w:space="0" w:color="DBE8E9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2FFC55BE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23</w:t>
            </w:r>
          </w:p>
        </w:tc>
        <w:tc>
          <w:tcPr>
            <w:tcW w:w="1215" w:type="dxa"/>
            <w:tcBorders>
              <w:top w:val="single" w:sz="8" w:space="0" w:color="DBE8E9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7E722E77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98</w:t>
            </w:r>
          </w:p>
        </w:tc>
        <w:tc>
          <w:tcPr>
            <w:tcW w:w="1215" w:type="dxa"/>
            <w:tcBorders>
              <w:top w:val="single" w:sz="8" w:space="0" w:color="DBE8E9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7D6D8044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71</w:t>
            </w:r>
          </w:p>
        </w:tc>
        <w:tc>
          <w:tcPr>
            <w:tcW w:w="1215" w:type="dxa"/>
            <w:tcBorders>
              <w:top w:val="single" w:sz="8" w:space="0" w:color="DBE8E9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6CDEA66A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32</w:t>
            </w:r>
          </w:p>
        </w:tc>
      </w:tr>
      <w:tr w:rsidR="00050EF9" w:rsidRPr="00050EF9" w14:paraId="09F397B8" w14:textId="77777777" w:rsidTr="00B24291">
        <w:trPr>
          <w:trHeight w:val="225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E1B248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Mean (SD)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40815D81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-0.15 (0.34)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3DED06B0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-0.01 (0.51)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49266C32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0.13 (0.41)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6211A755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0.05 (0.18)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5A4D5AAB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0.11</w:t>
            </w: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(0.20)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649C3673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0.19 (0.25)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57E1BBEF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0.39 (0.25)</w:t>
            </w:r>
          </w:p>
        </w:tc>
      </w:tr>
      <w:tr w:rsidR="00050EF9" w:rsidRPr="00050EF9" w14:paraId="3CC88853" w14:textId="77777777" w:rsidTr="00050EF9">
        <w:trPr>
          <w:trHeight w:val="225"/>
        </w:trPr>
        <w:tc>
          <w:tcPr>
            <w:tcW w:w="1668" w:type="dxa"/>
            <w:tcBorders>
              <w:top w:val="nil"/>
              <w:left w:val="nil"/>
              <w:bottom w:val="single" w:sz="4" w:space="0" w:color="D6D4D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11023CA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Median (IQR)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D6D4D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339F431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-0.08 (0.46)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D6D4D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159E6A7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-0.02 (0.51)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D6D4D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0F248E5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0.07 (0.40)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D6D4D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9E343D2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0.01 (0.23)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D6D4D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EADA5D4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0.08 (0.19)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D6D4D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6BFAE5A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0.14 (0.20)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D6D4D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2908198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0.41 (0.43)</w:t>
            </w:r>
          </w:p>
        </w:tc>
      </w:tr>
    </w:tbl>
    <w:p w14:paraId="7422A567" w14:textId="77777777" w:rsidR="00050EF9" w:rsidRPr="00050EF9" w:rsidRDefault="00050EF9" w:rsidP="00050EF9">
      <w:pPr>
        <w:spacing w:after="0" w:line="480" w:lineRule="auto"/>
        <w:rPr>
          <w:rFonts w:ascii="Times New Roman" w:eastAsia="MS Mincho" w:hAnsi="Times New Roman" w:cs="Times New Roman"/>
          <w:i/>
          <w:iCs/>
          <w:color w:val="3B6B6C"/>
          <w:kern w:val="0"/>
          <w:sz w:val="18"/>
          <w:szCs w:val="18"/>
          <w:lang w:val="en-US"/>
          <w14:ligatures w14:val="none"/>
        </w:rPr>
      </w:pPr>
      <w:bookmarkStart w:id="3" w:name="_Ref193708161"/>
    </w:p>
    <w:p w14:paraId="34E7B5F7" w14:textId="77777777" w:rsidR="00E048AC" w:rsidRDefault="00E048AC">
      <w:pPr>
        <w:rPr>
          <w:rFonts w:ascii="Times New Roman" w:eastAsia="MS Mincho" w:hAnsi="Times New Roman" w:cs="Times New Roman"/>
          <w:i/>
          <w:iCs/>
          <w:kern w:val="0"/>
          <w:lang w:val="en-US"/>
          <w14:ligatures w14:val="none"/>
        </w:rPr>
      </w:pPr>
      <w:r>
        <w:rPr>
          <w:rFonts w:ascii="Times New Roman" w:eastAsia="MS Mincho" w:hAnsi="Times New Roman" w:cs="Times New Roman"/>
          <w:i/>
          <w:iCs/>
          <w:kern w:val="0"/>
          <w:lang w:val="en-US"/>
          <w14:ligatures w14:val="none"/>
        </w:rPr>
        <w:br w:type="page"/>
      </w:r>
    </w:p>
    <w:p w14:paraId="703044AB" w14:textId="6246102F" w:rsidR="00050EF9" w:rsidRPr="00050EF9" w:rsidRDefault="00050EF9" w:rsidP="00050EF9">
      <w:pPr>
        <w:keepNext/>
        <w:spacing w:after="0" w:line="480" w:lineRule="auto"/>
        <w:rPr>
          <w:rFonts w:ascii="Times New Roman" w:eastAsia="MS Mincho" w:hAnsi="Times New Roman" w:cs="Times New Roman"/>
          <w:i/>
          <w:iCs/>
          <w:kern w:val="0"/>
          <w:lang w:val="en-US"/>
          <w14:ligatures w14:val="none"/>
        </w:rPr>
      </w:pPr>
      <w:r w:rsidRPr="00050EF9">
        <w:rPr>
          <w:rFonts w:ascii="Times New Roman" w:eastAsia="MS Mincho" w:hAnsi="Times New Roman" w:cs="Times New Roman"/>
          <w:i/>
          <w:iCs/>
          <w:kern w:val="0"/>
          <w:lang w:val="en-US"/>
          <w14:ligatures w14:val="none"/>
        </w:rPr>
        <w:lastRenderedPageBreak/>
        <w:t xml:space="preserve">Table </w:t>
      </w:r>
      <w:bookmarkEnd w:id="3"/>
      <w:r w:rsidRPr="00050EF9">
        <w:rPr>
          <w:rFonts w:ascii="Times New Roman" w:eastAsia="MS Mincho" w:hAnsi="Times New Roman" w:cs="Times New Roman"/>
          <w:i/>
          <w:iCs/>
          <w:kern w:val="0"/>
          <w:lang w:val="en-US"/>
          <w14:ligatures w14:val="none"/>
        </w:rPr>
        <w:t>A3: Distribution of the change in EQ-5D-5L utility value versus change in adjusted INCAT score</w:t>
      </w:r>
    </w:p>
    <w:tbl>
      <w:tblPr>
        <w:tblW w:w="764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160"/>
        <w:gridCol w:w="660"/>
        <w:gridCol w:w="2240"/>
        <w:gridCol w:w="2580"/>
      </w:tblGrid>
      <w:tr w:rsidR="00050EF9" w:rsidRPr="00050EF9" w14:paraId="5FBAAF1E" w14:textId="77777777" w:rsidTr="00050EF9">
        <w:trPr>
          <w:trHeight w:val="568"/>
        </w:trPr>
        <w:tc>
          <w:tcPr>
            <w:tcW w:w="2160" w:type="dxa"/>
            <w:tcBorders>
              <w:top w:val="single" w:sz="8" w:space="0" w:color="DBE8E9"/>
              <w:left w:val="nil"/>
              <w:bottom w:val="single" w:sz="8" w:space="0" w:color="DBE8E9"/>
              <w:right w:val="nil"/>
            </w:tcBorders>
            <w:shd w:val="clear" w:color="auto" w:fill="D6D4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C755D3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Change in adjusted INCAT</w:t>
            </w:r>
          </w:p>
        </w:tc>
        <w:tc>
          <w:tcPr>
            <w:tcW w:w="660" w:type="dxa"/>
            <w:tcBorders>
              <w:top w:val="single" w:sz="8" w:space="0" w:color="DBE8E9"/>
              <w:left w:val="nil"/>
              <w:bottom w:val="single" w:sz="8" w:space="0" w:color="DBE8E9"/>
              <w:right w:val="nil"/>
            </w:tcBorders>
            <w:shd w:val="clear" w:color="auto" w:fill="D6D4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344350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N</w:t>
            </w:r>
          </w:p>
        </w:tc>
        <w:tc>
          <w:tcPr>
            <w:tcW w:w="2240" w:type="dxa"/>
            <w:tcBorders>
              <w:top w:val="single" w:sz="8" w:space="0" w:color="DBE8E9"/>
              <w:left w:val="nil"/>
              <w:bottom w:val="single" w:sz="8" w:space="0" w:color="DBE8E9"/>
              <w:right w:val="nil"/>
            </w:tcBorders>
            <w:shd w:val="clear" w:color="auto" w:fill="D6D4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072EB9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Mean change in utility (SD)</w:t>
            </w:r>
          </w:p>
        </w:tc>
        <w:tc>
          <w:tcPr>
            <w:tcW w:w="2580" w:type="dxa"/>
            <w:tcBorders>
              <w:top w:val="single" w:sz="8" w:space="0" w:color="DBE8E9"/>
              <w:left w:val="nil"/>
              <w:bottom w:val="single" w:sz="8" w:space="0" w:color="DBE8E9"/>
              <w:right w:val="nil"/>
            </w:tcBorders>
            <w:shd w:val="clear" w:color="auto" w:fill="D6D4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98672B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Median change in utility (IQR)</w:t>
            </w:r>
          </w:p>
        </w:tc>
      </w:tr>
      <w:tr w:rsidR="00050EF9" w:rsidRPr="00050EF9" w14:paraId="5E43EB6A" w14:textId="77777777" w:rsidTr="00B24291">
        <w:trPr>
          <w:trHeight w:val="271"/>
        </w:trPr>
        <w:tc>
          <w:tcPr>
            <w:tcW w:w="2160" w:type="dxa"/>
            <w:tcBorders>
              <w:top w:val="single" w:sz="8" w:space="0" w:color="DBE8E9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7DCEB37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-7</w:t>
            </w:r>
          </w:p>
        </w:tc>
        <w:tc>
          <w:tcPr>
            <w:tcW w:w="660" w:type="dxa"/>
            <w:tcBorders>
              <w:top w:val="single" w:sz="8" w:space="0" w:color="DBE8E9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138643E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</w:t>
            </w:r>
          </w:p>
        </w:tc>
        <w:tc>
          <w:tcPr>
            <w:tcW w:w="2240" w:type="dxa"/>
            <w:tcBorders>
              <w:top w:val="single" w:sz="8" w:space="0" w:color="DBE8E9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B6A4809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0.76 (0.1)</w:t>
            </w:r>
          </w:p>
        </w:tc>
        <w:tc>
          <w:tcPr>
            <w:tcW w:w="2580" w:type="dxa"/>
            <w:tcBorders>
              <w:top w:val="single" w:sz="8" w:space="0" w:color="DBE8E9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75A4CDE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0.76 (0.15)</w:t>
            </w:r>
          </w:p>
        </w:tc>
      </w:tr>
      <w:tr w:rsidR="00050EF9" w:rsidRPr="00050EF9" w14:paraId="665EE46A" w14:textId="77777777" w:rsidTr="00B24291">
        <w:trPr>
          <w:trHeight w:val="27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EAB2AA1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78F5C9F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1E11C9A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0.62 (.)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412F573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0.62 (0)</w:t>
            </w:r>
          </w:p>
        </w:tc>
      </w:tr>
      <w:tr w:rsidR="00050EF9" w:rsidRPr="00050EF9" w14:paraId="79C0D1F6" w14:textId="77777777" w:rsidTr="00B24291">
        <w:trPr>
          <w:trHeight w:val="27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16D93B8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3C8D22F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6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A3434D6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0.65 (0.31)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FDBAE77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0.61 (0.34)</w:t>
            </w:r>
          </w:p>
        </w:tc>
      </w:tr>
      <w:tr w:rsidR="00050EF9" w:rsidRPr="00050EF9" w14:paraId="551B539E" w14:textId="77777777" w:rsidTr="00B24291">
        <w:trPr>
          <w:trHeight w:val="27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543B630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1B137F6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8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6BCC131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0.45 (0.37)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24C530F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0.41 (0.41)</w:t>
            </w:r>
          </w:p>
        </w:tc>
      </w:tr>
      <w:tr w:rsidR="00050EF9" w:rsidRPr="00050EF9" w14:paraId="1E283F60" w14:textId="77777777" w:rsidTr="00B24291">
        <w:trPr>
          <w:trHeight w:val="27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463C731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2DD60C4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17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1D6215D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0.26 (0.22)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ECA9E50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0.19 (0.38)</w:t>
            </w:r>
          </w:p>
        </w:tc>
      </w:tr>
      <w:tr w:rsidR="00050EF9" w:rsidRPr="00050EF9" w14:paraId="36869AC6" w14:textId="77777777" w:rsidTr="00B24291">
        <w:trPr>
          <w:trHeight w:val="27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9141753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2CF8FA3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30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FC63ACD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0.24 (0.27)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2CABB78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0.15 (0.45)</w:t>
            </w:r>
          </w:p>
        </w:tc>
      </w:tr>
      <w:tr w:rsidR="00050EF9" w:rsidRPr="00050EF9" w14:paraId="393E3209" w14:textId="77777777" w:rsidTr="00B24291">
        <w:trPr>
          <w:trHeight w:val="27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4EC6FE7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D8DD6D2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81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5771154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0.14 (0.23)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3E09197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0.09 (0.22)</w:t>
            </w:r>
          </w:p>
        </w:tc>
      </w:tr>
      <w:tr w:rsidR="00050EF9" w:rsidRPr="00050EF9" w14:paraId="35297DE2" w14:textId="77777777" w:rsidTr="00B24291">
        <w:trPr>
          <w:trHeight w:val="27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212577E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4B3368B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100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A404E0F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0.07 (0.19)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FFF6DF0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0.08 (0.19)</w:t>
            </w:r>
          </w:p>
        </w:tc>
      </w:tr>
      <w:tr w:rsidR="00050EF9" w:rsidRPr="00050EF9" w14:paraId="482D83B1" w14:textId="77777777" w:rsidTr="00B24291">
        <w:trPr>
          <w:trHeight w:val="27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3CF1DF2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BBC9466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11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C95CB78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-0.01 (0.13)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9ABA031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-0.01 (0.19)</w:t>
            </w:r>
          </w:p>
        </w:tc>
      </w:tr>
      <w:tr w:rsidR="00050EF9" w:rsidRPr="00050EF9" w14:paraId="0A3466B5" w14:textId="77777777" w:rsidTr="00B24291">
        <w:trPr>
          <w:trHeight w:val="27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521FBF0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3CAE979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6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A6BA525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-0.36 (0.49)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EAB3C47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-0.54 (0.58)</w:t>
            </w:r>
          </w:p>
        </w:tc>
      </w:tr>
      <w:tr w:rsidR="00050EF9" w:rsidRPr="00050EF9" w14:paraId="2591570D" w14:textId="77777777" w:rsidTr="00B24291">
        <w:trPr>
          <w:trHeight w:val="27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754EB6C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FD85485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4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92F3455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-0.37 (0.25)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2F75554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-0.44 (0.33)</w:t>
            </w:r>
          </w:p>
        </w:tc>
      </w:tr>
      <w:tr w:rsidR="00050EF9" w:rsidRPr="00050EF9" w14:paraId="41D8F724" w14:textId="77777777" w:rsidTr="00B24291">
        <w:trPr>
          <w:trHeight w:val="27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3C557E7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4CA0C03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63BB9C9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-0.29 (0.25)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C534709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-0.29 (0.35)</w:t>
            </w:r>
          </w:p>
        </w:tc>
      </w:tr>
      <w:tr w:rsidR="00050EF9" w:rsidRPr="00050EF9" w14:paraId="33BD76A1" w14:textId="77777777" w:rsidTr="00B24291">
        <w:trPr>
          <w:trHeight w:val="271"/>
        </w:trPr>
        <w:tc>
          <w:tcPr>
            <w:tcW w:w="2160" w:type="dxa"/>
            <w:tcBorders>
              <w:top w:val="nil"/>
              <w:left w:val="nil"/>
              <w:bottom w:val="single" w:sz="8" w:space="0" w:color="DBE8E9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B8DF5DF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DBE8E9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01E4507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DBE8E9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44AEF4A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-0.9 (.)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DBE8E9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9CACA3E" w14:textId="77777777" w:rsidR="00050EF9" w:rsidRPr="00050EF9" w:rsidRDefault="00050EF9" w:rsidP="00050E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050E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-0.9 (0)</w:t>
            </w:r>
          </w:p>
        </w:tc>
      </w:tr>
    </w:tbl>
    <w:p w14:paraId="28FF91D9" w14:textId="77777777" w:rsidR="00C24EC1" w:rsidRDefault="00C24EC1"/>
    <w:sectPr w:rsidR="00C24E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EF9"/>
    <w:rsid w:val="00050EF9"/>
    <w:rsid w:val="001F4637"/>
    <w:rsid w:val="00C24EC1"/>
    <w:rsid w:val="00D109BC"/>
    <w:rsid w:val="00DC286E"/>
    <w:rsid w:val="00E04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C5FA7"/>
  <w15:chartTrackingRefBased/>
  <w15:docId w15:val="{BFFCCE6C-C01F-431D-82A5-841DEC563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50E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50E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50E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50E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50E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50E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50E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50E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50E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50E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50E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50E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50EF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50EF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50EF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50EF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50EF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50EF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50E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50E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50E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50E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50E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50EF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50EF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50EF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50E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50EF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50E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81E46BEBA91A49A6D6DFD77046917B" ma:contentTypeVersion="18" ma:contentTypeDescription="Een nieuw document maken." ma:contentTypeScope="" ma:versionID="37e154a03532765623371d230aadc5c5">
  <xsd:schema xmlns:xsd="http://www.w3.org/2001/XMLSchema" xmlns:xs="http://www.w3.org/2001/XMLSchema" xmlns:p="http://schemas.microsoft.com/office/2006/metadata/properties" xmlns:ns1="http://schemas.microsoft.com/sharepoint/v3" xmlns:ns2="bb936009-2082-4634-ad94-59cf7980793d" xmlns:ns3="ac3777f5-04a9-4cee-a11e-9631b11e927a" targetNamespace="http://schemas.microsoft.com/office/2006/metadata/properties" ma:root="true" ma:fieldsID="8a2ee2e77c2586d70c752ebea6b07099" ns1:_="" ns2:_="" ns3:_="">
    <xsd:import namespace="http://schemas.microsoft.com/sharepoint/v3"/>
    <xsd:import namespace="bb936009-2082-4634-ad94-59cf7980793d"/>
    <xsd:import namespace="ac3777f5-04a9-4cee-a11e-9631b11e927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36009-2082-4634-ad94-59cf798079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7b47c8e-9ab1-4105-876a-889f58ade9f4}" ma:internalName="TaxCatchAll" ma:showField="CatchAllData" ma:web="bb936009-2082-4634-ad94-59cf798079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3777f5-04a9-4cee-a11e-9631b11e9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fbae615e-44d2-450b-8a08-f5c1aac00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ac3777f5-04a9-4cee-a11e-9631b11e927a">
      <Terms xmlns="http://schemas.microsoft.com/office/infopath/2007/PartnerControls"/>
    </lcf76f155ced4ddcb4097134ff3c332f>
    <_ip_UnifiedCompliancePolicyProperties xmlns="http://schemas.microsoft.com/sharepoint/v3" xsi:nil="true"/>
    <TaxCatchAll xmlns="bb936009-2082-4634-ad94-59cf7980793d" xsi:nil="true"/>
  </documentManagement>
</p:properties>
</file>

<file path=customXml/itemProps1.xml><?xml version="1.0" encoding="utf-8"?>
<ds:datastoreItem xmlns:ds="http://schemas.openxmlformats.org/officeDocument/2006/customXml" ds:itemID="{B65C249A-693A-4F0E-AE3E-FF6AB87F4272}"/>
</file>

<file path=customXml/itemProps2.xml><?xml version="1.0" encoding="utf-8"?>
<ds:datastoreItem xmlns:ds="http://schemas.openxmlformats.org/officeDocument/2006/customXml" ds:itemID="{3321D2AC-90FB-4AC5-9441-854D62CD84BA}"/>
</file>

<file path=customXml/itemProps3.xml><?xml version="1.0" encoding="utf-8"?>
<ds:datastoreItem xmlns:ds="http://schemas.openxmlformats.org/officeDocument/2006/customXml" ds:itemID="{E1AEF159-9150-49FB-8C53-581787DBC180}"/>
</file>

<file path=docMetadata/LabelInfo.xml><?xml version="1.0" encoding="utf-8"?>
<clbl:labelList xmlns:clbl="http://schemas.microsoft.com/office/2020/mipLabelMetadata">
  <clbl:label id="{912f0917-ecc4-4c64-b530-a8e82cf3f392}" enabled="0" method="" siteId="{912f0917-ecc4-4c64-b530-a8e82cf3f39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1696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Raes</dc:creator>
  <cp:keywords/>
  <dc:description/>
  <cp:lastModifiedBy>Sarah Raes</cp:lastModifiedBy>
  <cp:revision>3</cp:revision>
  <dcterms:created xsi:type="dcterms:W3CDTF">2026-05-06T07:55:00Z</dcterms:created>
  <dcterms:modified xsi:type="dcterms:W3CDTF">2026-05-06T08:13:00Z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0x0101005681E46BEBA91A49A6D6DFD77046917B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