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10AF" w14:textId="426217EC" w:rsidR="00AD57F6" w:rsidRDefault="00B059BA" w:rsidP="00076A12">
      <w:pPr>
        <w:jc w:val="center"/>
        <w:rPr>
          <w:rFonts w:ascii="Arial" w:hAnsi="Arial" w:cs="Arial"/>
          <w:b/>
          <w:bCs/>
          <w:iCs/>
          <w:sz w:val="32"/>
          <w:szCs w:val="32"/>
          <w:lang w:val="en-US"/>
        </w:rPr>
      </w:pPr>
      <w:r w:rsidRPr="00F9772F">
        <w:rPr>
          <w:rFonts w:ascii="Arial" w:hAnsi="Arial" w:cs="Arial"/>
          <w:b/>
          <w:bCs/>
          <w:iCs/>
          <w:sz w:val="32"/>
          <w:szCs w:val="32"/>
          <w:lang w:val="en-US"/>
        </w:rPr>
        <w:t>Supp</w:t>
      </w:r>
      <w:r>
        <w:rPr>
          <w:rFonts w:ascii="Arial" w:hAnsi="Arial" w:cs="Arial"/>
          <w:b/>
          <w:bCs/>
          <w:iCs/>
          <w:sz w:val="32"/>
          <w:szCs w:val="32"/>
          <w:lang w:val="en-US"/>
        </w:rPr>
        <w:t>lementary</w:t>
      </w:r>
      <w:r w:rsidRPr="00F9772F">
        <w:rPr>
          <w:rFonts w:ascii="Arial" w:hAnsi="Arial" w:cs="Arial"/>
          <w:b/>
          <w:bCs/>
          <w:iCs/>
          <w:sz w:val="32"/>
          <w:szCs w:val="32"/>
          <w:lang w:val="en-US"/>
        </w:rPr>
        <w:t xml:space="preserve"> </w:t>
      </w:r>
      <w:r w:rsidR="00AD57F6" w:rsidRPr="00F9772F">
        <w:rPr>
          <w:rFonts w:ascii="Arial" w:hAnsi="Arial" w:cs="Arial"/>
          <w:b/>
          <w:bCs/>
          <w:iCs/>
          <w:sz w:val="32"/>
          <w:szCs w:val="32"/>
          <w:lang w:val="en-US"/>
        </w:rPr>
        <w:t>information</w:t>
      </w:r>
    </w:p>
    <w:p w14:paraId="2EFF8700" w14:textId="77777777" w:rsidR="00076A12" w:rsidRPr="00076A12" w:rsidRDefault="00076A12" w:rsidP="00076A12">
      <w:pPr>
        <w:rPr>
          <w:rFonts w:ascii="Arial" w:hAnsi="Arial" w:cs="Arial"/>
          <w:b/>
          <w:sz w:val="28"/>
          <w:szCs w:val="28"/>
          <w:lang w:val="en-US"/>
        </w:rPr>
      </w:pPr>
      <w:r w:rsidRPr="00076A12">
        <w:rPr>
          <w:rFonts w:ascii="Arial" w:hAnsi="Arial" w:cs="Arial"/>
          <w:b/>
          <w:sz w:val="28"/>
          <w:szCs w:val="28"/>
          <w:lang w:val="en-US"/>
        </w:rPr>
        <w:t>Transfer Hydrogenation of Butyl Sorbate: Optimization of Reaction Conditions</w:t>
      </w:r>
    </w:p>
    <w:p w14:paraId="1BEAEA03" w14:textId="77777777" w:rsidR="00076A12" w:rsidRPr="00453D35" w:rsidRDefault="00076A12" w:rsidP="00076A12">
      <w:pPr>
        <w:rPr>
          <w:rFonts w:ascii="Arial" w:hAnsi="Arial" w:cs="Arial"/>
          <w:sz w:val="20"/>
          <w:szCs w:val="20"/>
          <w:vertAlign w:val="superscript"/>
          <w:lang w:val="en-US"/>
        </w:rPr>
      </w:pPr>
      <w:r w:rsidRPr="00737C57">
        <w:rPr>
          <w:rFonts w:ascii="Arial" w:hAnsi="Arial" w:cs="Arial"/>
          <w:sz w:val="20"/>
          <w:szCs w:val="20"/>
          <w:lang w:val="en-US"/>
        </w:rPr>
        <w:t>Kateřina Oplová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Pr="00737C57">
        <w:rPr>
          <w:rFonts w:ascii="Arial" w:hAnsi="Arial" w:cs="Arial"/>
          <w:sz w:val="20"/>
          <w:szCs w:val="20"/>
          <w:lang w:val="en-US"/>
        </w:rPr>
        <w:t>, Maria Kotova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Pr="00737C57">
        <w:rPr>
          <w:rFonts w:ascii="Arial" w:hAnsi="Arial" w:cs="Arial"/>
          <w:sz w:val="20"/>
          <w:szCs w:val="20"/>
          <w:lang w:val="en-US"/>
        </w:rPr>
        <w:t>, Eliška Vyskočilová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a*</w:t>
      </w:r>
    </w:p>
    <w:p w14:paraId="1E2034DB" w14:textId="77777777" w:rsidR="00076A12" w:rsidRDefault="00076A12" w:rsidP="00076A12">
      <w:pPr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vertAlign w:val="superscript"/>
          <w:lang w:val="en-US"/>
        </w:rPr>
        <w:t xml:space="preserve">a </w:t>
      </w:r>
      <w:r w:rsidRPr="00737C57">
        <w:rPr>
          <w:rFonts w:ascii="Arial" w:hAnsi="Arial" w:cs="Arial"/>
          <w:i/>
          <w:sz w:val="20"/>
          <w:szCs w:val="20"/>
          <w:lang w:val="en-US"/>
        </w:rPr>
        <w:t>Department of Organic Technology, University of Chemistry and Technology, Prague, Czech Republic</w:t>
      </w:r>
    </w:p>
    <w:p w14:paraId="54987F23" w14:textId="77777777" w:rsidR="00076A12" w:rsidRPr="002951A6" w:rsidRDefault="00076A12" w:rsidP="00076A12">
      <w:pPr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*</w:t>
      </w:r>
      <w:r w:rsidRPr="002951A6">
        <w:rPr>
          <w:rFonts w:ascii="Arial" w:hAnsi="Arial" w:cs="Arial"/>
          <w:i/>
          <w:sz w:val="20"/>
          <w:szCs w:val="20"/>
          <w:lang w:val="en-US"/>
        </w:rPr>
        <w:t xml:space="preserve">Corresponding author </w:t>
      </w:r>
    </w:p>
    <w:p w14:paraId="795249C9" w14:textId="77777777" w:rsidR="00076A12" w:rsidRPr="002951A6" w:rsidRDefault="00076A12" w:rsidP="00076A12">
      <w:pPr>
        <w:rPr>
          <w:rFonts w:ascii="Arial" w:hAnsi="Arial" w:cs="Arial"/>
          <w:i/>
          <w:sz w:val="20"/>
          <w:szCs w:val="20"/>
          <w:lang w:val="en-US"/>
        </w:rPr>
      </w:pPr>
      <w:r w:rsidRPr="002951A6">
        <w:rPr>
          <w:rFonts w:ascii="Arial" w:hAnsi="Arial" w:cs="Arial"/>
          <w:i/>
          <w:sz w:val="20"/>
          <w:szCs w:val="20"/>
          <w:lang w:val="en-US"/>
        </w:rPr>
        <w:t xml:space="preserve">E-mail address: </w:t>
      </w:r>
      <w:r w:rsidRPr="003F48AF">
        <w:rPr>
          <w:rFonts w:ascii="Arial" w:hAnsi="Arial" w:cs="Arial"/>
          <w:i/>
          <w:sz w:val="20"/>
          <w:szCs w:val="20"/>
          <w:lang w:val="en-US"/>
        </w:rPr>
        <w:t>leitmane@vscht.cz</w:t>
      </w:r>
    </w:p>
    <w:p w14:paraId="249ED75A" w14:textId="77777777" w:rsidR="00AD57F6" w:rsidRPr="00076A12" w:rsidRDefault="00AD57F6" w:rsidP="00C43560">
      <w:pPr>
        <w:jc w:val="both"/>
        <w:rPr>
          <w:rFonts w:ascii="Arial" w:hAnsi="Arial" w:cs="Arial"/>
          <w:b/>
          <w:bCs/>
          <w:lang w:val="en-US"/>
        </w:rPr>
      </w:pPr>
      <w:r w:rsidRPr="00076A12">
        <w:rPr>
          <w:rFonts w:ascii="Arial" w:hAnsi="Arial" w:cs="Arial"/>
          <w:b/>
          <w:bCs/>
          <w:lang w:val="en-US"/>
        </w:rPr>
        <w:t>Preparation of butyl sorbate</w:t>
      </w:r>
    </w:p>
    <w:p w14:paraId="7CB86791" w14:textId="2497F3E0" w:rsidR="00AD57F6" w:rsidRDefault="00AD57F6" w:rsidP="00C43560">
      <w:pPr>
        <w:jc w:val="both"/>
        <w:rPr>
          <w:rFonts w:ascii="Arial" w:hAnsi="Arial" w:cs="Arial"/>
          <w:sz w:val="20"/>
          <w:szCs w:val="20"/>
          <w:lang w:val="en-US"/>
        </w:rPr>
      </w:pPr>
      <w:r w:rsidRPr="003468D1">
        <w:rPr>
          <w:rFonts w:ascii="Arial" w:hAnsi="Arial" w:cs="Arial"/>
          <w:sz w:val="20"/>
          <w:szCs w:val="20"/>
          <w:lang w:val="en-US"/>
        </w:rPr>
        <w:t xml:space="preserve">Sorbic acid (0.14 mol), butanol (0.40 mol), and </w:t>
      </w:r>
      <w:r w:rsidRPr="003468D1">
        <w:rPr>
          <w:rStyle w:val="Emphasis"/>
          <w:rFonts w:ascii="Arial" w:hAnsi="Arial" w:cs="Arial"/>
          <w:sz w:val="20"/>
          <w:szCs w:val="20"/>
          <w:lang w:val="en-US"/>
        </w:rPr>
        <w:t>p</w:t>
      </w:r>
      <w:r w:rsidRPr="003468D1">
        <w:rPr>
          <w:rFonts w:ascii="Arial" w:hAnsi="Arial" w:cs="Arial"/>
          <w:sz w:val="20"/>
          <w:szCs w:val="20"/>
          <w:lang w:val="en-US"/>
        </w:rPr>
        <w:t xml:space="preserve">-toluenesulfonic acid (PTSA, 4.5 mmol) were introduced into a 100 mL three-necked flask equipped with an </w:t>
      </w:r>
      <w:r w:rsidRPr="003468D1">
        <w:rPr>
          <w:rFonts w:ascii="Arial" w:hAnsi="Arial" w:cs="Arial"/>
          <w:sz w:val="20"/>
          <w:szCs w:val="20"/>
        </w:rPr>
        <w:t xml:space="preserve">Dean-Stark apparatus </w:t>
      </w:r>
      <w:r w:rsidRPr="003468D1">
        <w:rPr>
          <w:rFonts w:ascii="Arial" w:hAnsi="Arial" w:cs="Arial"/>
          <w:sz w:val="20"/>
          <w:szCs w:val="20"/>
          <w:lang w:val="en-US"/>
        </w:rPr>
        <w:t>and refluxed until no more water was collected. The mixture was neutralized with 5% Na</w:t>
      </w:r>
      <w:r w:rsidRPr="003468D1">
        <w:rPr>
          <w:rFonts w:ascii="Cambria Math" w:hAnsi="Cambria Math" w:cs="Cambria Math"/>
          <w:sz w:val="20"/>
          <w:szCs w:val="20"/>
          <w:lang w:val="en-US"/>
        </w:rPr>
        <w:t>₂</w:t>
      </w:r>
      <w:r w:rsidRPr="003468D1">
        <w:rPr>
          <w:rFonts w:ascii="Arial" w:hAnsi="Arial" w:cs="Arial"/>
          <w:sz w:val="20"/>
          <w:szCs w:val="20"/>
          <w:lang w:val="en-US"/>
        </w:rPr>
        <w:t>CO</w:t>
      </w:r>
      <w:r w:rsidRPr="003468D1">
        <w:rPr>
          <w:rFonts w:ascii="Cambria Math" w:hAnsi="Cambria Math" w:cs="Cambria Math"/>
          <w:sz w:val="20"/>
          <w:szCs w:val="20"/>
          <w:lang w:val="en-US"/>
        </w:rPr>
        <w:t>₃</w:t>
      </w:r>
      <w:r w:rsidRPr="003468D1">
        <w:rPr>
          <w:rFonts w:ascii="Arial" w:hAnsi="Arial" w:cs="Arial"/>
          <w:sz w:val="20"/>
          <w:szCs w:val="20"/>
          <w:lang w:val="en-US"/>
        </w:rPr>
        <w:t xml:space="preserve"> solution, extracted with water (3 × 10 ml) and hexane (1 × 10 ml), dried over MgSO</w:t>
      </w:r>
      <w:r w:rsidRPr="003468D1">
        <w:rPr>
          <w:rFonts w:ascii="Cambria Math" w:hAnsi="Cambria Math" w:cs="Cambria Math"/>
          <w:sz w:val="20"/>
          <w:szCs w:val="20"/>
          <w:lang w:val="en-US"/>
        </w:rPr>
        <w:t>₄</w:t>
      </w:r>
      <w:r w:rsidRPr="003468D1">
        <w:rPr>
          <w:rFonts w:ascii="Arial" w:hAnsi="Arial" w:cs="Arial"/>
          <w:sz w:val="20"/>
          <w:szCs w:val="20"/>
          <w:lang w:val="en-US"/>
        </w:rPr>
        <w:t>, and concentrated under reduced pressure. The crude ester was purified by vacuum distillation (3.5 kPa, 137 °C) to afford pure butyl sorbate.</w:t>
      </w:r>
      <w:r w:rsidR="003468D1" w:rsidRPr="003468D1">
        <w:rPr>
          <w:rFonts w:ascii="Arial" w:hAnsi="Arial" w:cs="Arial"/>
          <w:sz w:val="20"/>
          <w:szCs w:val="20"/>
          <w:lang w:val="en-US"/>
        </w:rPr>
        <w:t xml:space="preserve"> </w:t>
      </w:r>
      <w:r w:rsidR="003468D1" w:rsidRPr="00AD57F6">
        <w:rPr>
          <w:rFonts w:ascii="Arial" w:hAnsi="Arial" w:cs="Arial"/>
          <w:sz w:val="20"/>
          <w:szCs w:val="20"/>
          <w:lang w:val="en-US"/>
        </w:rPr>
        <w:t>Sorbic acid was successfully esterified</w:t>
      </w:r>
      <w:r w:rsidR="003468D1">
        <w:rPr>
          <w:rFonts w:ascii="Arial" w:hAnsi="Arial" w:cs="Arial"/>
          <w:sz w:val="20"/>
          <w:szCs w:val="20"/>
          <w:lang w:val="en-US"/>
        </w:rPr>
        <w:t xml:space="preserve"> </w:t>
      </w:r>
      <w:r w:rsidR="003468D1" w:rsidRPr="00AD57F6">
        <w:rPr>
          <w:rFonts w:ascii="Arial" w:hAnsi="Arial" w:cs="Arial"/>
          <w:sz w:val="20"/>
          <w:szCs w:val="20"/>
          <w:lang w:val="en-US"/>
        </w:rPr>
        <w:t xml:space="preserve">affording butyl sorbate in 83% yield (52 g) with a purity of 97% (Figure </w:t>
      </w:r>
      <w:r w:rsidR="003468D1">
        <w:rPr>
          <w:rFonts w:ascii="Arial" w:hAnsi="Arial" w:cs="Arial"/>
          <w:sz w:val="20"/>
          <w:szCs w:val="20"/>
          <w:lang w:val="en-US"/>
        </w:rPr>
        <w:t>1</w:t>
      </w:r>
      <w:r w:rsidR="003468D1" w:rsidRPr="00AD57F6">
        <w:rPr>
          <w:rFonts w:ascii="Arial" w:hAnsi="Arial" w:cs="Arial"/>
          <w:sz w:val="20"/>
          <w:szCs w:val="20"/>
          <w:lang w:val="en-US"/>
        </w:rPr>
        <w:t>).</w:t>
      </w:r>
    </w:p>
    <w:p w14:paraId="26DF4B66" w14:textId="143B48A8" w:rsidR="003468D1" w:rsidRPr="00AD57F6" w:rsidRDefault="003468D1" w:rsidP="00C43560">
      <w:pPr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AD57F6">
        <w:rPr>
          <w:rFonts w:ascii="Arial" w:hAnsi="Arial" w:cs="Arial"/>
          <w:b/>
          <w:sz w:val="18"/>
          <w:szCs w:val="18"/>
          <w:lang w:val="en-US"/>
        </w:rPr>
        <w:t xml:space="preserve">Figure </w:t>
      </w:r>
      <w:r>
        <w:rPr>
          <w:rFonts w:ascii="Arial" w:hAnsi="Arial" w:cs="Arial"/>
          <w:b/>
          <w:sz w:val="18"/>
          <w:szCs w:val="18"/>
          <w:lang w:val="en-US"/>
        </w:rPr>
        <w:t>1</w:t>
      </w:r>
    </w:p>
    <w:p w14:paraId="5F5C46D8" w14:textId="77777777" w:rsidR="003468D1" w:rsidRPr="00AD57F6" w:rsidRDefault="003468D1" w:rsidP="00C43560">
      <w:pPr>
        <w:jc w:val="both"/>
        <w:rPr>
          <w:rFonts w:ascii="Arial" w:hAnsi="Arial" w:cs="Arial"/>
          <w:sz w:val="18"/>
          <w:szCs w:val="18"/>
          <w:lang w:val="en-US"/>
        </w:rPr>
      </w:pPr>
      <w:r w:rsidRPr="00AD57F6">
        <w:rPr>
          <w:rFonts w:ascii="Arial" w:hAnsi="Arial" w:cs="Arial"/>
          <w:sz w:val="18"/>
          <w:szCs w:val="18"/>
          <w:lang w:val="en-US"/>
        </w:rPr>
        <w:t>Fisher esterification of sorbic acid</w:t>
      </w:r>
    </w:p>
    <w:p w14:paraId="760DCF41" w14:textId="415F19E4" w:rsidR="003468D1" w:rsidRPr="003468D1" w:rsidRDefault="003468D1" w:rsidP="00C43560">
      <w:pPr>
        <w:jc w:val="both"/>
        <w:rPr>
          <w:rFonts w:ascii="Arial" w:hAnsi="Arial" w:cs="Arial"/>
          <w:lang w:val="en-US"/>
        </w:rPr>
      </w:pPr>
      <w:r w:rsidRPr="00AD57F6">
        <w:rPr>
          <w:rFonts w:ascii="Arial" w:hAnsi="Arial" w:cs="Arial"/>
          <w:noProof/>
          <w:lang w:val="en-US"/>
        </w:rPr>
        <w:object w:dxaOrig="7913" w:dyaOrig="756" w14:anchorId="0AD4F5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0.4pt;height:28.8pt" o:ole="">
            <v:imagedata r:id="rId4" o:title=""/>
          </v:shape>
          <o:OLEObject Type="Embed" ProgID="ACD.ChemSketchCDX" ShapeID="_x0000_i1025" DrawAspect="Content" ObjectID="_1827116314" r:id="rId5"/>
        </w:object>
      </w:r>
    </w:p>
    <w:p w14:paraId="5D040160" w14:textId="5CC507AD" w:rsidR="00AD57F6" w:rsidRPr="00076A12" w:rsidRDefault="00AD57F6" w:rsidP="00C43560">
      <w:pPr>
        <w:jc w:val="both"/>
        <w:rPr>
          <w:rFonts w:ascii="Arial" w:hAnsi="Arial" w:cs="Arial"/>
          <w:b/>
          <w:bCs/>
        </w:rPr>
      </w:pPr>
      <w:r w:rsidRPr="00076A12">
        <w:rPr>
          <w:rFonts w:ascii="Arial" w:hAnsi="Arial" w:cs="Arial"/>
          <w:b/>
          <w:bCs/>
        </w:rPr>
        <w:t>Materials</w:t>
      </w:r>
    </w:p>
    <w:p w14:paraId="0F24FF79" w14:textId="01C000BF" w:rsidR="00AD57F6" w:rsidRDefault="00094489" w:rsidP="00C43560">
      <w:pPr>
        <w:jc w:val="both"/>
        <w:rPr>
          <w:rFonts w:ascii="Arial" w:hAnsi="Arial" w:cs="Arial"/>
          <w:sz w:val="20"/>
          <w:szCs w:val="20"/>
          <w:lang w:val="en-US"/>
        </w:rPr>
      </w:pPr>
      <w:r w:rsidRPr="003639FE">
        <w:rPr>
          <w:rFonts w:ascii="Arial" w:hAnsi="Arial" w:cs="Arial"/>
          <w:sz w:val="20"/>
          <w:szCs w:val="20"/>
          <w:lang w:val="en-US"/>
        </w:rPr>
        <w:t xml:space="preserve">All chemicals were used as received, namely </w:t>
      </w:r>
      <w:r w:rsidR="00AD57F6" w:rsidRPr="00277F3A">
        <w:rPr>
          <w:rFonts w:ascii="Arial" w:hAnsi="Arial" w:cs="Arial"/>
          <w:i/>
          <w:sz w:val="20"/>
          <w:szCs w:val="20"/>
          <w:lang w:val="en-US"/>
        </w:rPr>
        <w:t>p</w:t>
      </w:r>
      <w:r w:rsidR="00AD57F6" w:rsidRPr="003639FE">
        <w:rPr>
          <w:rFonts w:ascii="Arial" w:hAnsi="Arial" w:cs="Arial"/>
          <w:sz w:val="20"/>
          <w:szCs w:val="20"/>
          <w:lang w:val="en-US"/>
        </w:rPr>
        <w:noBreakHyphen/>
        <w:t>toluensulfonic acid monohydrate (PTSA,</w:t>
      </w:r>
      <w:r w:rsidR="00AD57F6">
        <w:rPr>
          <w:rFonts w:ascii="Arial" w:hAnsi="Arial" w:cs="Arial"/>
          <w:sz w:val="20"/>
          <w:szCs w:val="20"/>
          <w:lang w:val="en-US"/>
        </w:rPr>
        <w:t xml:space="preserve"> p.a.)</w:t>
      </w:r>
      <w:r w:rsidR="00AD57F6" w:rsidRPr="003639FE">
        <w:rPr>
          <w:rFonts w:ascii="Arial" w:hAnsi="Arial" w:cs="Arial"/>
          <w:sz w:val="20"/>
          <w:szCs w:val="20"/>
          <w:lang w:val="en-US"/>
        </w:rPr>
        <w:t xml:space="preserve"> </w:t>
      </w:r>
      <w:r w:rsidR="00AD57F6">
        <w:rPr>
          <w:rFonts w:ascii="Arial" w:hAnsi="Arial" w:cs="Arial"/>
          <w:sz w:val="20"/>
          <w:szCs w:val="20"/>
          <w:lang w:val="en-US"/>
        </w:rPr>
        <w:t xml:space="preserve">was purchased from </w:t>
      </w:r>
      <w:r w:rsidR="00AD57F6" w:rsidRPr="003639FE">
        <w:rPr>
          <w:rFonts w:ascii="Arial" w:hAnsi="Arial" w:cs="Arial"/>
          <w:sz w:val="20"/>
          <w:szCs w:val="20"/>
          <w:lang w:val="en-US"/>
        </w:rPr>
        <w:t>Lachema</w:t>
      </w:r>
      <w:r w:rsidR="00AD57F6">
        <w:rPr>
          <w:rFonts w:ascii="Arial" w:hAnsi="Arial" w:cs="Arial"/>
          <w:sz w:val="20"/>
          <w:szCs w:val="20"/>
          <w:lang w:val="en-US"/>
        </w:rPr>
        <w:t xml:space="preserve">, </w:t>
      </w:r>
      <w:r w:rsidR="00AD57F6" w:rsidRPr="003639FE">
        <w:rPr>
          <w:rFonts w:ascii="Arial" w:hAnsi="Arial" w:cs="Arial"/>
          <w:sz w:val="20"/>
          <w:szCs w:val="20"/>
          <w:lang w:val="en-US"/>
        </w:rPr>
        <w:t xml:space="preserve">butanol (p.a.), </w:t>
      </w:r>
      <w:r w:rsidR="00AD57F6">
        <w:rPr>
          <w:rFonts w:ascii="Arial" w:hAnsi="Arial" w:cs="Arial"/>
          <w:sz w:val="20"/>
          <w:szCs w:val="20"/>
          <w:lang w:val="en-US"/>
        </w:rPr>
        <w:t>s</w:t>
      </w:r>
      <w:r w:rsidR="00AD57F6" w:rsidRPr="003639FE">
        <w:rPr>
          <w:rFonts w:ascii="Arial" w:hAnsi="Arial" w:cs="Arial"/>
          <w:sz w:val="20"/>
          <w:szCs w:val="20"/>
          <w:lang w:val="en-US"/>
        </w:rPr>
        <w:t>orbic acid (pure), sodium carbonate (p.a.)</w:t>
      </w:r>
      <w:r w:rsidR="003468D1">
        <w:rPr>
          <w:rFonts w:ascii="Arial" w:hAnsi="Arial" w:cs="Arial"/>
          <w:sz w:val="20"/>
          <w:szCs w:val="20"/>
          <w:lang w:val="en-US"/>
        </w:rPr>
        <w:t xml:space="preserve"> was obtained from Penta</w:t>
      </w:r>
      <w:r w:rsidR="00AD57F6">
        <w:rPr>
          <w:rFonts w:ascii="Arial" w:hAnsi="Arial" w:cs="Arial"/>
          <w:sz w:val="20"/>
          <w:szCs w:val="20"/>
          <w:lang w:val="en-US"/>
        </w:rPr>
        <w:t xml:space="preserve"> and </w:t>
      </w:r>
      <w:r w:rsidR="00AD57F6" w:rsidRPr="003639FE">
        <w:rPr>
          <w:rFonts w:ascii="Arial" w:hAnsi="Arial" w:cs="Arial"/>
          <w:sz w:val="20"/>
          <w:szCs w:val="20"/>
          <w:lang w:val="en-US"/>
        </w:rPr>
        <w:t>n-hexane (p.a.)</w:t>
      </w:r>
      <w:r w:rsidR="00AD57F6">
        <w:rPr>
          <w:rFonts w:ascii="Arial" w:hAnsi="Arial" w:cs="Arial"/>
          <w:sz w:val="20"/>
          <w:szCs w:val="20"/>
          <w:lang w:val="en-US"/>
        </w:rPr>
        <w:t xml:space="preserve"> </w:t>
      </w:r>
      <w:r w:rsidR="003468D1">
        <w:rPr>
          <w:rFonts w:ascii="Arial" w:hAnsi="Arial" w:cs="Arial"/>
          <w:sz w:val="20"/>
          <w:szCs w:val="20"/>
          <w:lang w:val="en-US"/>
        </w:rPr>
        <w:t xml:space="preserve">was purchased from </w:t>
      </w:r>
      <w:r w:rsidR="00AD57F6">
        <w:rPr>
          <w:rFonts w:ascii="Arial" w:hAnsi="Arial" w:cs="Arial"/>
          <w:sz w:val="20"/>
          <w:szCs w:val="20"/>
          <w:lang w:val="en-US"/>
        </w:rPr>
        <w:t>Lach-ner</w:t>
      </w:r>
      <w:r w:rsidR="003468D1">
        <w:rPr>
          <w:rFonts w:ascii="Arial" w:hAnsi="Arial" w:cs="Arial"/>
          <w:sz w:val="20"/>
          <w:szCs w:val="20"/>
          <w:lang w:val="en-US"/>
        </w:rPr>
        <w:t>.</w:t>
      </w:r>
      <w:r w:rsidR="00AD57F6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4C503E5E" w14:textId="77777777" w:rsidR="00D30ABD" w:rsidRDefault="00D30ABD" w:rsidP="00262845">
      <w:pPr>
        <w:jc w:val="both"/>
        <w:rPr>
          <w:rFonts w:ascii="Arial" w:hAnsi="Arial" w:cs="Arial"/>
          <w:b/>
          <w:bCs/>
          <w:lang w:val="en-US"/>
        </w:rPr>
      </w:pPr>
      <w:r w:rsidRPr="00D30ABD">
        <w:rPr>
          <w:rFonts w:ascii="Arial" w:hAnsi="Arial" w:cs="Arial"/>
          <w:b/>
          <w:bCs/>
          <w:lang w:val="en-US"/>
        </w:rPr>
        <w:t>¹H NMR assignment</w:t>
      </w:r>
    </w:p>
    <w:p w14:paraId="55C031CA" w14:textId="7E0CCE38" w:rsidR="00262845" w:rsidRPr="00744AD2" w:rsidRDefault="00262845" w:rsidP="00262845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744AD2">
        <w:rPr>
          <w:rFonts w:ascii="Arial" w:hAnsi="Arial" w:cs="Arial"/>
          <w:b/>
          <w:bCs/>
          <w:sz w:val="20"/>
          <w:szCs w:val="20"/>
          <w:lang w:val="en-US"/>
        </w:rPr>
        <w:t>butyl (</w:t>
      </w:r>
      <w:r w:rsidRPr="00744AD2">
        <w:rPr>
          <w:rFonts w:ascii="Arial" w:hAnsi="Arial" w:cs="Arial"/>
          <w:b/>
          <w:bCs/>
          <w:i/>
          <w:sz w:val="20"/>
          <w:szCs w:val="20"/>
          <w:lang w:val="en-US"/>
        </w:rPr>
        <w:t>E</w:t>
      </w:r>
      <w:r w:rsidRPr="00744AD2">
        <w:rPr>
          <w:rFonts w:ascii="Arial" w:hAnsi="Arial" w:cs="Arial"/>
          <w:b/>
          <w:bCs/>
          <w:sz w:val="20"/>
          <w:szCs w:val="20"/>
          <w:lang w:val="en-US"/>
        </w:rPr>
        <w:t>)</w:t>
      </w:r>
      <w:r w:rsidRPr="00744AD2">
        <w:rPr>
          <w:rFonts w:ascii="Arial" w:hAnsi="Arial" w:cs="Arial"/>
          <w:b/>
          <w:bCs/>
          <w:sz w:val="20"/>
          <w:szCs w:val="20"/>
          <w:lang w:val="en-US"/>
        </w:rPr>
        <w:noBreakHyphen/>
        <w:t>hex-2</w:t>
      </w:r>
      <w:r w:rsidRPr="00744AD2">
        <w:rPr>
          <w:rFonts w:ascii="Arial" w:hAnsi="Arial" w:cs="Arial"/>
          <w:b/>
          <w:bCs/>
          <w:sz w:val="20"/>
          <w:szCs w:val="20"/>
          <w:lang w:val="en-US"/>
        </w:rPr>
        <w:noBreakHyphen/>
        <w:t>enoate (II)</w:t>
      </w:r>
    </w:p>
    <w:p w14:paraId="4942F091" w14:textId="77777777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</w:t>
      </w:r>
      <w:r w:rsidRPr="00744AD2">
        <w:rPr>
          <w:rFonts w:ascii="Arial" w:hAnsi="Arial" w:cs="Arial"/>
          <w:sz w:val="20"/>
          <w:szCs w:val="20"/>
        </w:rPr>
        <w:t>H NMR (400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0.85-0.92 (m, 6H, CH3),1.30-1.51 (m, 4H, CH2), 1.55-1.62 (m, 2H, CH2), 2.30-2.39 (m, 2H, C</w:t>
      </w:r>
      <w:r w:rsidRPr="00744AD2">
        <w:rPr>
          <w:rFonts w:ascii="Arial" w:hAnsi="Arial" w:cs="Arial"/>
          <w:sz w:val="20"/>
          <w:szCs w:val="20"/>
          <w:u w:val="single"/>
        </w:rPr>
        <w:t>H</w:t>
      </w:r>
      <w:r w:rsidRPr="00744AD2">
        <w:rPr>
          <w:rFonts w:ascii="Arial" w:hAnsi="Arial" w:cs="Arial"/>
          <w:sz w:val="20"/>
          <w:szCs w:val="20"/>
        </w:rPr>
        <w:t xml:space="preserve">2-CH=), 4.12 (t,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6.6 Hz, 2H, OCH2), 5.84 (dt,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15.7, 1.4 Hz, 1H, =CH), 6.90-7.03 (d,</w:t>
      </w:r>
      <w:r w:rsidRPr="00744AD2">
        <w:rPr>
          <w:rFonts w:ascii="Arial" w:hAnsi="Arial" w:cs="Arial"/>
          <w:i/>
          <w:sz w:val="20"/>
          <w:szCs w:val="20"/>
        </w:rPr>
        <w:t xml:space="preserve"> J</w:t>
      </w:r>
      <w:r w:rsidRPr="00744AD2">
        <w:rPr>
          <w:rFonts w:ascii="Arial" w:hAnsi="Arial" w:cs="Arial"/>
          <w:sz w:val="20"/>
          <w:szCs w:val="20"/>
        </w:rPr>
        <w:t xml:space="preserve"> = 15.6 Hz 1H, CH=).</w:t>
      </w:r>
    </w:p>
    <w:p w14:paraId="2813D0E1" w14:textId="0AF25A7D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13</w:t>
      </w:r>
      <w:r w:rsidRPr="00744AD2">
        <w:rPr>
          <w:rFonts w:ascii="Arial" w:hAnsi="Arial" w:cs="Arial"/>
          <w:sz w:val="20"/>
          <w:szCs w:val="20"/>
        </w:rPr>
        <w:t>C NMR (101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13.5, 14.0, 21.2, 22.1, 28.2, 35.0, 64.6, 121.5, 140.8, 173.0.</w:t>
      </w:r>
    </w:p>
    <w:p w14:paraId="1B41184A" w14:textId="77777777" w:rsidR="00262845" w:rsidRPr="00744AD2" w:rsidRDefault="00262845" w:rsidP="00262845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744AD2">
        <w:rPr>
          <w:rFonts w:ascii="Arial" w:hAnsi="Arial" w:cs="Arial"/>
          <w:b/>
          <w:bCs/>
          <w:sz w:val="20"/>
          <w:szCs w:val="20"/>
          <w:lang w:val="en-US"/>
        </w:rPr>
        <w:t>butyl (</w:t>
      </w:r>
      <w:r w:rsidRPr="00744AD2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E</w:t>
      </w:r>
      <w:r w:rsidRPr="00744AD2">
        <w:rPr>
          <w:rFonts w:ascii="Arial" w:hAnsi="Arial" w:cs="Arial"/>
          <w:b/>
          <w:bCs/>
          <w:sz w:val="20"/>
          <w:szCs w:val="20"/>
          <w:lang w:val="en-US"/>
        </w:rPr>
        <w:t>)-hex-4-enoate (III)</w:t>
      </w:r>
    </w:p>
    <w:p w14:paraId="2B4D8C7A" w14:textId="77777777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</w:t>
      </w:r>
      <w:r w:rsidRPr="00744AD2">
        <w:rPr>
          <w:rFonts w:ascii="Arial" w:hAnsi="Arial" w:cs="Arial"/>
          <w:sz w:val="20"/>
          <w:szCs w:val="20"/>
        </w:rPr>
        <w:t>H NMR (400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 xml:space="preserve">) δ ppm 0.88 (t,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7.2 Hz, 3H, alkohol-CH3), 1.35-1.49 (m, 4H, CH2), 1.65 (d,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6.4 Hz, 3H, acid-CH3), 2.31-2.42 (m, 4H, CH2), 4.12 (t,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6.7 Hz, 2H, OCH2), 5.34-5.46 (m, 2H, CH=CH).</w:t>
      </w:r>
    </w:p>
    <w:p w14:paraId="5912E3A2" w14:textId="043903D2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13</w:t>
      </w:r>
      <w:r w:rsidRPr="00744AD2">
        <w:rPr>
          <w:rFonts w:ascii="Arial" w:hAnsi="Arial" w:cs="Arial"/>
          <w:sz w:val="20"/>
          <w:szCs w:val="20"/>
        </w:rPr>
        <w:t>C NMR (101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13.7, 17.9, 21.2, 28.1, 31.2, 34.8, 64.2, 126.6, 130.8, 173.2.</w:t>
      </w:r>
    </w:p>
    <w:p w14:paraId="44B3AA59" w14:textId="77777777" w:rsidR="00262845" w:rsidRPr="00744AD2" w:rsidRDefault="00262845" w:rsidP="00262845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744AD2">
        <w:rPr>
          <w:rFonts w:ascii="Arial" w:hAnsi="Arial" w:cs="Arial"/>
          <w:b/>
          <w:bCs/>
          <w:sz w:val="20"/>
          <w:szCs w:val="20"/>
          <w:lang w:val="en-US"/>
        </w:rPr>
        <w:t>butyl (</w:t>
      </w:r>
      <w:r w:rsidRPr="00744AD2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E</w:t>
      </w:r>
      <w:r w:rsidRPr="00744AD2">
        <w:rPr>
          <w:rFonts w:ascii="Arial" w:hAnsi="Arial" w:cs="Arial"/>
          <w:b/>
          <w:bCs/>
          <w:sz w:val="20"/>
          <w:szCs w:val="20"/>
          <w:lang w:val="en-US"/>
        </w:rPr>
        <w:t>)-hex-3-enoate (IV)</w:t>
      </w:r>
    </w:p>
    <w:p w14:paraId="3B9AF2C5" w14:textId="25D81490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</w:t>
      </w:r>
      <w:r w:rsidRPr="00744AD2">
        <w:rPr>
          <w:rFonts w:ascii="Arial" w:hAnsi="Arial" w:cs="Arial"/>
          <w:sz w:val="20"/>
          <w:szCs w:val="20"/>
        </w:rPr>
        <w:t>H NMR (400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0.90-0.99 (m, 6H, CH3), 1.33-1.52 (m, 4H, CH2), 1.99-2.09 (m, 2H, C</w:t>
      </w:r>
      <w:r w:rsidRPr="00744AD2">
        <w:rPr>
          <w:rFonts w:ascii="Arial" w:hAnsi="Arial" w:cs="Arial"/>
          <w:sz w:val="20"/>
          <w:szCs w:val="20"/>
          <w:u w:val="single"/>
        </w:rPr>
        <w:t>H</w:t>
      </w:r>
      <w:r w:rsidRPr="00744AD2">
        <w:rPr>
          <w:rFonts w:ascii="Arial" w:hAnsi="Arial" w:cs="Arial"/>
          <w:sz w:val="20"/>
          <w:szCs w:val="20"/>
        </w:rPr>
        <w:t xml:space="preserve">2-CH=), 2.80-3.13 (m, 2H, CH2CO), 4.15 (t,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6.7 Hz, 2H, OCH2), 5.41-5.75 (m, 2H, CH=CH).</w:t>
      </w:r>
    </w:p>
    <w:p w14:paraId="4260529F" w14:textId="55020EF8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13</w:t>
      </w:r>
      <w:r w:rsidRPr="00744AD2">
        <w:rPr>
          <w:rFonts w:ascii="Arial" w:hAnsi="Arial" w:cs="Arial"/>
          <w:sz w:val="20"/>
          <w:szCs w:val="20"/>
        </w:rPr>
        <w:t>C NMR (101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13.8, 13.9, 19.1, 25.8, 30.8, 35.9, 64.2, 120.8, 135.8, 171.9.</w:t>
      </w:r>
    </w:p>
    <w:p w14:paraId="044E7C8D" w14:textId="77777777" w:rsidR="00262845" w:rsidRPr="00744AD2" w:rsidRDefault="00262845" w:rsidP="0026284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44AD2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butyl (</w:t>
      </w:r>
      <w:r w:rsidRPr="00744AD2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Z</w:t>
      </w:r>
      <w:r w:rsidRPr="00744AD2">
        <w:rPr>
          <w:rFonts w:ascii="Arial" w:hAnsi="Arial" w:cs="Arial"/>
          <w:b/>
          <w:bCs/>
          <w:sz w:val="20"/>
          <w:szCs w:val="20"/>
          <w:lang w:val="en-US"/>
        </w:rPr>
        <w:t>)-hex-3-enoate (V)</w:t>
      </w:r>
    </w:p>
    <w:p w14:paraId="520CD815" w14:textId="77777777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</w:t>
      </w:r>
      <w:r w:rsidRPr="00744AD2">
        <w:rPr>
          <w:rFonts w:ascii="Arial" w:hAnsi="Arial" w:cs="Arial"/>
          <w:sz w:val="20"/>
          <w:szCs w:val="20"/>
        </w:rPr>
        <w:t>H NMR (400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0.90-0.98 (m, 6H, CH3), 1.31-1.51 (m, 4H, CH2), 1.99-2.09 (m, 2H, C</w:t>
      </w:r>
      <w:r w:rsidRPr="00744AD2">
        <w:rPr>
          <w:rFonts w:ascii="Arial" w:hAnsi="Arial" w:cs="Arial"/>
          <w:sz w:val="20"/>
          <w:szCs w:val="20"/>
          <w:u w:val="single"/>
        </w:rPr>
        <w:t>H</w:t>
      </w:r>
      <w:r w:rsidRPr="00744AD2">
        <w:rPr>
          <w:rFonts w:ascii="Arial" w:hAnsi="Arial" w:cs="Arial"/>
          <w:sz w:val="20"/>
          <w:szCs w:val="20"/>
        </w:rPr>
        <w:t xml:space="preserve">2-CH=), 2.80-3.12 (m, 2H, CH2CO), 4.17 (t,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6.7 Hz, 2H, OCH2), 5.52-5.59 (dt,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10.9, 6.2 Hz, 1H, CH=), 5.73-5.84 (dt, </w:t>
      </w:r>
      <w:r w:rsidRPr="00744AD2">
        <w:rPr>
          <w:rFonts w:ascii="Arial" w:hAnsi="Arial" w:cs="Arial"/>
          <w:i/>
          <w:sz w:val="20"/>
          <w:szCs w:val="20"/>
        </w:rPr>
        <w:t>J</w:t>
      </w:r>
      <w:r w:rsidRPr="00744AD2">
        <w:rPr>
          <w:rFonts w:ascii="Arial" w:hAnsi="Arial" w:cs="Arial"/>
          <w:sz w:val="20"/>
          <w:szCs w:val="20"/>
        </w:rPr>
        <w:t xml:space="preserve"> = 10.9, 6.4 Hz, 1H, =CH).</w:t>
      </w:r>
    </w:p>
    <w:p w14:paraId="51CA7392" w14:textId="7CFE14F9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13</w:t>
      </w:r>
      <w:r w:rsidRPr="00744AD2">
        <w:rPr>
          <w:rFonts w:ascii="Arial" w:hAnsi="Arial" w:cs="Arial"/>
          <w:sz w:val="20"/>
          <w:szCs w:val="20"/>
        </w:rPr>
        <w:t>C NMR (101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13.8, 13.9, 19.1, 25.9, 30.8, 35.8, 64.2, 121.0, 135.1, 171.9.</w:t>
      </w:r>
    </w:p>
    <w:p w14:paraId="5EC08EFD" w14:textId="77777777" w:rsidR="00262845" w:rsidRPr="00744AD2" w:rsidRDefault="00262845" w:rsidP="0026284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44AD2">
        <w:rPr>
          <w:rFonts w:ascii="Arial" w:hAnsi="Arial" w:cs="Arial"/>
          <w:b/>
          <w:bCs/>
          <w:sz w:val="20"/>
          <w:szCs w:val="20"/>
        </w:rPr>
        <w:t>butyl hexanoate (VI)</w:t>
      </w:r>
    </w:p>
    <w:p w14:paraId="1C3A6FC8" w14:textId="77777777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</w:t>
      </w:r>
      <w:r w:rsidRPr="00744AD2">
        <w:rPr>
          <w:rFonts w:ascii="Arial" w:hAnsi="Arial" w:cs="Arial"/>
          <w:sz w:val="20"/>
          <w:szCs w:val="20"/>
        </w:rPr>
        <w:t>H NMR (400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0.82-0.88 (m, 6H, CH3), 1.20-1.42 (m, 6H, CH2), 1.59-1.68 (m, 4H, CH2), 2.22-2.27 (m, 2H, CH2CO), 4.01-4.08 (m, 2H, OCH2).</w:t>
      </w:r>
    </w:p>
    <w:p w14:paraId="08DF0667" w14:textId="1CF99127" w:rsidR="00262845" w:rsidRPr="00744AD2" w:rsidRDefault="00262845" w:rsidP="00262845">
      <w:pPr>
        <w:jc w:val="both"/>
        <w:rPr>
          <w:rFonts w:ascii="Arial" w:hAnsi="Arial" w:cs="Arial"/>
          <w:sz w:val="20"/>
          <w:szCs w:val="20"/>
        </w:rPr>
      </w:pPr>
      <w:r w:rsidRPr="00744AD2">
        <w:rPr>
          <w:rFonts w:ascii="Arial" w:hAnsi="Arial" w:cs="Arial"/>
          <w:sz w:val="20"/>
          <w:szCs w:val="20"/>
          <w:vertAlign w:val="superscript"/>
        </w:rPr>
        <w:t>13</w:t>
      </w:r>
      <w:r w:rsidRPr="00744AD2">
        <w:rPr>
          <w:rFonts w:ascii="Arial" w:hAnsi="Arial" w:cs="Arial"/>
          <w:sz w:val="20"/>
          <w:szCs w:val="20"/>
        </w:rPr>
        <w:t>C NMR (101 MHz, CDCl</w:t>
      </w:r>
      <w:r w:rsidRPr="00744AD2">
        <w:rPr>
          <w:rFonts w:ascii="Arial" w:hAnsi="Arial" w:cs="Arial"/>
          <w:sz w:val="20"/>
          <w:szCs w:val="20"/>
          <w:vertAlign w:val="subscript"/>
        </w:rPr>
        <w:t>3</w:t>
      </w:r>
      <w:r w:rsidRPr="00744AD2">
        <w:rPr>
          <w:rFonts w:ascii="Arial" w:hAnsi="Arial" w:cs="Arial"/>
          <w:sz w:val="20"/>
          <w:szCs w:val="20"/>
        </w:rPr>
        <w:t>) δ ppm 13.9, 14.0, 18.9, 22.1, 27.9, 30.8, 31.5, 34.8, 64.3, 174.0.</w:t>
      </w:r>
    </w:p>
    <w:p w14:paraId="768DB496" w14:textId="6BCF3E2D" w:rsidR="00D03323" w:rsidRDefault="00D03323" w:rsidP="009007EF">
      <w:pPr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30C8D159" wp14:editId="07796E9E">
            <wp:simplePos x="0" y="0"/>
            <wp:positionH relativeFrom="margin">
              <wp:align>center</wp:align>
            </wp:positionH>
            <wp:positionV relativeFrom="paragraph">
              <wp:posOffset>277231</wp:posOffset>
            </wp:positionV>
            <wp:extent cx="7200000" cy="1800000"/>
            <wp:effectExtent l="0" t="0" r="1270" b="0"/>
            <wp:wrapTopAndBottom/>
            <wp:docPr id="8" name="Obrázek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75611">
        <w:rPr>
          <w:rFonts w:ascii="Arial" w:hAnsi="Arial" w:cs="Arial"/>
          <w:b/>
          <w:bCs/>
          <w:lang w:val="en-US"/>
        </w:rPr>
        <w:t>GC-MS spectra</w:t>
      </w:r>
    </w:p>
    <w:p w14:paraId="760E5C11" w14:textId="56150B7B" w:rsidR="00D75611" w:rsidRDefault="00032A6E" w:rsidP="00C638F6">
      <w:pPr>
        <w:spacing w:before="360"/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anchor distT="0" distB="0" distL="114300" distR="114300" simplePos="0" relativeHeight="251665408" behindDoc="0" locked="0" layoutInCell="1" allowOverlap="1" wp14:anchorId="65737DF1" wp14:editId="5EC6A359">
            <wp:simplePos x="0" y="0"/>
            <wp:positionH relativeFrom="margin">
              <wp:align>center</wp:align>
            </wp:positionH>
            <wp:positionV relativeFrom="paragraph">
              <wp:posOffset>2131959</wp:posOffset>
            </wp:positionV>
            <wp:extent cx="7200000" cy="1800000"/>
            <wp:effectExtent l="0" t="0" r="1270" b="0"/>
            <wp:wrapTopAndBottom/>
            <wp:docPr id="9" name="Obrázek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38F6"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C638F6">
        <w:rPr>
          <w:rFonts w:ascii="Arial" w:hAnsi="Arial" w:cs="Arial"/>
          <w:b/>
          <w:bCs/>
          <w:sz w:val="18"/>
          <w:szCs w:val="18"/>
          <w:lang w:val="en-US"/>
        </w:rPr>
        <w:t xml:space="preserve"> S1: GC-MS spectrum of </w:t>
      </w:r>
      <w:r w:rsidR="00C638F6" w:rsidRPr="00744AD2">
        <w:rPr>
          <w:rFonts w:ascii="Arial" w:hAnsi="Arial" w:cs="Arial"/>
          <w:b/>
          <w:bCs/>
          <w:sz w:val="18"/>
          <w:szCs w:val="18"/>
          <w:lang w:val="en-US"/>
        </w:rPr>
        <w:t>butyl (</w:t>
      </w:r>
      <w:r w:rsidR="00C638F6" w:rsidRPr="00744AD2">
        <w:rPr>
          <w:rFonts w:ascii="Arial" w:hAnsi="Arial" w:cs="Arial"/>
          <w:b/>
          <w:bCs/>
          <w:i/>
          <w:sz w:val="18"/>
          <w:szCs w:val="18"/>
          <w:lang w:val="en-US"/>
        </w:rPr>
        <w:t>E</w:t>
      </w:r>
      <w:r w:rsidR="00C638F6" w:rsidRPr="00744AD2">
        <w:rPr>
          <w:rFonts w:ascii="Arial" w:hAnsi="Arial" w:cs="Arial"/>
          <w:b/>
          <w:bCs/>
          <w:sz w:val="18"/>
          <w:szCs w:val="18"/>
          <w:lang w:val="en-US"/>
        </w:rPr>
        <w:t>)</w:t>
      </w:r>
      <w:r w:rsidR="00C638F6" w:rsidRPr="00744AD2">
        <w:rPr>
          <w:rFonts w:ascii="Arial" w:hAnsi="Arial" w:cs="Arial"/>
          <w:b/>
          <w:bCs/>
          <w:sz w:val="18"/>
          <w:szCs w:val="18"/>
          <w:lang w:val="en-US"/>
        </w:rPr>
        <w:noBreakHyphen/>
        <w:t>hex-2</w:t>
      </w:r>
      <w:r w:rsidR="00C638F6" w:rsidRPr="00744AD2">
        <w:rPr>
          <w:rFonts w:ascii="Arial" w:hAnsi="Arial" w:cs="Arial"/>
          <w:b/>
          <w:bCs/>
          <w:sz w:val="18"/>
          <w:szCs w:val="18"/>
          <w:lang w:val="en-US"/>
        </w:rPr>
        <w:noBreakHyphen/>
        <w:t>enoate</w:t>
      </w:r>
    </w:p>
    <w:p w14:paraId="3C8673F0" w14:textId="6EA7934A" w:rsidR="00032A6E" w:rsidRDefault="00032A6E" w:rsidP="000306F0">
      <w:pPr>
        <w:spacing w:before="360"/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anchor distT="0" distB="0" distL="114300" distR="114300" simplePos="0" relativeHeight="251666432" behindDoc="0" locked="0" layoutInCell="1" allowOverlap="1" wp14:anchorId="76D779FB" wp14:editId="4F334FA2">
            <wp:simplePos x="0" y="0"/>
            <wp:positionH relativeFrom="margin">
              <wp:align>center</wp:align>
            </wp:positionH>
            <wp:positionV relativeFrom="paragraph">
              <wp:posOffset>2180590</wp:posOffset>
            </wp:positionV>
            <wp:extent cx="7200000" cy="1800000"/>
            <wp:effectExtent l="0" t="0" r="1270" b="0"/>
            <wp:wrapTopAndBottom/>
            <wp:docPr id="10" name="Obrázek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6F0"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0306F0">
        <w:rPr>
          <w:rFonts w:ascii="Arial" w:hAnsi="Arial" w:cs="Arial"/>
          <w:b/>
          <w:bCs/>
          <w:sz w:val="18"/>
          <w:szCs w:val="18"/>
          <w:lang w:val="en-US"/>
        </w:rPr>
        <w:t xml:space="preserve"> S</w:t>
      </w:r>
      <w:r w:rsidR="005200A2">
        <w:rPr>
          <w:rFonts w:ascii="Arial" w:hAnsi="Arial" w:cs="Arial"/>
          <w:b/>
          <w:bCs/>
          <w:sz w:val="18"/>
          <w:szCs w:val="18"/>
          <w:lang w:val="en-US"/>
        </w:rPr>
        <w:t>2</w:t>
      </w:r>
      <w:r w:rsidR="000306F0">
        <w:rPr>
          <w:rFonts w:ascii="Arial" w:hAnsi="Arial" w:cs="Arial"/>
          <w:b/>
          <w:bCs/>
          <w:sz w:val="18"/>
          <w:szCs w:val="18"/>
          <w:lang w:val="en-US"/>
        </w:rPr>
        <w:t xml:space="preserve">: GC-MS spectrum of </w:t>
      </w:r>
      <w:r w:rsidR="000306F0" w:rsidRPr="009B189F">
        <w:rPr>
          <w:rFonts w:ascii="Arial" w:hAnsi="Arial" w:cs="Arial"/>
          <w:b/>
          <w:bCs/>
          <w:sz w:val="18"/>
          <w:szCs w:val="18"/>
          <w:lang w:val="en-US"/>
        </w:rPr>
        <w:t>butyl (</w:t>
      </w:r>
      <w:r w:rsidR="000306F0" w:rsidRPr="009B189F">
        <w:rPr>
          <w:rFonts w:ascii="Arial" w:hAnsi="Arial" w:cs="Arial"/>
          <w:b/>
          <w:bCs/>
          <w:i/>
          <w:sz w:val="18"/>
          <w:szCs w:val="18"/>
          <w:lang w:val="en-US"/>
        </w:rPr>
        <w:t>E</w:t>
      </w:r>
      <w:r w:rsidR="000306F0" w:rsidRPr="009B189F">
        <w:rPr>
          <w:rFonts w:ascii="Arial" w:hAnsi="Arial" w:cs="Arial"/>
          <w:b/>
          <w:bCs/>
          <w:sz w:val="18"/>
          <w:szCs w:val="18"/>
          <w:lang w:val="en-US"/>
        </w:rPr>
        <w:t>)</w:t>
      </w:r>
      <w:r w:rsidR="000306F0" w:rsidRPr="009B189F">
        <w:rPr>
          <w:rFonts w:ascii="Arial" w:hAnsi="Arial" w:cs="Arial"/>
          <w:b/>
          <w:bCs/>
          <w:sz w:val="18"/>
          <w:szCs w:val="18"/>
          <w:lang w:val="en-US"/>
        </w:rPr>
        <w:noBreakHyphen/>
        <w:t>hex-</w:t>
      </w:r>
      <w:r w:rsidR="000306F0">
        <w:rPr>
          <w:rFonts w:ascii="Arial" w:hAnsi="Arial" w:cs="Arial"/>
          <w:b/>
          <w:bCs/>
          <w:sz w:val="18"/>
          <w:szCs w:val="18"/>
          <w:lang w:val="en-US"/>
        </w:rPr>
        <w:t>3</w:t>
      </w:r>
      <w:r w:rsidR="000306F0" w:rsidRPr="009B189F">
        <w:rPr>
          <w:rFonts w:ascii="Arial" w:hAnsi="Arial" w:cs="Arial"/>
          <w:b/>
          <w:bCs/>
          <w:sz w:val="18"/>
          <w:szCs w:val="18"/>
          <w:lang w:val="en-US"/>
        </w:rPr>
        <w:noBreakHyphen/>
        <w:t>enoate</w:t>
      </w:r>
    </w:p>
    <w:p w14:paraId="08A610D8" w14:textId="4A06AC90" w:rsidR="000306F0" w:rsidRDefault="005200A2" w:rsidP="00C638F6">
      <w:pPr>
        <w:spacing w:before="360"/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S3: GC-MS spectrum of 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t>butyl (</w:t>
      </w:r>
      <w:r>
        <w:rPr>
          <w:rFonts w:ascii="Arial" w:hAnsi="Arial" w:cs="Arial"/>
          <w:b/>
          <w:bCs/>
          <w:i/>
          <w:sz w:val="18"/>
          <w:szCs w:val="18"/>
          <w:lang w:val="en-US"/>
        </w:rPr>
        <w:t>Z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t>)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noBreakHyphen/>
        <w:t>hex-</w:t>
      </w:r>
      <w:r>
        <w:rPr>
          <w:rFonts w:ascii="Arial" w:hAnsi="Arial" w:cs="Arial"/>
          <w:b/>
          <w:bCs/>
          <w:sz w:val="18"/>
          <w:szCs w:val="18"/>
          <w:lang w:val="en-US"/>
        </w:rPr>
        <w:t>3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noBreakHyphen/>
        <w:t>enoate</w:t>
      </w:r>
    </w:p>
    <w:p w14:paraId="5A82F107" w14:textId="77777777" w:rsidR="00B059BA" w:rsidRDefault="00032A6E" w:rsidP="00744AD2">
      <w:pPr>
        <w:spacing w:before="360"/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619B2267" wp14:editId="24A43E47">
            <wp:simplePos x="0" y="0"/>
            <wp:positionH relativeFrom="margin">
              <wp:align>center</wp:align>
            </wp:positionH>
            <wp:positionV relativeFrom="paragraph">
              <wp:posOffset>156</wp:posOffset>
            </wp:positionV>
            <wp:extent cx="7200000" cy="1800000"/>
            <wp:effectExtent l="0" t="0" r="1270" b="0"/>
            <wp:wrapTopAndBottom/>
            <wp:docPr id="11" name="Obrázek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72B2"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4572B2">
        <w:rPr>
          <w:rFonts w:ascii="Arial" w:hAnsi="Arial" w:cs="Arial"/>
          <w:b/>
          <w:bCs/>
          <w:sz w:val="18"/>
          <w:szCs w:val="18"/>
          <w:lang w:val="en-US"/>
        </w:rPr>
        <w:t xml:space="preserve"> S4: GC-MS spectrum of </w:t>
      </w:r>
      <w:r w:rsidR="004572B2" w:rsidRPr="009B189F">
        <w:rPr>
          <w:rFonts w:ascii="Arial" w:hAnsi="Arial" w:cs="Arial"/>
          <w:b/>
          <w:bCs/>
          <w:sz w:val="18"/>
          <w:szCs w:val="18"/>
          <w:lang w:val="en-US"/>
        </w:rPr>
        <w:t>butyl hex</w:t>
      </w:r>
      <w:r w:rsidR="00226B7F">
        <w:rPr>
          <w:rFonts w:ascii="Arial" w:hAnsi="Arial" w:cs="Arial"/>
          <w:b/>
          <w:bCs/>
          <w:sz w:val="18"/>
          <w:szCs w:val="18"/>
          <w:lang w:val="en-US"/>
        </w:rPr>
        <w:t>a</w:t>
      </w:r>
      <w:r w:rsidR="004572B2" w:rsidRPr="009B189F">
        <w:rPr>
          <w:rFonts w:ascii="Arial" w:hAnsi="Arial" w:cs="Arial"/>
          <w:b/>
          <w:bCs/>
          <w:sz w:val="18"/>
          <w:szCs w:val="18"/>
          <w:lang w:val="en-US"/>
        </w:rPr>
        <w:t>noate</w:t>
      </w:r>
    </w:p>
    <w:p w14:paraId="1D120F46" w14:textId="3B0F7186" w:rsidR="00226B7F" w:rsidRPr="00744AD2" w:rsidRDefault="00226B7F" w:rsidP="00744AD2">
      <w:pPr>
        <w:spacing w:before="36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>B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t>utyl (</w:t>
      </w:r>
      <w:r w:rsidRPr="009B189F">
        <w:rPr>
          <w:rFonts w:ascii="Arial" w:hAnsi="Arial" w:cs="Arial"/>
          <w:b/>
          <w:bCs/>
          <w:i/>
          <w:sz w:val="18"/>
          <w:szCs w:val="18"/>
          <w:lang w:val="en-US"/>
        </w:rPr>
        <w:t>E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t>)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noBreakHyphen/>
        <w:t>hex-</w:t>
      </w:r>
      <w:r>
        <w:rPr>
          <w:rFonts w:ascii="Arial" w:hAnsi="Arial" w:cs="Arial"/>
          <w:b/>
          <w:bCs/>
          <w:sz w:val="18"/>
          <w:szCs w:val="18"/>
          <w:lang w:val="en-US"/>
        </w:rPr>
        <w:t>4</w:t>
      </w:r>
      <w:r w:rsidRPr="009B189F">
        <w:rPr>
          <w:rFonts w:ascii="Arial" w:hAnsi="Arial" w:cs="Arial"/>
          <w:b/>
          <w:bCs/>
          <w:sz w:val="18"/>
          <w:szCs w:val="18"/>
          <w:lang w:val="en-US"/>
        </w:rPr>
        <w:noBreakHyphen/>
        <w:t>enoate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was identified only by NMR.</w:t>
      </w:r>
    </w:p>
    <w:p w14:paraId="1814DA53" w14:textId="77777777" w:rsidR="00C15E1C" w:rsidRDefault="009007EF" w:rsidP="00C15E1C">
      <w:pPr>
        <w:jc w:val="both"/>
        <w:rPr>
          <w:rFonts w:ascii="Arial" w:hAnsi="Arial" w:cs="Arial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866559" wp14:editId="49E5E2AB">
            <wp:simplePos x="0" y="0"/>
            <wp:positionH relativeFrom="margin">
              <wp:align>center</wp:align>
            </wp:positionH>
            <wp:positionV relativeFrom="paragraph">
              <wp:posOffset>204518</wp:posOffset>
            </wp:positionV>
            <wp:extent cx="5040000" cy="2880000"/>
            <wp:effectExtent l="0" t="0" r="8255" b="15875"/>
            <wp:wrapTopAndBottom/>
            <wp:docPr id="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C47E9888-0F47-0CC0-AFE6-B2A50FCEC2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lang w:val="en-US"/>
        </w:rPr>
        <w:t>Reaction courses</w:t>
      </w:r>
    </w:p>
    <w:p w14:paraId="0D16509C" w14:textId="2C1F30E3" w:rsidR="00B059BA" w:rsidRDefault="00B972FC" w:rsidP="00C15E1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E81BC0D" wp14:editId="489336A9">
            <wp:simplePos x="0" y="0"/>
            <wp:positionH relativeFrom="margin">
              <wp:align>center</wp:align>
            </wp:positionH>
            <wp:positionV relativeFrom="paragraph">
              <wp:posOffset>3128010</wp:posOffset>
            </wp:positionV>
            <wp:extent cx="5039995" cy="2879725"/>
            <wp:effectExtent l="0" t="0" r="8255" b="15875"/>
            <wp:wrapTopAndBottom/>
            <wp:docPr id="2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EBA38A8B-F467-6D82-E06B-4943EF9B23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7EF"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9007EF">
        <w:rPr>
          <w:rFonts w:ascii="Arial" w:hAnsi="Arial" w:cs="Arial"/>
          <w:b/>
          <w:bCs/>
          <w:sz w:val="18"/>
          <w:szCs w:val="18"/>
          <w:lang w:val="en-US"/>
        </w:rPr>
        <w:t xml:space="preserve"> S</w:t>
      </w:r>
      <w:r w:rsidR="00B177B7">
        <w:rPr>
          <w:rFonts w:ascii="Arial" w:hAnsi="Arial" w:cs="Arial"/>
          <w:b/>
          <w:bCs/>
          <w:sz w:val="18"/>
          <w:szCs w:val="18"/>
          <w:lang w:val="en-US"/>
        </w:rPr>
        <w:t>5</w:t>
      </w:r>
      <w:r w:rsidR="009007EF">
        <w:rPr>
          <w:rFonts w:ascii="Arial" w:hAnsi="Arial" w:cs="Arial"/>
          <w:b/>
          <w:bCs/>
          <w:sz w:val="18"/>
          <w:szCs w:val="18"/>
          <w:lang w:val="en-US"/>
        </w:rPr>
        <w:t xml:space="preserve">: </w:t>
      </w:r>
      <w:r w:rsidR="009007EF" w:rsidRPr="00737C57">
        <w:rPr>
          <w:rFonts w:ascii="Arial" w:hAnsi="Arial" w:cs="Arial"/>
          <w:sz w:val="18"/>
          <w:szCs w:val="18"/>
          <w:lang w:val="en-US"/>
        </w:rPr>
        <w:t>Effect of catalyst and ligand loading on the transfer hydrogenation of butyl sorbate</w:t>
      </w:r>
    </w:p>
    <w:p w14:paraId="1EC1DF48" w14:textId="4F0AADB9" w:rsidR="009007EF" w:rsidRDefault="00744AD2" w:rsidP="009007EF">
      <w:pPr>
        <w:spacing w:before="480" w:after="36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385D13D" wp14:editId="56EF9E07">
            <wp:simplePos x="0" y="0"/>
            <wp:positionH relativeFrom="margin">
              <wp:align>center</wp:align>
            </wp:positionH>
            <wp:positionV relativeFrom="paragraph">
              <wp:posOffset>381000</wp:posOffset>
            </wp:positionV>
            <wp:extent cx="5039995" cy="2879725"/>
            <wp:effectExtent l="0" t="0" r="8255" b="15875"/>
            <wp:wrapTopAndBottom/>
            <wp:docPr id="3" name="Graf 3">
              <a:extLst xmlns:a="http://schemas.openxmlformats.org/drawingml/2006/main">
                <a:ext uri="{FF2B5EF4-FFF2-40B4-BE49-F238E27FC236}">
                  <a16:creationId xmlns:a16="http://schemas.microsoft.com/office/drawing/2014/main" id="{9578557E-99A0-5B8A-95EC-1F845B7F7B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7EF"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 w:rsidR="009007EF">
        <w:rPr>
          <w:rFonts w:ascii="Arial" w:hAnsi="Arial" w:cs="Arial"/>
          <w:b/>
          <w:bCs/>
          <w:sz w:val="18"/>
          <w:szCs w:val="18"/>
          <w:lang w:val="en-US"/>
        </w:rPr>
        <w:t xml:space="preserve"> S</w:t>
      </w:r>
      <w:r w:rsidR="00B177B7">
        <w:rPr>
          <w:rFonts w:ascii="Arial" w:hAnsi="Arial" w:cs="Arial"/>
          <w:b/>
          <w:bCs/>
          <w:sz w:val="18"/>
          <w:szCs w:val="18"/>
          <w:lang w:val="en-US"/>
        </w:rPr>
        <w:t>6</w:t>
      </w:r>
      <w:r w:rsidR="009007EF">
        <w:rPr>
          <w:rFonts w:ascii="Arial" w:hAnsi="Arial" w:cs="Arial"/>
          <w:b/>
          <w:bCs/>
          <w:sz w:val="18"/>
          <w:szCs w:val="18"/>
          <w:lang w:val="en-US"/>
        </w:rPr>
        <w:t xml:space="preserve">: </w:t>
      </w:r>
      <w:r w:rsidR="009007EF" w:rsidRPr="00737C57">
        <w:rPr>
          <w:rFonts w:ascii="Arial" w:hAnsi="Arial" w:cs="Arial"/>
          <w:sz w:val="18"/>
          <w:szCs w:val="18"/>
          <w:lang w:val="en-US"/>
        </w:rPr>
        <w:t>Effect of solvent type on the transfer hydrogenation of butyl sorbate</w:t>
      </w:r>
    </w:p>
    <w:p w14:paraId="19D4247B" w14:textId="03FDAB6C" w:rsidR="009007EF" w:rsidRDefault="009007EF" w:rsidP="009007EF">
      <w:pPr>
        <w:spacing w:before="360" w:after="36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597CE44" wp14:editId="6E643A00">
            <wp:simplePos x="0" y="0"/>
            <wp:positionH relativeFrom="margin">
              <wp:align>center</wp:align>
            </wp:positionH>
            <wp:positionV relativeFrom="paragraph">
              <wp:posOffset>3272155</wp:posOffset>
            </wp:positionV>
            <wp:extent cx="5039995" cy="2879725"/>
            <wp:effectExtent l="0" t="0" r="8255" b="15875"/>
            <wp:wrapTopAndBottom/>
            <wp:docPr id="4" name="Graf 4">
              <a:extLst xmlns:a="http://schemas.openxmlformats.org/drawingml/2006/main">
                <a:ext uri="{FF2B5EF4-FFF2-40B4-BE49-F238E27FC236}">
                  <a16:creationId xmlns:a16="http://schemas.microsoft.com/office/drawing/2014/main" id="{3D54608D-2610-23CE-88F1-C056FE7ACD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S</w:t>
      </w:r>
      <w:r w:rsidR="00B177B7">
        <w:rPr>
          <w:rFonts w:ascii="Arial" w:hAnsi="Arial" w:cs="Arial"/>
          <w:b/>
          <w:bCs/>
          <w:sz w:val="18"/>
          <w:szCs w:val="18"/>
          <w:lang w:val="en-US"/>
        </w:rPr>
        <w:t>7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: </w:t>
      </w:r>
      <w:r w:rsidRPr="00737C57">
        <w:rPr>
          <w:rFonts w:ascii="Arial" w:hAnsi="Arial" w:cs="Arial"/>
          <w:sz w:val="18"/>
          <w:szCs w:val="18"/>
          <w:lang w:val="en-US"/>
        </w:rPr>
        <w:t xml:space="preserve">Effect of </w:t>
      </w:r>
      <w:r>
        <w:rPr>
          <w:rFonts w:ascii="Arial" w:hAnsi="Arial" w:cs="Arial"/>
          <w:sz w:val="18"/>
          <w:szCs w:val="18"/>
          <w:lang w:val="en-US"/>
        </w:rPr>
        <w:t>temperature</w:t>
      </w:r>
      <w:r w:rsidRPr="00737C57">
        <w:rPr>
          <w:rFonts w:ascii="Arial" w:hAnsi="Arial" w:cs="Arial"/>
          <w:sz w:val="18"/>
          <w:szCs w:val="18"/>
          <w:lang w:val="en-US"/>
        </w:rPr>
        <w:t xml:space="preserve"> on the transfer hydrogenation of butyl sorbate</w:t>
      </w:r>
    </w:p>
    <w:p w14:paraId="7A88431E" w14:textId="3BBF1EBF" w:rsidR="009007EF" w:rsidRDefault="009007EF" w:rsidP="009007EF">
      <w:pPr>
        <w:spacing w:before="480" w:after="36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S</w:t>
      </w:r>
      <w:r w:rsidR="00B177B7">
        <w:rPr>
          <w:rFonts w:ascii="Arial" w:hAnsi="Arial" w:cs="Arial"/>
          <w:b/>
          <w:bCs/>
          <w:sz w:val="18"/>
          <w:szCs w:val="18"/>
          <w:lang w:val="en-US"/>
        </w:rPr>
        <w:t>8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: </w:t>
      </w:r>
      <w:r w:rsidRPr="00737C57">
        <w:rPr>
          <w:rFonts w:ascii="Arial" w:hAnsi="Arial" w:cs="Arial"/>
          <w:sz w:val="18"/>
          <w:szCs w:val="18"/>
          <w:lang w:val="en-US"/>
        </w:rPr>
        <w:t>Effect of</w:t>
      </w:r>
      <w:r w:rsidRPr="0055349B">
        <w:rPr>
          <w:rFonts w:ascii="Arial" w:hAnsi="Arial" w:cs="Arial"/>
          <w:sz w:val="18"/>
          <w:szCs w:val="18"/>
          <w:lang w:val="en-US"/>
        </w:rPr>
        <w:t xml:space="preserve"> </w:t>
      </w:r>
      <w:r w:rsidRPr="0055349B">
        <w:rPr>
          <w:rStyle w:val="Strong"/>
          <w:rFonts w:ascii="Arial" w:hAnsi="Arial" w:cs="Arial"/>
          <w:b w:val="0"/>
          <w:bCs w:val="0"/>
          <w:sz w:val="18"/>
          <w:szCs w:val="18"/>
          <w:lang w:val="en-US"/>
        </w:rPr>
        <w:t>hydrogen donor type</w:t>
      </w:r>
      <w:r w:rsidRPr="00737C57">
        <w:rPr>
          <w:rFonts w:ascii="Arial" w:hAnsi="Arial" w:cs="Arial"/>
          <w:sz w:val="18"/>
          <w:szCs w:val="18"/>
          <w:lang w:val="en-US"/>
        </w:rPr>
        <w:t xml:space="preserve"> on the transfer hydrogenation of butyl sorbate</w:t>
      </w:r>
    </w:p>
    <w:p w14:paraId="55EFE739" w14:textId="06CF548C" w:rsidR="009007EF" w:rsidRDefault="009007EF" w:rsidP="009007EF">
      <w:pPr>
        <w:spacing w:before="480" w:after="36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CFAE2CC" wp14:editId="28EBC75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40000" cy="2880000"/>
            <wp:effectExtent l="0" t="0" r="8255" b="15875"/>
            <wp:wrapTopAndBottom/>
            <wp:docPr id="5" name="Graf 5">
              <a:extLst xmlns:a="http://schemas.openxmlformats.org/drawingml/2006/main">
                <a:ext uri="{FF2B5EF4-FFF2-40B4-BE49-F238E27FC236}">
                  <a16:creationId xmlns:a16="http://schemas.microsoft.com/office/drawing/2014/main" id="{83A679B9-B68F-9B90-269C-7A8420E0E6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>
        <w:rPr>
          <w:rFonts w:ascii="Arial" w:hAnsi="Arial" w:cs="Arial"/>
          <w:b/>
          <w:bCs/>
          <w:sz w:val="18"/>
          <w:szCs w:val="18"/>
          <w:lang w:val="en-US"/>
        </w:rPr>
        <w:t>Fig</w:t>
      </w:r>
      <w:r w:rsidR="00B059BA">
        <w:rPr>
          <w:rFonts w:ascii="Arial" w:hAnsi="Arial" w:cs="Arial"/>
          <w:b/>
          <w:bCs/>
          <w:sz w:val="18"/>
          <w:szCs w:val="18"/>
          <w:lang w:val="en-US"/>
        </w:rPr>
        <w:t>.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S</w:t>
      </w:r>
      <w:r w:rsidR="00B177B7">
        <w:rPr>
          <w:rFonts w:ascii="Arial" w:hAnsi="Arial" w:cs="Arial"/>
          <w:b/>
          <w:bCs/>
          <w:sz w:val="18"/>
          <w:szCs w:val="18"/>
          <w:lang w:val="en-US"/>
        </w:rPr>
        <w:t>9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: </w:t>
      </w:r>
      <w:r w:rsidRPr="00737C57">
        <w:rPr>
          <w:rFonts w:ascii="Arial" w:hAnsi="Arial" w:cs="Arial"/>
          <w:sz w:val="18"/>
          <w:szCs w:val="18"/>
          <w:lang w:val="en-US"/>
        </w:rPr>
        <w:t>Effect of</w:t>
      </w:r>
      <w:r w:rsidRPr="0055349B">
        <w:rPr>
          <w:rFonts w:ascii="Arial" w:hAnsi="Arial" w:cs="Arial"/>
          <w:sz w:val="18"/>
          <w:szCs w:val="18"/>
          <w:lang w:val="en-US"/>
        </w:rPr>
        <w:t xml:space="preserve"> </w:t>
      </w:r>
      <w:r w:rsidRPr="0055349B">
        <w:rPr>
          <w:rStyle w:val="Strong"/>
          <w:rFonts w:ascii="Arial" w:hAnsi="Arial" w:cs="Arial"/>
          <w:b w:val="0"/>
          <w:bCs w:val="0"/>
          <w:sz w:val="18"/>
          <w:szCs w:val="18"/>
          <w:lang w:val="en-US"/>
        </w:rPr>
        <w:t>hydrogen donor type</w:t>
      </w:r>
      <w:r w:rsidRPr="00737C57">
        <w:rPr>
          <w:rFonts w:ascii="Arial" w:hAnsi="Arial" w:cs="Arial"/>
          <w:sz w:val="18"/>
          <w:szCs w:val="18"/>
          <w:lang w:val="en-US"/>
        </w:rPr>
        <w:t xml:space="preserve"> on the transfer hydrogenation of butyl sorbate</w:t>
      </w:r>
    </w:p>
    <w:p w14:paraId="75AD57C5" w14:textId="77777777" w:rsidR="009007EF" w:rsidRDefault="009007EF" w:rsidP="00C43560">
      <w:pPr>
        <w:jc w:val="both"/>
        <w:rPr>
          <w:rFonts w:ascii="Arial" w:hAnsi="Arial" w:cs="Arial"/>
          <w:sz w:val="20"/>
          <w:szCs w:val="20"/>
          <w:lang w:val="en-US"/>
        </w:rPr>
      </w:pPr>
    </w:p>
    <w:sectPr w:rsidR="00900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1B"/>
    <w:rsid w:val="000306F0"/>
    <w:rsid w:val="00032A6E"/>
    <w:rsid w:val="0007260A"/>
    <w:rsid w:val="00076A12"/>
    <w:rsid w:val="00094489"/>
    <w:rsid w:val="000B5C21"/>
    <w:rsid w:val="00177F73"/>
    <w:rsid w:val="0018110F"/>
    <w:rsid w:val="00190498"/>
    <w:rsid w:val="001B41A3"/>
    <w:rsid w:val="00226B7F"/>
    <w:rsid w:val="00262845"/>
    <w:rsid w:val="002C23B3"/>
    <w:rsid w:val="00303FDB"/>
    <w:rsid w:val="00334A8A"/>
    <w:rsid w:val="003468D1"/>
    <w:rsid w:val="003A2AFD"/>
    <w:rsid w:val="003D2090"/>
    <w:rsid w:val="0043025B"/>
    <w:rsid w:val="004572B2"/>
    <w:rsid w:val="004F6747"/>
    <w:rsid w:val="00502904"/>
    <w:rsid w:val="005200A2"/>
    <w:rsid w:val="0055349B"/>
    <w:rsid w:val="005F4E8F"/>
    <w:rsid w:val="005F55D3"/>
    <w:rsid w:val="00666A40"/>
    <w:rsid w:val="006D446D"/>
    <w:rsid w:val="007329BB"/>
    <w:rsid w:val="00736166"/>
    <w:rsid w:val="00744AD2"/>
    <w:rsid w:val="007A001B"/>
    <w:rsid w:val="007A46F5"/>
    <w:rsid w:val="007F153B"/>
    <w:rsid w:val="00806F51"/>
    <w:rsid w:val="008550BF"/>
    <w:rsid w:val="00876CB7"/>
    <w:rsid w:val="008901D4"/>
    <w:rsid w:val="008E3740"/>
    <w:rsid w:val="008E3F33"/>
    <w:rsid w:val="009007EF"/>
    <w:rsid w:val="00904EA0"/>
    <w:rsid w:val="009060F8"/>
    <w:rsid w:val="00913AD4"/>
    <w:rsid w:val="00976688"/>
    <w:rsid w:val="009C5826"/>
    <w:rsid w:val="009D1A2B"/>
    <w:rsid w:val="00A55BE0"/>
    <w:rsid w:val="00A60B24"/>
    <w:rsid w:val="00AD57F6"/>
    <w:rsid w:val="00B059BA"/>
    <w:rsid w:val="00B177B7"/>
    <w:rsid w:val="00B972FC"/>
    <w:rsid w:val="00BC0A56"/>
    <w:rsid w:val="00BC5FEA"/>
    <w:rsid w:val="00BD6B8A"/>
    <w:rsid w:val="00C15E1C"/>
    <w:rsid w:val="00C43560"/>
    <w:rsid w:val="00C638F6"/>
    <w:rsid w:val="00D03323"/>
    <w:rsid w:val="00D04AF6"/>
    <w:rsid w:val="00D14187"/>
    <w:rsid w:val="00D30ABD"/>
    <w:rsid w:val="00D55C57"/>
    <w:rsid w:val="00D67B63"/>
    <w:rsid w:val="00D75611"/>
    <w:rsid w:val="00DD26F2"/>
    <w:rsid w:val="00DD2ED6"/>
    <w:rsid w:val="00E4399D"/>
    <w:rsid w:val="00E56DB2"/>
    <w:rsid w:val="00E64275"/>
    <w:rsid w:val="00E91F1B"/>
    <w:rsid w:val="00F20A35"/>
    <w:rsid w:val="00F56D8B"/>
    <w:rsid w:val="00F860F0"/>
    <w:rsid w:val="00F9772F"/>
    <w:rsid w:val="00FF53FB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A9CC4E"/>
  <w15:chartTrackingRefBased/>
  <w15:docId w15:val="{5EDD3525-15BE-4A03-BEF9-125F0D6C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0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0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A0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01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D5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57F6"/>
    <w:pPr>
      <w:suppressAutoHyphens/>
      <w:spacing w:before="200" w:after="100" w:afterAutospacing="1" w:line="240" w:lineRule="auto"/>
      <w:jc w:val="both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57F6"/>
    <w:rPr>
      <w:rFonts w:ascii="Times New Roman" w:hAnsi="Times New Roman"/>
      <w:kern w:val="0"/>
      <w:sz w:val="2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AD57F6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E8F"/>
    <w:pPr>
      <w:suppressAutoHyphens w:val="0"/>
      <w:spacing w:before="0" w:after="160" w:afterAutospacing="0"/>
      <w:jc w:val="left"/>
    </w:pPr>
    <w:rPr>
      <w:rFonts w:asciiTheme="minorHAnsi" w:hAnsiTheme="minorHAns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E8F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55349B"/>
    <w:rPr>
      <w:b/>
      <w:bCs/>
    </w:rPr>
  </w:style>
  <w:style w:type="paragraph" w:styleId="Revision">
    <w:name w:val="Revision"/>
    <w:hidden/>
    <w:uiPriority w:val="99"/>
    <w:semiHidden/>
    <w:rsid w:val="009007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hart" Target="charts/chart4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chart" Target="charts/chart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chart" Target="charts/chart2.xml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image" Target="media/image1.emf"/><Relationship Id="rId9" Type="http://schemas.openxmlformats.org/officeDocument/2006/relationships/image" Target="media/image5.jp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vscht-my.sharepoint.com/personal/oplovat_vscht_cz/Documents/Doktor&#225;t/&#268;l&#225;nek%20BS/k+graf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vscht-my.sharepoint.com/personal/oplovat_vscht_cz/Documents/Doktor&#225;t/&#268;l&#225;nek%20BS/k+graf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https://vscht-my.sharepoint.com/personal/oplovat_vscht_cz/Documents/Doktor&#225;t/&#268;l&#225;nek%20BS/k+grafy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https://vscht-my.sharepoint.com/personal/oplovat_vscht_cz/Documents/Doktor&#225;t/&#268;l&#225;nek%20BS/k+grafy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https://vscht-my.sharepoint.com/personal/oplovat_vscht_cz/Documents/Doktor&#225;t/&#268;l&#225;nek%20BS/k+graf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60892388451443"/>
          <c:y val="9.2592592592592587E-2"/>
          <c:w val="0.47030336832895886"/>
          <c:h val="0.74350320793234181"/>
        </c:manualLayout>
      </c:layout>
      <c:scatterChart>
        <c:scatterStyle val="lineMarker"/>
        <c:varyColors val="0"/>
        <c:ser>
          <c:idx val="0"/>
          <c:order val="0"/>
          <c:tx>
            <c:v>0.1 mmol Pd(OAc)₂ + 0 mmol Xantphos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</a:ln>
              <a:effectLst/>
            </c:spPr>
          </c:marker>
          <c:xVal>
            <c:numRef>
              <c:f>'Množství kat. + ligand'!$K$1:$N$1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'Množství kat. + ligand'!$F$5:$I$5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0FF-4D08-8B85-46B7CF621633}"/>
            </c:ext>
          </c:extLst>
        </c:ser>
        <c:ser>
          <c:idx val="1"/>
          <c:order val="1"/>
          <c:tx>
            <c:v>0 mmol Pd(OAc)₂ +  0.1 mmol Xantphos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C00000"/>
              </a:solidFill>
              <a:ln w="9525">
                <a:solidFill>
                  <a:srgbClr val="C00000"/>
                </a:solidFill>
              </a:ln>
              <a:effectLst/>
            </c:spPr>
          </c:marker>
          <c:dPt>
            <c:idx val="3"/>
            <c:marker>
              <c:symbol val="triangle"/>
              <c:size val="5"/>
              <c:spPr>
                <a:solidFill>
                  <a:srgbClr val="C00000"/>
                </a:solidFill>
                <a:ln w="0">
                  <a:solidFill>
                    <a:srgbClr val="C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A0FF-4D08-8B85-46B7CF621633}"/>
              </c:ext>
            </c:extLst>
          </c:dPt>
          <c:xVal>
            <c:numRef>
              <c:f>'Množství kat. + ligand'!$K$1:$N$1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'Množství kat. + ligand'!$F$6:$I$6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0FF-4D08-8B85-46B7CF621633}"/>
            </c:ext>
          </c:extLst>
        </c:ser>
        <c:ser>
          <c:idx val="2"/>
          <c:order val="2"/>
          <c:tx>
            <c:v>0.1 mmol Pd(OAc)₂ + 0.1 mmol Xantphos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92D050"/>
              </a:solidFill>
              <a:ln w="9525">
                <a:solidFill>
                  <a:srgbClr val="92D050"/>
                </a:solidFill>
              </a:ln>
              <a:effectLst/>
            </c:spPr>
          </c:marker>
          <c:xVal>
            <c:numRef>
              <c:f>'Množství kat. + ligand'!$K$1:$N$1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'Množství kat. + ligand'!$F$4:$I$4</c:f>
              <c:numCache>
                <c:formatCode>General</c:formatCode>
                <c:ptCount val="4"/>
                <c:pt idx="0">
                  <c:v>39.792099999999998</c:v>
                </c:pt>
                <c:pt idx="1">
                  <c:v>52.687100000000001</c:v>
                </c:pt>
                <c:pt idx="2">
                  <c:v>60.947000000000003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A0FF-4D08-8B85-46B7CF621633}"/>
            </c:ext>
          </c:extLst>
        </c:ser>
        <c:ser>
          <c:idx val="3"/>
          <c:order val="3"/>
          <c:tx>
            <c:v>0.2 mmol Pd(OAc)₂ + 0.1 mmol Xantphos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7030A0"/>
              </a:solidFill>
              <a:ln w="9525">
                <a:solidFill>
                  <a:srgbClr val="7030A0"/>
                </a:solidFill>
              </a:ln>
              <a:effectLst/>
            </c:spPr>
          </c:marker>
          <c:xVal>
            <c:numRef>
              <c:f>'Množství kat. + ligand'!$K$1:$N$1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'Množství kat. + ligand'!$F$3:$I$3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A0FF-4D08-8B85-46B7CF621633}"/>
            </c:ext>
          </c:extLst>
        </c:ser>
        <c:ser>
          <c:idx val="4"/>
          <c:order val="4"/>
          <c:tx>
            <c:v>0.1 mmol Pd(OAc)₂ + 0.2 mmol Xantphos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'Množství kat. + ligand'!$K$1:$N$1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'Množství kat. + ligand'!$F$2:$I$2</c:f>
              <c:numCache>
                <c:formatCode>General</c:formatCode>
                <c:ptCount val="4"/>
                <c:pt idx="0">
                  <c:v>2.0063999999999993</c:v>
                </c:pt>
                <c:pt idx="1">
                  <c:v>2.4505999999999943</c:v>
                </c:pt>
                <c:pt idx="2">
                  <c:v>2.2744</c:v>
                </c:pt>
                <c:pt idx="3">
                  <c:v>7.9719000000000051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A0FF-4D08-8B85-46B7CF6216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31835455"/>
        <c:axId val="1831835935"/>
      </c:scatterChart>
      <c:valAx>
        <c:axId val="1831835455"/>
        <c:scaling>
          <c:orientation val="minMax"/>
          <c:max val="24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Time</a:t>
                </a:r>
                <a:r>
                  <a:rPr lang="cs-CZ" baseline="0">
                    <a:solidFill>
                      <a:schemeClr val="tx1"/>
                    </a:solidFill>
                  </a:rPr>
                  <a:t> (h</a:t>
                </a:r>
                <a:r>
                  <a:rPr lang="cs-CZ" baseline="0"/>
                  <a:t>)</a:t>
                </a:r>
                <a:endParaRPr lang="cs-CZ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31835935"/>
        <c:crosses val="autoZero"/>
        <c:crossBetween val="midCat"/>
        <c:majorUnit val="2"/>
      </c:valAx>
      <c:valAx>
        <c:axId val="1831835935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Conversion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31835455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DMF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</a:ln>
              <a:effectLst/>
            </c:spPr>
          </c:marker>
          <c:xVal>
            <c:numRef>
              <c:f>rozpouštědlo!$K$1:$N$1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rozpouštědlo!$F$2:$I$2</c:f>
              <c:numCache>
                <c:formatCode>General</c:formatCode>
                <c:ptCount val="4"/>
                <c:pt idx="0">
                  <c:v>82.122199999999992</c:v>
                </c:pt>
                <c:pt idx="1">
                  <c:v>82.122199999999992</c:v>
                </c:pt>
                <c:pt idx="2">
                  <c:v>94.960499999999996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06A-4317-BD7A-05E07639168D}"/>
            </c:ext>
          </c:extLst>
        </c:ser>
        <c:ser>
          <c:idx val="1"/>
          <c:order val="1"/>
          <c:tx>
            <c:v>MeOH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C00000"/>
              </a:solidFill>
              <a:ln w="9525">
                <a:solidFill>
                  <a:srgbClr val="C00000"/>
                </a:solidFill>
              </a:ln>
              <a:effectLst/>
            </c:spPr>
          </c:marker>
          <c:xVal>
            <c:numRef>
              <c:f>rozpouštědlo!$K$1:$N$1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rozpouštědlo!$F$3:$I$3</c:f>
              <c:numCache>
                <c:formatCode>General</c:formatCode>
                <c:ptCount val="4"/>
                <c:pt idx="0">
                  <c:v>53.142899999999997</c:v>
                </c:pt>
                <c:pt idx="1">
                  <c:v>74.441400000000002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06A-4317-BD7A-05E07639168D}"/>
            </c:ext>
          </c:extLst>
        </c:ser>
        <c:ser>
          <c:idx val="2"/>
          <c:order val="2"/>
          <c:tx>
            <c:v>iPrOH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92D050"/>
              </a:solidFill>
              <a:ln w="9525">
                <a:solidFill>
                  <a:srgbClr val="92D050"/>
                </a:solidFill>
              </a:ln>
              <a:effectLst/>
            </c:spPr>
          </c:marker>
          <c:xVal>
            <c:numRef>
              <c:f>rozpouštědlo!$K$1:$N$1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rozpouštědlo!$F$4:$I$4</c:f>
              <c:numCache>
                <c:formatCode>General</c:formatCode>
                <c:ptCount val="4"/>
                <c:pt idx="0">
                  <c:v>33.820499999999996</c:v>
                </c:pt>
                <c:pt idx="1">
                  <c:v>58.323799999999999</c:v>
                </c:pt>
                <c:pt idx="2">
                  <c:v>85.533699999999996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06A-4317-BD7A-05E07639168D}"/>
            </c:ext>
          </c:extLst>
        </c:ser>
        <c:ser>
          <c:idx val="3"/>
          <c:order val="3"/>
          <c:tx>
            <c:v>THF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7030A0"/>
              </a:solidFill>
              <a:ln w="9525">
                <a:solidFill>
                  <a:srgbClr val="7030A0"/>
                </a:solidFill>
              </a:ln>
              <a:effectLst/>
            </c:spPr>
          </c:marker>
          <c:xVal>
            <c:numRef>
              <c:f>rozpouštědlo!$K$1:$N$1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rozpouštědlo!$F$5:$I$5</c:f>
              <c:numCache>
                <c:formatCode>General</c:formatCode>
                <c:ptCount val="4"/>
                <c:pt idx="0">
                  <c:v>39.792099999999998</c:v>
                </c:pt>
                <c:pt idx="1">
                  <c:v>52.687100000000001</c:v>
                </c:pt>
                <c:pt idx="2">
                  <c:v>60.947000000000003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06A-4317-BD7A-05E07639168D}"/>
            </c:ext>
          </c:extLst>
        </c:ser>
        <c:ser>
          <c:idx val="4"/>
          <c:order val="4"/>
          <c:tx>
            <c:v>Toluen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rozpouštědlo!$K$1:$N$1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rozpouštědlo!$F$6:$I$6</c:f>
              <c:numCache>
                <c:formatCode>General</c:formatCode>
                <c:ptCount val="4"/>
                <c:pt idx="0">
                  <c:v>52.502400000000002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706A-4317-BD7A-05E0763916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5254991"/>
        <c:axId val="215251631"/>
      </c:scatterChart>
      <c:valAx>
        <c:axId val="215254991"/>
        <c:scaling>
          <c:orientation val="minMax"/>
          <c:max val="24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Time (h)</a:t>
                </a:r>
              </a:p>
            </c:rich>
          </c:tx>
          <c:layout>
            <c:manualLayout>
              <c:xMode val="edge"/>
              <c:yMode val="edge"/>
              <c:x val="0.41180205599300085"/>
              <c:y val="0.87868037328667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1631"/>
        <c:crosses val="autoZero"/>
        <c:crossBetween val="midCat"/>
        <c:majorUnit val="2"/>
      </c:valAx>
      <c:valAx>
        <c:axId val="215251631"/>
        <c:scaling>
          <c:orientation val="minMax"/>
          <c:max val="100"/>
          <c:min val="3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Conversion (%)</a:t>
                </a:r>
              </a:p>
            </c:rich>
          </c:tx>
          <c:overlay val="0"/>
          <c:spPr>
            <a:noFill/>
            <a:ln>
              <a:solidFill>
                <a:schemeClr val="bg1"/>
              </a:solidFill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499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RT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</a:ln>
              <a:effectLst/>
            </c:spPr>
          </c:marker>
          <c:xVal>
            <c:numRef>
              <c:f>teplota!$K$1:$N$1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teplota!$F$2:$I$2</c:f>
              <c:numCache>
                <c:formatCode>General</c:formatCode>
                <c:ptCount val="4"/>
                <c:pt idx="0">
                  <c:v>23.2333</c:v>
                </c:pt>
                <c:pt idx="1">
                  <c:v>26.852699999999999</c:v>
                </c:pt>
                <c:pt idx="3">
                  <c:v>54.819899999999997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512-4D56-A235-FC447238CF97}"/>
            </c:ext>
          </c:extLst>
        </c:ser>
        <c:ser>
          <c:idx val="1"/>
          <c:order val="1"/>
          <c:tx>
            <c:v>60 °C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C00000"/>
              </a:solidFill>
              <a:ln w="9525">
                <a:solidFill>
                  <a:srgbClr val="C00000"/>
                </a:solidFill>
              </a:ln>
              <a:effectLst/>
            </c:spPr>
          </c:marker>
          <c:xVal>
            <c:numRef>
              <c:f>teplota!$K$1:$N$1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teplota!$F$3:$I$3</c:f>
              <c:numCache>
                <c:formatCode>General</c:formatCode>
                <c:ptCount val="4"/>
                <c:pt idx="0">
                  <c:v>21.726900000000001</c:v>
                </c:pt>
                <c:pt idx="1">
                  <c:v>21.726900000000001</c:v>
                </c:pt>
                <c:pt idx="2">
                  <c:v>21.726900000000001</c:v>
                </c:pt>
                <c:pt idx="3">
                  <c:v>63.055199999999999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512-4D56-A235-FC447238CF97}"/>
            </c:ext>
          </c:extLst>
        </c:ser>
        <c:ser>
          <c:idx val="2"/>
          <c:order val="2"/>
          <c:tx>
            <c:v>90 °C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92D050"/>
              </a:solidFill>
              <a:ln w="9525">
                <a:solidFill>
                  <a:srgbClr val="92D050"/>
                </a:solidFill>
              </a:ln>
              <a:effectLst/>
            </c:spPr>
          </c:marker>
          <c:xVal>
            <c:numRef>
              <c:f>teplota!$L$1:$N$1</c:f>
              <c:numCache>
                <c:formatCode>General</c:formatCode>
                <c:ptCount val="3"/>
                <c:pt idx="0">
                  <c:v>2</c:v>
                </c:pt>
                <c:pt idx="1">
                  <c:v>3</c:v>
                </c:pt>
                <c:pt idx="2">
                  <c:v>24</c:v>
                </c:pt>
              </c:numCache>
            </c:numRef>
          </c:xVal>
          <c:yVal>
            <c:numRef>
              <c:f>teplota!$F$4:$I$4</c:f>
              <c:numCache>
                <c:formatCode>General</c:formatCode>
                <c:ptCount val="4"/>
                <c:pt idx="0">
                  <c:v>39.792099999999998</c:v>
                </c:pt>
                <c:pt idx="1">
                  <c:v>52.687100000000001</c:v>
                </c:pt>
                <c:pt idx="2">
                  <c:v>60.947000000000003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512-4D56-A235-FC447238CF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5254991"/>
        <c:axId val="215251631"/>
      </c:scatterChart>
      <c:valAx>
        <c:axId val="215254991"/>
        <c:scaling>
          <c:orientation val="minMax"/>
          <c:max val="24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Time (h)</a:t>
                </a:r>
              </a:p>
            </c:rich>
          </c:tx>
          <c:layout>
            <c:manualLayout>
              <c:xMode val="edge"/>
              <c:yMode val="edge"/>
              <c:x val="0.41180205599300085"/>
              <c:y val="0.87868037328667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1631"/>
        <c:crosses val="autoZero"/>
        <c:crossBetween val="midCat"/>
        <c:majorUnit val="2"/>
      </c:valAx>
      <c:valAx>
        <c:axId val="215251631"/>
        <c:scaling>
          <c:orientation val="minMax"/>
          <c:max val="1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/>
                  <a:t>Conversion (%)</a:t>
                </a:r>
              </a:p>
            </c:rich>
          </c:tx>
          <c:overlay val="0"/>
          <c:spPr>
            <a:noFill/>
            <a:ln>
              <a:solidFill>
                <a:schemeClr val="bg1"/>
              </a:solidFill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499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HCOOH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</a:ln>
              <a:effectLst/>
            </c:spPr>
          </c:marker>
          <c:xVal>
            <c:numRef>
              <c:f>'donor vodíku'!$K$1:$N$1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'donor vodíku'!$F$2:$I$2</c:f>
              <c:numCache>
                <c:formatCode>General</c:formatCode>
                <c:ptCount val="4"/>
                <c:pt idx="0">
                  <c:v>39.792099999999998</c:v>
                </c:pt>
                <c:pt idx="1">
                  <c:v>52.687100000000001</c:v>
                </c:pt>
                <c:pt idx="2">
                  <c:v>60.947000000000003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916-40B2-9E8C-707568E935F6}"/>
            </c:ext>
          </c:extLst>
        </c:ser>
        <c:ser>
          <c:idx val="1"/>
          <c:order val="1"/>
          <c:tx>
            <c:v>NH₄HCOO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C00000"/>
              </a:solidFill>
              <a:ln w="9525">
                <a:solidFill>
                  <a:srgbClr val="C00000"/>
                </a:solidFill>
              </a:ln>
              <a:effectLst/>
            </c:spPr>
          </c:marker>
          <c:xVal>
            <c:numRef>
              <c:f>'donor vodíku'!$K$1:$N$1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'donor vodíku'!$F$3:$I$3</c:f>
              <c:numCache>
                <c:formatCode>General</c:formatCode>
                <c:ptCount val="4"/>
                <c:pt idx="0">
                  <c:v>42.447000000000003</c:v>
                </c:pt>
                <c:pt idx="1">
                  <c:v>79.926999999999992</c:v>
                </c:pt>
                <c:pt idx="2">
                  <c:v>86.874099999999999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916-40B2-9E8C-707568E935F6}"/>
            </c:ext>
          </c:extLst>
        </c:ser>
        <c:ser>
          <c:idx val="2"/>
          <c:order val="2"/>
          <c:tx>
            <c:v>FA/TEA (5:2)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92D050"/>
              </a:solidFill>
              <a:ln w="9525">
                <a:solidFill>
                  <a:srgbClr val="92D050"/>
                </a:solidFill>
              </a:ln>
              <a:effectLst/>
            </c:spPr>
          </c:marker>
          <c:xVal>
            <c:numRef>
              <c:f>'donor vodíku'!$K$1:$N$1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'donor vodíku'!$F$4:$I$4</c:f>
              <c:numCache>
                <c:formatCode>General</c:formatCode>
                <c:ptCount val="4"/>
                <c:pt idx="0">
                  <c:v>94.096000000000004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916-40B2-9E8C-707568E935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5254991"/>
        <c:axId val="215251631"/>
      </c:scatterChart>
      <c:valAx>
        <c:axId val="215254991"/>
        <c:scaling>
          <c:orientation val="minMax"/>
          <c:max val="24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Time (h)</a:t>
                </a:r>
              </a:p>
            </c:rich>
          </c:tx>
          <c:layout>
            <c:manualLayout>
              <c:xMode val="edge"/>
              <c:yMode val="edge"/>
              <c:x val="0.41180205599300085"/>
              <c:y val="0.87868037328667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1631"/>
        <c:crosses val="autoZero"/>
        <c:crossBetween val="midCat"/>
        <c:majorUnit val="2"/>
      </c:valAx>
      <c:valAx>
        <c:axId val="215251631"/>
        <c:scaling>
          <c:orientation val="minMax"/>
          <c:max val="100"/>
          <c:min val="3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/>
                  <a:t>Conversion (%)</a:t>
                </a:r>
              </a:p>
            </c:rich>
          </c:tx>
          <c:overlay val="0"/>
          <c:spPr>
            <a:noFill/>
            <a:ln>
              <a:solidFill>
                <a:schemeClr val="bg1"/>
              </a:solidFill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499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5:1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</a:ln>
              <a:effectLst/>
            </c:spPr>
          </c:marker>
          <c:xVal>
            <c:numRef>
              <c:f>'poměr FA-TEA'!$K$1:$N$1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'poměr FA-TEA'!$F$2:$I$2</c:f>
              <c:numCache>
                <c:formatCode>General</c:formatCode>
                <c:ptCount val="4"/>
                <c:pt idx="0">
                  <c:v>51.539000000000001</c:v>
                </c:pt>
                <c:pt idx="1">
                  <c:v>70.079000000000008</c:v>
                </c:pt>
                <c:pt idx="2">
                  <c:v>93.310900000000004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415-4E81-B8CD-6DC8C454D677}"/>
            </c:ext>
          </c:extLst>
        </c:ser>
        <c:ser>
          <c:idx val="1"/>
          <c:order val="1"/>
          <c:tx>
            <c:v>4:1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C00000"/>
              </a:solidFill>
              <a:ln w="9525">
                <a:solidFill>
                  <a:srgbClr val="C00000"/>
                </a:solidFill>
              </a:ln>
              <a:effectLst/>
            </c:spPr>
          </c:marker>
          <c:xVal>
            <c:numRef>
              <c:f>'poměr FA-TEA'!$K$1:$N$1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'poměr FA-TEA'!$F$3:$I$3</c:f>
              <c:numCache>
                <c:formatCode>General</c:formatCode>
                <c:ptCount val="4"/>
                <c:pt idx="0">
                  <c:v>72.024900000000002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415-4E81-B8CD-6DC8C454D677}"/>
            </c:ext>
          </c:extLst>
        </c:ser>
        <c:ser>
          <c:idx val="2"/>
          <c:order val="2"/>
          <c:tx>
            <c:v>5:2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92D050"/>
              </a:solidFill>
              <a:ln w="9525">
                <a:solidFill>
                  <a:srgbClr val="92D050"/>
                </a:solidFill>
              </a:ln>
              <a:effectLst/>
            </c:spPr>
          </c:marker>
          <c:xVal>
            <c:numRef>
              <c:f>'poměr FA-TEA'!$K$1:$N$1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'poměr FA-TEA'!$F$4:$I$4</c:f>
              <c:numCache>
                <c:formatCode>General</c:formatCode>
                <c:ptCount val="4"/>
                <c:pt idx="0">
                  <c:v>94.096000000000004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415-4E81-B8CD-6DC8C454D677}"/>
            </c:ext>
          </c:extLst>
        </c:ser>
        <c:ser>
          <c:idx val="3"/>
          <c:order val="3"/>
          <c:tx>
            <c:v>5:3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rgbClr val="7030A0"/>
              </a:solidFill>
              <a:ln w="9525">
                <a:solidFill>
                  <a:srgbClr val="7030A0"/>
                </a:solidFill>
              </a:ln>
              <a:effectLst/>
            </c:spPr>
          </c:marker>
          <c:xVal>
            <c:numRef>
              <c:f>'poměr FA-TEA'!$K$1:$N$1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24</c:v>
                </c:pt>
              </c:numCache>
            </c:numRef>
          </c:xVal>
          <c:yVal>
            <c:numRef>
              <c:f>'poměr FA-TEA'!$F$5:$I$5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D415-4E81-B8CD-6DC8C454D6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5254991"/>
        <c:axId val="215251631"/>
      </c:scatterChart>
      <c:valAx>
        <c:axId val="215254991"/>
        <c:scaling>
          <c:orientation val="minMax"/>
          <c:max val="24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Time (h)</a:t>
                </a:r>
              </a:p>
            </c:rich>
          </c:tx>
          <c:layout>
            <c:manualLayout>
              <c:xMode val="edge"/>
              <c:yMode val="edge"/>
              <c:x val="0.41180205599300085"/>
              <c:y val="0.87868037328667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1631"/>
        <c:crosses val="autoZero"/>
        <c:crossBetween val="midCat"/>
        <c:majorUnit val="2"/>
      </c:valAx>
      <c:valAx>
        <c:axId val="215251631"/>
        <c:scaling>
          <c:orientation val="minMax"/>
          <c:max val="100"/>
          <c:min val="5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/>
                  <a:t>Conversion (%)</a:t>
                </a:r>
              </a:p>
            </c:rich>
          </c:tx>
          <c:overlay val="0"/>
          <c:spPr>
            <a:noFill/>
            <a:ln>
              <a:solidFill>
                <a:schemeClr val="bg1"/>
              </a:solidFill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1525499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462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Oplova Katerina</dc:creator>
  <cp:keywords/>
  <dc:description/>
  <cp:lastModifiedBy>Dr. Lente Gábor</cp:lastModifiedBy>
  <cp:revision>63</cp:revision>
  <dcterms:created xsi:type="dcterms:W3CDTF">2025-10-07T09:20:00Z</dcterms:created>
  <dcterms:modified xsi:type="dcterms:W3CDTF">2025-12-13T06:32:00Z</dcterms:modified>
</cp:coreProperties>
</file>