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B78" w:rsidRDefault="001A4B78" w:rsidP="001A4B78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BRIDGING THE GAP: RECOMMENDATIONS TO ACCOMPLISH TRANSITION FROM PEDIATRIC TO ADULT CARE IN ADOLESCENTS LIVING WITH OBESITY</w:t>
      </w:r>
    </w:p>
    <w:p w:rsidR="00A34FA2" w:rsidRPr="00FD1EC7" w:rsidRDefault="00A34FA2" w:rsidP="00A34FA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41D4D">
        <w:rPr>
          <w:rFonts w:ascii="Times New Roman" w:hAnsi="Times New Roman" w:cs="Times New Roman"/>
          <w:sz w:val="24"/>
          <w:szCs w:val="24"/>
          <w:lang w:val="en-US"/>
        </w:rPr>
        <w:t>Albert Goday,</w:t>
      </w:r>
      <w:r w:rsidRPr="00441D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1,2,3,4</w:t>
      </w:r>
      <w:r w:rsidRPr="00441D4D">
        <w:rPr>
          <w:rFonts w:ascii="Times New Roman" w:hAnsi="Times New Roman" w:cs="Times New Roman"/>
          <w:sz w:val="24"/>
          <w:szCs w:val="24"/>
          <w:lang w:val="en-US"/>
        </w:rPr>
        <w:t xml:space="preserve"> Gilberto Pérez,</w:t>
      </w:r>
      <w:r w:rsidRPr="00441D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441D4D">
        <w:rPr>
          <w:rFonts w:ascii="Times New Roman" w:hAnsi="Times New Roman" w:cs="Times New Roman"/>
          <w:sz w:val="24"/>
          <w:szCs w:val="24"/>
          <w:lang w:val="en-US"/>
        </w:rPr>
        <w:t xml:space="preserve"> Amanda Fernández,</w:t>
      </w:r>
      <w:r w:rsidRPr="00441D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6,7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,8</w:t>
      </w:r>
      <w:r w:rsidRPr="00441D4D">
        <w:rPr>
          <w:rFonts w:ascii="Times New Roman" w:hAnsi="Times New Roman" w:cs="Times New Roman"/>
          <w:sz w:val="24"/>
          <w:szCs w:val="24"/>
          <w:lang w:val="en-US"/>
        </w:rPr>
        <w:t xml:space="preserve"> Xavier Díaz</w:t>
      </w:r>
      <w:r>
        <w:rPr>
          <w:rFonts w:ascii="Times New Roman" w:hAnsi="Times New Roman" w:cs="Times New Roman"/>
          <w:sz w:val="24"/>
          <w:szCs w:val="24"/>
          <w:lang w:val="en-US"/>
        </w:rPr>
        <w:t>-Carrasco</w:t>
      </w:r>
      <w:r w:rsidRPr="00441D4D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  <w:r w:rsidRPr="00441D4D">
        <w:rPr>
          <w:rFonts w:ascii="Times New Roman" w:hAnsi="Times New Roman" w:cs="Times New Roman"/>
          <w:sz w:val="24"/>
          <w:szCs w:val="24"/>
          <w:lang w:val="en-US"/>
        </w:rPr>
        <w:t xml:space="preserve"> Rosaura 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>Leis,</w:t>
      </w: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3,10,11,12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 xml:space="preserve"> Ana de Hollanda,</w:t>
      </w: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3,13,14 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>Marta Ramon-Krauel</w:t>
      </w: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15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34FA2" w:rsidRPr="00FD1EC7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>Endocrinology and Diabetes Unit. Hospital del Mar, Barcelona, Spain</w:t>
      </w:r>
    </w:p>
    <w:p w:rsidR="00A34FA2" w:rsidRPr="00FD1EC7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>Unit of Cardiovascular Risk and Nutrition, Institut Hospital del Mar de Investigaciones Médicas Municipal d’Investigació Médica (IMIM), Barcelona, Spain</w:t>
      </w:r>
    </w:p>
    <w:p w:rsidR="00A34FA2" w:rsidRPr="00FD1EC7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>CIBER Physiopathology of Obesity and Nutrition (CIBEROBN), Carlos III Health Institute (ISCIII), Madrid, Spain</w:t>
      </w:r>
    </w:p>
    <w:p w:rsidR="00A34FA2" w:rsidRPr="00441D4D" w:rsidRDefault="00A34FA2" w:rsidP="00A34FA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 xml:space="preserve">Department of Medicine and Life Sciences (MELIS), Universitat Pompeu Fabra, </w:t>
      </w:r>
      <w:r w:rsidRPr="00441D4D">
        <w:rPr>
          <w:rFonts w:ascii="Times New Roman" w:hAnsi="Times New Roman" w:cs="Times New Roman"/>
          <w:sz w:val="24"/>
          <w:szCs w:val="24"/>
          <w:lang w:val="en-US"/>
        </w:rPr>
        <w:t>Barcelona, Spain</w:t>
      </w:r>
    </w:p>
    <w:p w:rsidR="00A34FA2" w:rsidRPr="00441D4D" w:rsidRDefault="00842F14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="00A34FA2" w:rsidRPr="00441D4D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agoday@psmar.cat</w:t>
        </w:r>
      </w:hyperlink>
      <w:r w:rsidR="00A34FA2" w:rsidRPr="00441D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34FA2" w:rsidRDefault="00A34FA2" w:rsidP="00A34FA2">
      <w:pPr>
        <w:spacing w:before="240" w:line="480" w:lineRule="auto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  <w:r w:rsidRPr="0003608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036085">
        <w:rPr>
          <w:rFonts w:ascii="Times New Roman" w:hAnsi="Times New Roman" w:cs="Times New Roman"/>
          <w:sz w:val="24"/>
          <w:szCs w:val="24"/>
          <w:lang w:val="en-US"/>
        </w:rPr>
        <w:t>EndoPedia Clinic, Madrid, Spain</w:t>
      </w:r>
    </w:p>
    <w:p w:rsidR="00A34FA2" w:rsidRPr="0005754C" w:rsidRDefault="00842F14" w:rsidP="00A34FA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A34FA2" w:rsidRPr="0005754C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gperezlopez80@gmail.com</w:t>
        </w:r>
      </w:hyperlink>
      <w:r w:rsidR="00A34FA2" w:rsidRPr="000575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34FA2" w:rsidRPr="0005754C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28201C">
        <w:rPr>
          <w:rFonts w:ascii="Times New Roman" w:hAnsi="Times New Roman" w:cs="Times New Roman"/>
          <w:sz w:val="24"/>
          <w:szCs w:val="24"/>
          <w:lang w:val="en-US"/>
        </w:rPr>
        <w:t>Overweight and Obesity Institute, Fundación Jim</w:t>
      </w:r>
      <w:r>
        <w:rPr>
          <w:rFonts w:ascii="Times New Roman" w:hAnsi="Times New Roman" w:cs="Times New Roman"/>
          <w:sz w:val="24"/>
          <w:szCs w:val="24"/>
          <w:lang w:val="en-US"/>
        </w:rPr>
        <w:t>é</w:t>
      </w:r>
      <w:r w:rsidRPr="0028201C">
        <w:rPr>
          <w:rFonts w:ascii="Times New Roman" w:hAnsi="Times New Roman" w:cs="Times New Roman"/>
          <w:sz w:val="24"/>
          <w:szCs w:val="24"/>
          <w:lang w:val="en-US"/>
        </w:rPr>
        <w:t>nez Díaz, Madrid, Spain</w:t>
      </w:r>
    </w:p>
    <w:p w:rsidR="00A34FA2" w:rsidRPr="0028201C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28201C">
        <w:rPr>
          <w:rFonts w:ascii="Times New Roman" w:hAnsi="Times New Roman" w:cs="Times New Roman"/>
          <w:sz w:val="24"/>
          <w:szCs w:val="24"/>
          <w:lang w:val="en-US"/>
        </w:rPr>
        <w:t>Grupo de Trabajo Obesidad Infantil y en la Adolescencia, Sociedad Española para el Estudio de la Obesidad (SEEDO)</w:t>
      </w:r>
      <w:r>
        <w:rPr>
          <w:rFonts w:ascii="Times New Roman" w:hAnsi="Times New Roman" w:cs="Times New Roman"/>
          <w:sz w:val="24"/>
          <w:szCs w:val="24"/>
          <w:lang w:val="en-US"/>
        </w:rPr>
        <w:t>, Madrid, Spain</w:t>
      </w:r>
    </w:p>
    <w:p w:rsidR="00A34FA2" w:rsidRPr="0028201C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28201C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28201C">
        <w:rPr>
          <w:rFonts w:ascii="Times New Roman" w:hAnsi="Times New Roman" w:cs="Times New Roman"/>
          <w:sz w:val="24"/>
          <w:szCs w:val="24"/>
        </w:rPr>
        <w:t>Servicio Madrileño de Salud (SERMAS)</w:t>
      </w:r>
      <w:r>
        <w:rPr>
          <w:rFonts w:ascii="Times New Roman" w:hAnsi="Times New Roman" w:cs="Times New Roman"/>
          <w:sz w:val="24"/>
          <w:szCs w:val="24"/>
        </w:rPr>
        <w:t>, Madrid, Spain</w:t>
      </w:r>
    </w:p>
    <w:p w:rsidR="00A34FA2" w:rsidRPr="0028201C" w:rsidRDefault="00842F14" w:rsidP="00A34FA2">
      <w:pPr>
        <w:spacing w:before="240"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hyperlink r:id="rId6" w:history="1">
        <w:r w:rsidR="00A34FA2" w:rsidRPr="0028201C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amanda.fernandezylena@gmail.com</w:t>
        </w:r>
      </w:hyperlink>
      <w:r w:rsidR="00A34FA2" w:rsidRPr="002820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34FA2" w:rsidRPr="0005754C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>9</w:t>
      </w:r>
      <w:r w:rsidRPr="00B12344">
        <w:rPr>
          <w:rFonts w:ascii="Times New Roman" w:hAnsi="Times New Roman" w:cs="Times New Roman"/>
          <w:sz w:val="24"/>
          <w:szCs w:val="24"/>
          <w:lang w:val="en-US"/>
        </w:rPr>
        <w:t>Consultori local Collbató-El Bruc, EAP Esparreguera. Institut Català de la Salut. Barcelona, Spain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34FA2" w:rsidRDefault="00842F14" w:rsidP="00A34FA2">
      <w:pPr>
        <w:spacing w:before="240"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hyperlink r:id="rId7" w:history="1">
        <w:r w:rsidR="00A34FA2" w:rsidRPr="0005754C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dr.x.diaz@gmail.com</w:t>
        </w:r>
      </w:hyperlink>
      <w:r w:rsidR="00A34FA2" w:rsidRPr="0005754C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A34FA2" w:rsidRPr="00FD1EC7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10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>Research Group of Pediatric Nutrition. Health Research Institute of Santiago (IDIS).-ISCIII.Santiago de Compostela. Spain</w:t>
      </w:r>
    </w:p>
    <w:p w:rsidR="00A34FA2" w:rsidRPr="00FD1EC7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11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>Unit of Investigation in Nutrition, Growth and Human Development of Galicia. University of Santiago de Compostela. Santiago de Compostela. Spain</w:t>
      </w:r>
    </w:p>
    <w:p w:rsidR="00A34FA2" w:rsidRPr="00FD1EC7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12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>Pediatric Gastroenterology, Hepatology and Nutrition Unit. University Clinical Hospital of Santiago. Santiago de Compostela. Spain</w:t>
      </w:r>
    </w:p>
    <w:p w:rsidR="00A34FA2" w:rsidRPr="00FD1EC7" w:rsidRDefault="00A34FA2" w:rsidP="00A34FA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lang w:val="en-US"/>
        </w:rPr>
        <w:t>mariarosaura.leis@usc.es</w:t>
      </w:r>
    </w:p>
    <w:p w:rsidR="00A34FA2" w:rsidRPr="00FD1EC7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>Department of Endocrinology and Nutrition, Hospital Clínic Barcelona, Barcelona, Spain</w:t>
      </w:r>
    </w:p>
    <w:p w:rsidR="00A34FA2" w:rsidRPr="00FD1EC7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14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>Fundació Clínic per la Recerca Biomèdica (FCRB)-Institut d’Investigacions Biomèdiques August Pi Sunyer (IDIBAPS), Barcelona, Spain</w:t>
      </w:r>
    </w:p>
    <w:p w:rsidR="00A34FA2" w:rsidRPr="00FD1EC7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lang w:val="en-US"/>
        </w:rPr>
        <w:t xml:space="preserve">amdehol@clinic.cat </w:t>
      </w:r>
    </w:p>
    <w:p w:rsidR="00A34FA2" w:rsidRPr="00441D4D" w:rsidRDefault="00A34FA2" w:rsidP="00A34FA2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1E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15</w:t>
      </w:r>
      <w:r w:rsidRPr="00FD1EC7">
        <w:rPr>
          <w:rFonts w:ascii="Times New Roman" w:hAnsi="Times New Roman" w:cs="Times New Roman"/>
          <w:sz w:val="24"/>
          <w:szCs w:val="24"/>
          <w:lang w:val="en-US"/>
        </w:rPr>
        <w:t>Pediatric Endocrinology Department, Hospital Sant Joan de Déu of Barcelona, Spain; Institut de Recerca San</w:t>
      </w:r>
      <w:r w:rsidRPr="00441D4D">
        <w:rPr>
          <w:rFonts w:ascii="Times New Roman" w:hAnsi="Times New Roman" w:cs="Times New Roman"/>
          <w:sz w:val="24"/>
          <w:szCs w:val="24"/>
          <w:lang w:val="en-US"/>
        </w:rPr>
        <w:t>t Joan de Déu, Barcelona, Spain</w:t>
      </w:r>
    </w:p>
    <w:p w:rsidR="001A4B78" w:rsidRPr="00441D4D" w:rsidRDefault="00842F14" w:rsidP="00A34FA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A34FA2" w:rsidRPr="00441D4D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marta.ramon@sjd.es</w:t>
        </w:r>
      </w:hyperlink>
      <w:r w:rsidR="00A34FA2" w:rsidRPr="00441D4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1A4B78" w:rsidRPr="00441D4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B77C40" w:rsidRDefault="00B77C40">
      <w:pPr>
        <w:rPr>
          <w:rFonts w:ascii="Times New Roman" w:hAnsi="Times New Roman" w:cs="Times New Roman"/>
          <w:b/>
          <w:sz w:val="20"/>
          <w:szCs w:val="20"/>
        </w:rPr>
      </w:pPr>
    </w:p>
    <w:p w:rsidR="009A7ECF" w:rsidRDefault="009A7ECF" w:rsidP="007D24F6">
      <w:pPr>
        <w:spacing w:before="240"/>
        <w:rPr>
          <w:rFonts w:ascii="Times New Roman" w:hAnsi="Times New Roman" w:cs="Times New Roman"/>
          <w:b/>
          <w:sz w:val="20"/>
          <w:szCs w:val="20"/>
          <w:lang w:val="en-US"/>
        </w:rPr>
        <w:sectPr w:rsidR="009A7ECF" w:rsidSect="009A7ECF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:rsidR="007D24F6" w:rsidRDefault="00DD15C2" w:rsidP="007D24F6">
      <w:pPr>
        <w:spacing w:before="24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7699E">
        <w:rPr>
          <w:rFonts w:ascii="Times New Roman" w:hAnsi="Times New Roman" w:cs="Times New Roman"/>
          <w:b/>
          <w:noProof/>
          <w:sz w:val="20"/>
          <w:szCs w:val="20"/>
          <w:lang w:eastAsia="es-ES"/>
        </w:rPr>
        <w:lastRenderedPageBreak/>
        <w:drawing>
          <wp:anchor distT="0" distB="0" distL="114300" distR="114300" simplePos="0" relativeHeight="251658240" behindDoc="1" locked="0" layoutInCell="1" allowOverlap="1" wp14:anchorId="577970A8" wp14:editId="68E3D451">
            <wp:simplePos x="0" y="0"/>
            <wp:positionH relativeFrom="column">
              <wp:posOffset>146050</wp:posOffset>
            </wp:positionH>
            <wp:positionV relativeFrom="paragraph">
              <wp:posOffset>316865</wp:posOffset>
            </wp:positionV>
            <wp:extent cx="7012800" cy="10184400"/>
            <wp:effectExtent l="0" t="0" r="0" b="7620"/>
            <wp:wrapTight wrapText="bothSides">
              <wp:wrapPolygon edited="0">
                <wp:start x="0" y="0"/>
                <wp:lineTo x="0" y="21576"/>
                <wp:lineTo x="21535" y="21576"/>
                <wp:lineTo x="21535" y="0"/>
                <wp:lineTo x="0" y="0"/>
              </wp:wrapPolygon>
            </wp:wrapTight>
            <wp:docPr id="5" name="Imagen 5" descr="C:\Users\ramon\Dropbox\Asesoría de escritura científica\AAA-Trabajos\Abiertos o en perspectiva\Artículo ruta adolescente con obesidad, nov 23\Manuscrito\Material post Ruth, 4 feb 25\Supplementary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mon\Dropbox\Asesoría de escritura científica\AAA-Trabajos\Abiertos o en perspectiva\Artículo ruta adolescente con obesidad, nov 23\Manuscrito\Material post Ruth, 4 feb 25\Supplementary Fig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9" t="4436" r="5869" b="4725"/>
                    <a:stretch/>
                  </pic:blipFill>
                  <pic:spPr bwMode="auto">
                    <a:xfrm>
                      <a:off x="0" y="0"/>
                      <a:ext cx="7012800" cy="10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4F6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7D24F6" w:rsidRPr="005D5001">
        <w:rPr>
          <w:rFonts w:ascii="Times New Roman" w:hAnsi="Times New Roman" w:cs="Times New Roman"/>
          <w:b/>
          <w:sz w:val="20"/>
          <w:szCs w:val="20"/>
          <w:lang w:val="en-US"/>
        </w:rPr>
        <w:t>Fig. 1 Planning transfer</w:t>
      </w:r>
    </w:p>
    <w:p w:rsidR="007D24F6" w:rsidRPr="005D5001" w:rsidRDefault="00DD15C2" w:rsidP="007D24F6">
      <w:pPr>
        <w:spacing w:before="24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7699E">
        <w:rPr>
          <w:rFonts w:ascii="Times New Roman" w:hAnsi="Times New Roman" w:cs="Times New Roman"/>
          <w:b/>
          <w:noProof/>
          <w:sz w:val="20"/>
          <w:szCs w:val="20"/>
          <w:lang w:eastAsia="es-ES"/>
        </w:rPr>
        <w:lastRenderedPageBreak/>
        <w:drawing>
          <wp:anchor distT="0" distB="0" distL="114300" distR="114300" simplePos="0" relativeHeight="251659264" behindDoc="1" locked="0" layoutInCell="1" allowOverlap="1" wp14:anchorId="51F4FDB1" wp14:editId="3EB56071">
            <wp:simplePos x="0" y="0"/>
            <wp:positionH relativeFrom="column">
              <wp:posOffset>192405</wp:posOffset>
            </wp:positionH>
            <wp:positionV relativeFrom="paragraph">
              <wp:posOffset>297815</wp:posOffset>
            </wp:positionV>
            <wp:extent cx="6973200" cy="10206000"/>
            <wp:effectExtent l="0" t="0" r="0" b="5080"/>
            <wp:wrapTight wrapText="bothSides">
              <wp:wrapPolygon edited="0">
                <wp:start x="0" y="0"/>
                <wp:lineTo x="0" y="21570"/>
                <wp:lineTo x="21539" y="21570"/>
                <wp:lineTo x="21539" y="0"/>
                <wp:lineTo x="0" y="0"/>
              </wp:wrapPolygon>
            </wp:wrapTight>
            <wp:docPr id="6" name="Imagen 6" descr="C:\Users\ramon\Dropbox\Asesoría de escritura científica\AAA-Trabajos\Abiertos o en perspectiva\Artículo ruta adolescente con obesidad, nov 23\Manuscrito\Material post Ruth, 4 feb 25\Supplementary 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mon\Dropbox\Asesoría de escritura científica\AAA-Trabajos\Abiertos o en perspectiva\Artículo ruta adolescente con obesidad, nov 23\Manuscrito\Material post Ruth, 4 feb 25\Supplementary Fig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9" t="4808" r="5473" b="4192"/>
                    <a:stretch/>
                  </pic:blipFill>
                  <pic:spPr bwMode="auto">
                    <a:xfrm>
                      <a:off x="0" y="0"/>
                      <a:ext cx="6973200" cy="102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4F6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7D24F6" w:rsidRPr="005D5001">
        <w:rPr>
          <w:rFonts w:ascii="Times New Roman" w:hAnsi="Times New Roman" w:cs="Times New Roman"/>
          <w:b/>
          <w:sz w:val="20"/>
          <w:szCs w:val="20"/>
          <w:lang w:val="en-US"/>
        </w:rPr>
        <w:t>Fig. 2 Transfer</w:t>
      </w:r>
    </w:p>
    <w:p w:rsidR="007D24F6" w:rsidRPr="005D5001" w:rsidRDefault="00A75B99" w:rsidP="007D24F6">
      <w:pPr>
        <w:spacing w:before="24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7699E">
        <w:rPr>
          <w:rFonts w:ascii="Times New Roman" w:hAnsi="Times New Roman" w:cs="Times New Roman"/>
          <w:b/>
          <w:noProof/>
          <w:sz w:val="20"/>
          <w:szCs w:val="20"/>
          <w:lang w:eastAsia="es-ES"/>
        </w:rPr>
        <w:lastRenderedPageBreak/>
        <w:drawing>
          <wp:anchor distT="0" distB="0" distL="114300" distR="114300" simplePos="0" relativeHeight="251660288" behindDoc="1" locked="0" layoutInCell="1" allowOverlap="1" wp14:anchorId="7B36D86D" wp14:editId="0219C8B5">
            <wp:simplePos x="0" y="0"/>
            <wp:positionH relativeFrom="column">
              <wp:posOffset>135890</wp:posOffset>
            </wp:positionH>
            <wp:positionV relativeFrom="paragraph">
              <wp:posOffset>201930</wp:posOffset>
            </wp:positionV>
            <wp:extent cx="7077600" cy="10306800"/>
            <wp:effectExtent l="0" t="0" r="9525" b="0"/>
            <wp:wrapTight wrapText="bothSides">
              <wp:wrapPolygon edited="0">
                <wp:start x="0" y="0"/>
                <wp:lineTo x="0" y="21559"/>
                <wp:lineTo x="21571" y="21559"/>
                <wp:lineTo x="21571" y="0"/>
                <wp:lineTo x="0" y="0"/>
              </wp:wrapPolygon>
            </wp:wrapTight>
            <wp:docPr id="7" name="Imagen 7" descr="C:\Users\ramon\Dropbox\Asesoría de escritura científica\AAA-Trabajos\Abiertos o en perspectiva\Artículo ruta adolescente con obesidad, nov 23\Manuscrito\Material post Ruth, 4 feb 25\Supplementary Fig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mon\Dropbox\Asesoría de escritura científica\AAA-Trabajos\Abiertos o en perspectiva\Artículo ruta adolescente con obesidad, nov 23\Manuscrito\Material post Ruth, 4 feb 25\Supplementary Fig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4" t="4409" r="5743" b="4555"/>
                    <a:stretch/>
                  </pic:blipFill>
                  <pic:spPr bwMode="auto">
                    <a:xfrm>
                      <a:off x="0" y="0"/>
                      <a:ext cx="7077600" cy="103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4F6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7D24F6" w:rsidRPr="005D5001">
        <w:rPr>
          <w:rFonts w:ascii="Times New Roman" w:hAnsi="Times New Roman" w:cs="Times New Roman"/>
          <w:b/>
          <w:sz w:val="20"/>
          <w:szCs w:val="20"/>
          <w:lang w:val="en-US"/>
        </w:rPr>
        <w:t>Fig. 3 Reception in adult unit, end of the process</w:t>
      </w:r>
    </w:p>
    <w:p w:rsidR="009A7ECF" w:rsidRDefault="009A7ECF" w:rsidP="00B86A98">
      <w:pPr>
        <w:rPr>
          <w:rFonts w:ascii="Times New Roman" w:hAnsi="Times New Roman" w:cs="Times New Roman"/>
          <w:b/>
          <w:sz w:val="20"/>
          <w:szCs w:val="20"/>
        </w:rPr>
        <w:sectPr w:rsidR="009A7ECF" w:rsidSect="00DD15C2">
          <w:pgSz w:w="11906" w:h="16838"/>
          <w:pgMar w:top="142" w:right="142" w:bottom="142" w:left="142" w:header="709" w:footer="709" w:gutter="0"/>
          <w:cols w:space="708"/>
          <w:docGrid w:linePitch="360"/>
        </w:sectPr>
      </w:pPr>
    </w:p>
    <w:p w:rsidR="00B86A98" w:rsidRDefault="00B86A98" w:rsidP="00B86A98">
      <w:pPr>
        <w:rPr>
          <w:rFonts w:ascii="Times New Roman" w:hAnsi="Times New Roman" w:cs="Times New Roman"/>
          <w:b/>
          <w:sz w:val="20"/>
          <w:szCs w:val="20"/>
        </w:rPr>
      </w:pPr>
      <w:r w:rsidRPr="006A3C5C">
        <w:rPr>
          <w:rFonts w:ascii="Times New Roman" w:hAnsi="Times New Roman" w:cs="Times New Roman"/>
          <w:b/>
          <w:sz w:val="20"/>
          <w:szCs w:val="20"/>
        </w:rPr>
        <w:lastRenderedPageBreak/>
        <w:t>Supplementa</w:t>
      </w:r>
      <w:r>
        <w:rPr>
          <w:rFonts w:ascii="Times New Roman" w:hAnsi="Times New Roman" w:cs="Times New Roman"/>
          <w:b/>
          <w:sz w:val="20"/>
          <w:szCs w:val="20"/>
        </w:rPr>
        <w:t>ry</w:t>
      </w:r>
      <w:r w:rsidRPr="006A3C5C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6A3C5C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Periods of adolescence</w:t>
      </w:r>
    </w:p>
    <w:tbl>
      <w:tblPr>
        <w:tblStyle w:val="Tablaconcuadrcula"/>
        <w:tblW w:w="8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417"/>
        <w:gridCol w:w="5102"/>
      </w:tblGrid>
      <w:tr w:rsidR="00B86A98" w:rsidTr="00080F96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B86A98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Period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B86A98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 (years)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B86A98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Hallmarks</w:t>
            </w:r>
          </w:p>
        </w:tc>
      </w:tr>
      <w:tr w:rsidR="00B86A98" w:rsidRPr="004C6F61" w:rsidTr="00080F96">
        <w:trPr>
          <w:trHeight w:val="340"/>
        </w:trPr>
        <w:tc>
          <w:tcPr>
            <w:tcW w:w="1984" w:type="dxa"/>
            <w:tcBorders>
              <w:top w:val="single" w:sz="12" w:space="0" w:color="000000"/>
            </w:tcBorders>
            <w:shd w:val="clear" w:color="auto" w:fill="auto"/>
          </w:tcPr>
          <w:p w:rsidR="00B86A98" w:rsidRPr="00511645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645">
              <w:rPr>
                <w:rFonts w:ascii="Times New Roman" w:hAnsi="Times New Roman" w:cs="Times New Roman"/>
                <w:sz w:val="20"/>
                <w:szCs w:val="20"/>
              </w:rPr>
              <w:t>Early adolescence</w:t>
            </w:r>
          </w:p>
        </w:tc>
        <w:tc>
          <w:tcPr>
            <w:tcW w:w="1417" w:type="dxa"/>
            <w:tcBorders>
              <w:top w:val="single" w:sz="12" w:space="0" w:color="000000"/>
            </w:tcBorders>
            <w:shd w:val="clear" w:color="auto" w:fill="auto"/>
          </w:tcPr>
          <w:p w:rsidR="00B86A98" w:rsidRPr="00511645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645">
              <w:rPr>
                <w:rFonts w:ascii="Times New Roman" w:hAnsi="Times New Roman" w:cs="Times New Roman"/>
                <w:sz w:val="20"/>
                <w:szCs w:val="20"/>
              </w:rPr>
              <w:t>10-14</w:t>
            </w:r>
          </w:p>
        </w:tc>
        <w:tc>
          <w:tcPr>
            <w:tcW w:w="5102" w:type="dxa"/>
            <w:tcBorders>
              <w:top w:val="single" w:sz="12" w:space="0" w:color="000000"/>
            </w:tcBorders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Insecurity, desire for intimacy, distrust of parents</w:t>
            </w:r>
          </w:p>
        </w:tc>
      </w:tr>
      <w:tr w:rsidR="00B86A98" w:rsidRPr="004C6F61" w:rsidTr="00080F96">
        <w:trPr>
          <w:trHeight w:val="567"/>
        </w:trPr>
        <w:tc>
          <w:tcPr>
            <w:tcW w:w="1984" w:type="dxa"/>
            <w:shd w:val="clear" w:color="auto" w:fill="auto"/>
          </w:tcPr>
          <w:p w:rsidR="00B86A98" w:rsidRPr="00511645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645">
              <w:rPr>
                <w:rFonts w:ascii="Times New Roman" w:hAnsi="Times New Roman" w:cs="Times New Roman"/>
                <w:sz w:val="20"/>
                <w:szCs w:val="20"/>
              </w:rPr>
              <w:t>Middle adolescence</w:t>
            </w:r>
          </w:p>
        </w:tc>
        <w:tc>
          <w:tcPr>
            <w:tcW w:w="1417" w:type="dxa"/>
            <w:shd w:val="clear" w:color="auto" w:fill="auto"/>
          </w:tcPr>
          <w:p w:rsidR="00B86A98" w:rsidRPr="00511645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5102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Breakdown with the parent figure, enhanced self-confidence, risk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</w:t>
            </w:r>
          </w:p>
        </w:tc>
      </w:tr>
      <w:tr w:rsidR="00B86A98" w:rsidRPr="004C6F61" w:rsidTr="00080F96">
        <w:trPr>
          <w:trHeight w:val="567"/>
        </w:trPr>
        <w:tc>
          <w:tcPr>
            <w:tcW w:w="1984" w:type="dxa"/>
            <w:tcBorders>
              <w:bottom w:val="single" w:sz="12" w:space="0" w:color="000000"/>
            </w:tcBorders>
            <w:shd w:val="clear" w:color="auto" w:fill="auto"/>
          </w:tcPr>
          <w:p w:rsidR="00B86A98" w:rsidRPr="00511645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645">
              <w:rPr>
                <w:rFonts w:ascii="Times New Roman" w:hAnsi="Times New Roman" w:cs="Times New Roman"/>
                <w:sz w:val="20"/>
                <w:szCs w:val="20"/>
              </w:rPr>
              <w:t>Late adolescence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shd w:val="clear" w:color="auto" w:fill="auto"/>
          </w:tcPr>
          <w:p w:rsidR="00B86A98" w:rsidRPr="00511645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02" w:type="dxa"/>
            <w:tcBorders>
              <w:bottom w:val="single" w:sz="12" w:space="0" w:color="000000"/>
            </w:tcBorders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More realistic point of view, acceptance/reconciliation regarding own environment</w:t>
            </w:r>
          </w:p>
        </w:tc>
      </w:tr>
    </w:tbl>
    <w:p w:rsidR="00B86A98" w:rsidRPr="003C6688" w:rsidRDefault="00B86A98" w:rsidP="00B86A9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86A98" w:rsidRPr="003C6688" w:rsidRDefault="00B86A98" w:rsidP="00B86A9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86A98" w:rsidRPr="003C6688" w:rsidRDefault="00B86A98" w:rsidP="00B86A9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86A98" w:rsidRPr="003C6688" w:rsidRDefault="00B86A98" w:rsidP="00B86A9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86A98" w:rsidRPr="003C6688" w:rsidRDefault="00B86A98" w:rsidP="00B86A9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86A98" w:rsidRPr="003C6688" w:rsidRDefault="00B86A98" w:rsidP="00B86A9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86A98" w:rsidRPr="003C6688" w:rsidRDefault="00B86A98" w:rsidP="00B86A9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86A98" w:rsidRPr="003C6688" w:rsidRDefault="00B86A98" w:rsidP="00B86A9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86A98" w:rsidRPr="003C6688" w:rsidRDefault="00B86A98" w:rsidP="00B86A9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C6688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B86A98" w:rsidRPr="003C6688" w:rsidRDefault="00B86A98" w:rsidP="00B86A9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C6688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Supplementary Table 2. Differences between pediatric and adult assistance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B86A98" w:rsidTr="00080F96">
        <w:trPr>
          <w:trHeight w:val="340"/>
        </w:trPr>
        <w:tc>
          <w:tcPr>
            <w:tcW w:w="4247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B86A98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Pediatric care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B86A98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Adult care</w:t>
            </w:r>
          </w:p>
        </w:tc>
      </w:tr>
      <w:tr w:rsidR="00B86A98" w:rsidTr="00080F96">
        <w:trPr>
          <w:trHeight w:val="340"/>
        </w:trPr>
        <w:tc>
          <w:tcPr>
            <w:tcW w:w="4247" w:type="dxa"/>
            <w:tcBorders>
              <w:top w:val="single" w:sz="12" w:space="0" w:color="000000"/>
            </w:tcBorders>
            <w:shd w:val="clear" w:color="auto" w:fill="auto"/>
          </w:tcPr>
          <w:p w:rsidR="00B86A98" w:rsidRPr="00AD050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Family-orientated</w:t>
            </w:r>
          </w:p>
        </w:tc>
        <w:tc>
          <w:tcPr>
            <w:tcW w:w="4247" w:type="dxa"/>
            <w:tcBorders>
              <w:top w:val="single" w:sz="12" w:space="0" w:color="000000"/>
            </w:tcBorders>
            <w:shd w:val="clear" w:color="auto" w:fill="auto"/>
          </w:tcPr>
          <w:p w:rsidR="00B86A98" w:rsidRPr="00AD050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Individual-focused</w:t>
            </w:r>
          </w:p>
        </w:tc>
      </w:tr>
      <w:tr w:rsidR="00B86A98" w:rsidTr="00080F96">
        <w:trPr>
          <w:trHeight w:val="340"/>
        </w:trPr>
        <w:tc>
          <w:tcPr>
            <w:tcW w:w="4247" w:type="dxa"/>
            <w:shd w:val="clear" w:color="auto" w:fill="auto"/>
          </w:tcPr>
          <w:p w:rsidR="00B86A98" w:rsidRPr="00AD050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Developmental aspects considered</w:t>
            </w:r>
          </w:p>
        </w:tc>
        <w:tc>
          <w:tcPr>
            <w:tcW w:w="4247" w:type="dxa"/>
            <w:shd w:val="clear" w:color="auto" w:fill="auto"/>
          </w:tcPr>
          <w:p w:rsidR="00B86A98" w:rsidRPr="00AD050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Focuses on health specifically</w:t>
            </w:r>
          </w:p>
        </w:tc>
      </w:tr>
      <w:tr w:rsidR="00B86A98" w:rsidRPr="004C6F61" w:rsidTr="00080F96">
        <w:trPr>
          <w:trHeight w:val="567"/>
        </w:trPr>
        <w:tc>
          <w:tcPr>
            <w:tcW w:w="4247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Coordination with schools and social services</w:t>
            </w:r>
          </w:p>
        </w:tc>
        <w:tc>
          <w:tcPr>
            <w:tcW w:w="4247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 communication with social services and workplace</w:t>
            </w:r>
          </w:p>
        </w:tc>
      </w:tr>
      <w:tr w:rsidR="00B86A98" w:rsidRPr="004C6F61" w:rsidTr="00080F96">
        <w:trPr>
          <w:trHeight w:val="340"/>
        </w:trPr>
        <w:tc>
          <w:tcPr>
            <w:tcW w:w="4247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More help with treatment regimes</w:t>
            </w:r>
          </w:p>
        </w:tc>
        <w:tc>
          <w:tcPr>
            <w:tcW w:w="4247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More accepting of treatment refusal</w:t>
            </w:r>
          </w:p>
        </w:tc>
      </w:tr>
      <w:tr w:rsidR="00B86A98" w:rsidTr="00080F96">
        <w:trPr>
          <w:trHeight w:val="340"/>
        </w:trPr>
        <w:tc>
          <w:tcPr>
            <w:tcW w:w="4247" w:type="dxa"/>
            <w:shd w:val="clear" w:color="auto" w:fill="auto"/>
          </w:tcPr>
          <w:p w:rsidR="00B86A98" w:rsidRPr="00AD050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More trainee supervision</w:t>
            </w:r>
          </w:p>
        </w:tc>
        <w:tc>
          <w:tcPr>
            <w:tcW w:w="4247" w:type="dxa"/>
            <w:shd w:val="clear" w:color="auto" w:fill="auto"/>
          </w:tcPr>
          <w:p w:rsidR="00B86A98" w:rsidRPr="00AD050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Less trainee supervisión</w:t>
            </w:r>
          </w:p>
        </w:tc>
      </w:tr>
      <w:tr w:rsidR="00B86A98" w:rsidRPr="004C6F61" w:rsidTr="00080F96">
        <w:trPr>
          <w:trHeight w:val="340"/>
        </w:trPr>
        <w:tc>
          <w:tcPr>
            <w:tcW w:w="4247" w:type="dxa"/>
            <w:tcBorders>
              <w:bottom w:val="single" w:sz="4" w:space="0" w:color="auto"/>
            </w:tcBorders>
            <w:shd w:val="clear" w:color="auto" w:fill="auto"/>
          </w:tcPr>
          <w:p w:rsidR="00B86A98" w:rsidRPr="00AD050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Paternalistic</w:t>
            </w:r>
          </w:p>
        </w:tc>
        <w:tc>
          <w:tcPr>
            <w:tcW w:w="4247" w:type="dxa"/>
            <w:tcBorders>
              <w:bottom w:val="single" w:sz="4" w:space="0" w:color="auto"/>
            </w:tcBorders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Shared treatment decisions with patient</w:t>
            </w:r>
          </w:p>
        </w:tc>
      </w:tr>
    </w:tbl>
    <w:p w:rsidR="00B86A98" w:rsidRPr="003C6688" w:rsidRDefault="00B86A98" w:rsidP="00B86A9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C6688">
        <w:rPr>
          <w:rFonts w:ascii="Times New Roman" w:hAnsi="Times New Roman" w:cs="Times New Roman"/>
          <w:sz w:val="20"/>
          <w:szCs w:val="20"/>
          <w:lang w:val="en-US"/>
        </w:rPr>
        <w:t xml:space="preserve">Adapted from Robertson et al </w:t>
      </w:r>
      <w:r>
        <w:rPr>
          <w:rFonts w:ascii="Times New Roman" w:hAnsi="Times New Roman" w:cs="Times New Roman"/>
          <w:sz w:val="20"/>
          <w:szCs w:val="20"/>
          <w:lang w:val="en-US"/>
        </w:rPr>
        <w:t>[</w:t>
      </w:r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53</w:t>
      </w:r>
      <w:r>
        <w:rPr>
          <w:rFonts w:ascii="Times New Roman" w:hAnsi="Times New Roman" w:cs="Times New Roman"/>
          <w:sz w:val="20"/>
          <w:szCs w:val="20"/>
          <w:lang w:val="en-US"/>
        </w:rPr>
        <w:t>]</w:t>
      </w:r>
      <w:r w:rsidRPr="003C6688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3C6688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:rsidR="00B86A98" w:rsidRDefault="00B86A98" w:rsidP="00B86A98">
      <w:pPr>
        <w:rPr>
          <w:rFonts w:ascii="Times New Roman" w:hAnsi="Times New Roman" w:cs="Times New Roman"/>
          <w:b/>
          <w:sz w:val="20"/>
          <w:szCs w:val="20"/>
          <w:lang w:val="en-US"/>
        </w:rPr>
        <w:sectPr w:rsidR="00B86A98" w:rsidSect="00A75B99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:rsidR="00B86A98" w:rsidRPr="003C6688" w:rsidRDefault="00B86A98" w:rsidP="00B86A9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C6688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Supplementary Table 3. Quality indicators to assess the adequacy of the planned steps to achieve transfer preparation successfully</w:t>
      </w:r>
    </w:p>
    <w:tbl>
      <w:tblPr>
        <w:tblStyle w:val="Tablaconcuadrcula"/>
        <w:tblW w:w="13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8"/>
        <w:gridCol w:w="1409"/>
        <w:gridCol w:w="1516"/>
      </w:tblGrid>
      <w:tr w:rsidR="00B86A98" w:rsidTr="00080F96">
        <w:trPr>
          <w:trHeight w:val="340"/>
        </w:trPr>
        <w:tc>
          <w:tcPr>
            <w:tcW w:w="1358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86A98" w:rsidRPr="006A3C5C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Pre-transfer </w:t>
            </w: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bottom w:val="single" w:sz="12" w:space="0" w:color="auto"/>
            </w:tcBorders>
            <w:shd w:val="clear" w:color="auto" w:fill="auto"/>
          </w:tcPr>
          <w:p w:rsidR="00B86A98" w:rsidRPr="006A3C5C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C5C">
              <w:rPr>
                <w:rFonts w:ascii="Times New Roman" w:hAnsi="Times New Roman" w:cs="Times New Roman"/>
                <w:b/>
                <w:sz w:val="20"/>
                <w:szCs w:val="20"/>
              </w:rPr>
              <w:t>Quality indicator</w:t>
            </w:r>
          </w:p>
        </w:tc>
        <w:tc>
          <w:tcPr>
            <w:tcW w:w="1409" w:type="dxa"/>
            <w:tcBorders>
              <w:bottom w:val="single" w:sz="12" w:space="0" w:color="auto"/>
            </w:tcBorders>
            <w:shd w:val="clear" w:color="auto" w:fill="auto"/>
          </w:tcPr>
          <w:p w:rsidR="00B86A98" w:rsidRPr="006A3C5C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C5C">
              <w:rPr>
                <w:rFonts w:ascii="Times New Roman" w:hAnsi="Times New Roman" w:cs="Times New Roman"/>
                <w:b/>
                <w:sz w:val="20"/>
                <w:szCs w:val="20"/>
              </w:rPr>
              <w:t>Level of care</w:t>
            </w:r>
          </w:p>
        </w:tc>
        <w:tc>
          <w:tcPr>
            <w:tcW w:w="1516" w:type="dxa"/>
            <w:tcBorders>
              <w:bottom w:val="single" w:sz="12" w:space="0" w:color="auto"/>
            </w:tcBorders>
            <w:shd w:val="clear" w:color="auto" w:fill="auto"/>
          </w:tcPr>
          <w:p w:rsidR="00B86A98" w:rsidRPr="006A3C5C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Accomplished?</w:t>
            </w: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top w:val="single" w:sz="12" w:space="0" w:color="auto"/>
            </w:tcBorders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Proportion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</w:t>
            </w: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disciplinary team staff completing a transition training program</w:t>
            </w:r>
          </w:p>
        </w:tc>
        <w:tc>
          <w:tcPr>
            <w:tcW w:w="1409" w:type="dxa"/>
            <w:tcBorders>
              <w:top w:val="single" w:sz="12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1516" w:type="dxa"/>
            <w:tcBorders>
              <w:top w:val="single" w:sz="12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 platform is available to host resources, tools, guidelines, and policy documents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There is a keyworker/clinical nurse specialist coordinating care and liaising with the intra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</w:t>
            </w: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disciplinary team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567"/>
        </w:trPr>
        <w:tc>
          <w:tcPr>
            <w:tcW w:w="10658" w:type="dxa"/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There is a coordinated approach to transition for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AlwOs</w:t>
            </w: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multiple or complex needs. Co-ordination should extend beyond specialty and organizational boundaries to include all services accessed by the young person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RPr="00691B83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691B83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1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Fluent communication channels allowing all relevant AlwO information to be conveyed to adult providers </w:t>
            </w:r>
          </w:p>
        </w:tc>
        <w:tc>
          <w:tcPr>
            <w:tcW w:w="1409" w:type="dxa"/>
            <w:shd w:val="clear" w:color="auto" w:fill="auto"/>
          </w:tcPr>
          <w:p w:rsidR="00B86A98" w:rsidRPr="00691B83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B83"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1516" w:type="dxa"/>
            <w:shd w:val="clear" w:color="auto" w:fill="auto"/>
          </w:tcPr>
          <w:p w:rsidR="00B86A98" w:rsidRPr="00691B83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RPr="00691B83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691B83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1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Clear written plan and policy for transition is shared between child and adult teams</w:t>
            </w:r>
          </w:p>
        </w:tc>
        <w:tc>
          <w:tcPr>
            <w:tcW w:w="1409" w:type="dxa"/>
            <w:shd w:val="clear" w:color="auto" w:fill="auto"/>
          </w:tcPr>
          <w:p w:rsidR="00B86A98" w:rsidRPr="00691B83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B83"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1516" w:type="dxa"/>
            <w:shd w:val="clear" w:color="auto" w:fill="auto"/>
          </w:tcPr>
          <w:p w:rsidR="00B86A98" w:rsidRPr="00691B83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RPr="00691B83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691B83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1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Analyze if access to adult care is available for AlwO in terms of costs and geographic proximity </w:t>
            </w:r>
          </w:p>
        </w:tc>
        <w:tc>
          <w:tcPr>
            <w:tcW w:w="1409" w:type="dxa"/>
            <w:shd w:val="clear" w:color="auto" w:fill="auto"/>
          </w:tcPr>
          <w:p w:rsidR="00B86A98" w:rsidRPr="00691B83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B83"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1516" w:type="dxa"/>
            <w:shd w:val="clear" w:color="auto" w:fill="auto"/>
          </w:tcPr>
          <w:p w:rsidR="00B86A98" w:rsidRPr="00691B83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RPr="00691B83" w:rsidTr="00080F96">
        <w:trPr>
          <w:trHeight w:val="567"/>
        </w:trPr>
        <w:tc>
          <w:tcPr>
            <w:tcW w:w="10658" w:type="dxa"/>
            <w:tcBorders>
              <w:bottom w:val="single" w:sz="4" w:space="0" w:color="auto"/>
            </w:tcBorders>
            <w:shd w:val="clear" w:color="auto" w:fill="auto"/>
          </w:tcPr>
          <w:p w:rsidR="00B86A98" w:rsidRPr="00691B83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1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Verify that healthcare system is able to provide resources that may be needed during transition (access to nutritionists, support groups and others) 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:rsidR="00B86A98" w:rsidRPr="00691B83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B83"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B86A98" w:rsidRPr="00691B83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top w:val="single" w:sz="4" w:space="0" w:color="auto"/>
            </w:tcBorders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Readiness for transition is frequently assessed through conversations held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C6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during clinic appointments 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 of relevant documentation/checklists may be used to assess how ready the young person is to move to adult care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567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 professionals take into account what else is happening in a young person’s life and avoid transferring them at difficult times (e.g. during major exams, during a period of illness crisis/instability)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general practitioner is involved in the transition plan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567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Evidence of local arrangements to ensure that all young people who are moving from children's to adults' services have a named worker to coordinate care and support before, during and after transfer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567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Early information about transition and moving to adult care is given to young people and parents with information about what young people/parents can expect. What is expected of each of them throughout the transition process is made clear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Satisfaction of members of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</w:t>
            </w: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disciplinary healthcare team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Information about transition is provided through different media (e.g. leaflets, websites)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567"/>
        </w:trPr>
        <w:tc>
          <w:tcPr>
            <w:tcW w:w="10658" w:type="dxa"/>
            <w:tcBorders>
              <w:bottom w:val="single" w:sz="4" w:space="0" w:color="auto"/>
            </w:tcBorders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plan for transition is frequently discussed with young people and parents, decisions are shared and they have clear information about the timeline for transfer and when this will happen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top w:val="single" w:sz="4" w:space="0" w:color="auto"/>
            </w:tcBorders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Parents are asked for their opinion and feedback about whether or not the young person is ready for transition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Caregiver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bottom w:val="single" w:sz="4" w:space="0" w:color="auto"/>
            </w:tcBorders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 satisfaction with preparation for transfer process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Caregiver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top w:val="single" w:sz="4" w:space="0" w:color="auto"/>
            </w:tcBorders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44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Achievement of transition readiness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Patient has a medical/health home </w:t>
            </w:r>
          </w:p>
        </w:tc>
        <w:tc>
          <w:tcPr>
            <w:tcW w:w="1409" w:type="dxa"/>
            <w:shd w:val="clear" w:color="auto" w:fill="auto"/>
          </w:tcPr>
          <w:p w:rsidR="00B86A98" w:rsidRPr="00156AF6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AF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shd w:val="clear" w:color="auto" w:fill="auto"/>
          </w:tcPr>
          <w:p w:rsidR="00B86A98" w:rsidRPr="00156AF6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young person and parent(s) know who to contact for transition information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bottom w:val="single" w:sz="4" w:space="0" w:color="auto"/>
            </w:tcBorders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 satisfaction with preparation for transfer process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3583" w:type="dxa"/>
            <w:gridSpan w:val="3"/>
            <w:shd w:val="clear" w:color="auto" w:fill="auto"/>
          </w:tcPr>
          <w:p w:rsidR="00B86A98" w:rsidRPr="006A3C5C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Transfer </w:t>
            </w: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bottom w:val="single" w:sz="12" w:space="0" w:color="auto"/>
            </w:tcBorders>
            <w:shd w:val="clear" w:color="auto" w:fill="auto"/>
          </w:tcPr>
          <w:p w:rsidR="00B86A98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C5C">
              <w:rPr>
                <w:rFonts w:ascii="Times New Roman" w:hAnsi="Times New Roman" w:cs="Times New Roman"/>
                <w:b/>
                <w:sz w:val="20"/>
                <w:szCs w:val="20"/>
              </w:rPr>
              <w:t>Quality indicator</w:t>
            </w:r>
          </w:p>
        </w:tc>
        <w:tc>
          <w:tcPr>
            <w:tcW w:w="1409" w:type="dxa"/>
            <w:tcBorders>
              <w:bottom w:val="single" w:sz="12" w:space="0" w:color="auto"/>
            </w:tcBorders>
            <w:shd w:val="clear" w:color="auto" w:fill="auto"/>
          </w:tcPr>
          <w:p w:rsidR="00B86A98" w:rsidRPr="006A3C5C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C5C">
              <w:rPr>
                <w:rFonts w:ascii="Times New Roman" w:hAnsi="Times New Roman" w:cs="Times New Roman"/>
                <w:b/>
                <w:sz w:val="20"/>
                <w:szCs w:val="20"/>
              </w:rPr>
              <w:t>Level of care</w:t>
            </w:r>
          </w:p>
        </w:tc>
        <w:tc>
          <w:tcPr>
            <w:tcW w:w="1516" w:type="dxa"/>
            <w:tcBorders>
              <w:bottom w:val="single" w:sz="12" w:space="0" w:color="auto"/>
            </w:tcBorders>
            <w:shd w:val="clear" w:color="auto" w:fill="auto"/>
          </w:tcPr>
          <w:p w:rsidR="00B86A98" w:rsidRPr="006A3C5C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Accomplished?</w:t>
            </w:r>
          </w:p>
        </w:tc>
      </w:tr>
      <w:tr w:rsidR="00B86A98" w:rsidTr="00080F96">
        <w:trPr>
          <w:trHeight w:val="567"/>
        </w:trPr>
        <w:tc>
          <w:tcPr>
            <w:tcW w:w="10658" w:type="dxa"/>
            <w:tcBorders>
              <w:top w:val="single" w:sz="12" w:space="0" w:color="auto"/>
            </w:tcBorders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 professionals are aware of how to care effectively for young people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regarding their dignity and that many young people are body conscious and easily embarrassed</w:t>
            </w:r>
          </w:p>
        </w:tc>
        <w:tc>
          <w:tcPr>
            <w:tcW w:w="1409" w:type="dxa"/>
            <w:tcBorders>
              <w:top w:val="single" w:sz="12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tcBorders>
              <w:top w:val="single" w:sz="12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Young people are recognized as ‘young person’, not a</w:t>
            </w:r>
            <w:r w:rsidR="00D208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a</w:t>
            </w: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child </w:t>
            </w:r>
            <w:r w:rsidR="00D208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 adult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567"/>
        </w:trPr>
        <w:tc>
          <w:tcPr>
            <w:tcW w:w="10658" w:type="dxa"/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 professionals have good interpersonal and communication skills,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 knowledge of the young person’s condition and the ability to signpost appropriately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Information given to young people is open and honest and at a level they can understand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bottom w:val="single" w:sz="4" w:space="0" w:color="auto"/>
            </w:tcBorders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Health professionals ensure the young person understands their health condition 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top w:val="single" w:sz="4" w:space="0" w:color="auto"/>
            </w:tcBorders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point of contact is provided for parents to make enquiries/raise concerns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Caregiver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567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Opportunities for parents to talk to health professionals without the young person present while maintaining the confidentiality and trust of the young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C6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Caregiver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bottom w:val="single" w:sz="4" w:space="0" w:color="auto"/>
            </w:tcBorders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Help for parents to gradually ‘take a step back’ but continue to support the young person’s self-management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Caregiver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top w:val="single" w:sz="4" w:space="0" w:color="auto"/>
            </w:tcBorders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young person is helped to gain confidence when talking with health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professionals without parent(s) being there 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 builds a trusting relationship with adult provider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bottom w:val="single" w:sz="4" w:space="0" w:color="auto"/>
            </w:tcBorders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 understands characteristics of their condition and associated complications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RPr="004C6F61" w:rsidTr="00080F96">
        <w:trPr>
          <w:trHeight w:val="340"/>
        </w:trPr>
        <w:tc>
          <w:tcPr>
            <w:tcW w:w="13583" w:type="dxa"/>
            <w:gridSpan w:val="3"/>
            <w:shd w:val="clear" w:color="auto" w:fill="auto"/>
          </w:tcPr>
          <w:p w:rsidR="00B86A98" w:rsidRPr="004C6F61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C6F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Reception in adult care and later</w:t>
            </w:r>
          </w:p>
        </w:tc>
      </w:tr>
      <w:tr w:rsidR="00B86A98" w:rsidTr="00080F96">
        <w:trPr>
          <w:trHeight w:val="340"/>
        </w:trPr>
        <w:tc>
          <w:tcPr>
            <w:tcW w:w="10658" w:type="dxa"/>
            <w:tcBorders>
              <w:bottom w:val="single" w:sz="12" w:space="0" w:color="auto"/>
            </w:tcBorders>
            <w:shd w:val="clear" w:color="auto" w:fill="auto"/>
          </w:tcPr>
          <w:p w:rsidR="00B86A98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C5C">
              <w:rPr>
                <w:rFonts w:ascii="Times New Roman" w:hAnsi="Times New Roman" w:cs="Times New Roman"/>
                <w:b/>
                <w:sz w:val="20"/>
                <w:szCs w:val="20"/>
              </w:rPr>
              <w:t>Quality indicator</w:t>
            </w:r>
          </w:p>
        </w:tc>
        <w:tc>
          <w:tcPr>
            <w:tcW w:w="1409" w:type="dxa"/>
            <w:tcBorders>
              <w:bottom w:val="single" w:sz="12" w:space="0" w:color="auto"/>
            </w:tcBorders>
            <w:shd w:val="clear" w:color="auto" w:fill="auto"/>
          </w:tcPr>
          <w:p w:rsidR="00B86A98" w:rsidRPr="006A3C5C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C5C">
              <w:rPr>
                <w:rFonts w:ascii="Times New Roman" w:hAnsi="Times New Roman" w:cs="Times New Roman"/>
                <w:b/>
                <w:sz w:val="20"/>
                <w:szCs w:val="20"/>
              </w:rPr>
              <w:t>Level of care</w:t>
            </w:r>
          </w:p>
        </w:tc>
        <w:tc>
          <w:tcPr>
            <w:tcW w:w="1516" w:type="dxa"/>
            <w:tcBorders>
              <w:bottom w:val="single" w:sz="12" w:space="0" w:color="auto"/>
            </w:tcBorders>
            <w:shd w:val="clear" w:color="auto" w:fill="auto"/>
          </w:tcPr>
          <w:p w:rsidR="00B86A98" w:rsidRPr="006A3C5C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Accomplished?</w:t>
            </w:r>
          </w:p>
        </w:tc>
      </w:tr>
      <w:tr w:rsidR="00B86A98" w:rsidRPr="005C02DE" w:rsidTr="00080F96">
        <w:trPr>
          <w:trHeight w:val="340"/>
        </w:trPr>
        <w:tc>
          <w:tcPr>
            <w:tcW w:w="10658" w:type="dxa"/>
            <w:tcBorders>
              <w:top w:val="single" w:sz="12" w:space="0" w:color="auto"/>
            </w:tcBorders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6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administrative hurdles to jeopardize continuity of care or scheduling follow-up visits</w:t>
            </w:r>
          </w:p>
        </w:tc>
        <w:tc>
          <w:tcPr>
            <w:tcW w:w="1409" w:type="dxa"/>
            <w:tcBorders>
              <w:top w:val="single" w:sz="12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1516" w:type="dxa"/>
            <w:tcBorders>
              <w:top w:val="single" w:sz="12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6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Comprehensive clinical assessment at reception (also considering comorbidity risk and psychosocial complications)</w:t>
            </w:r>
          </w:p>
        </w:tc>
        <w:tc>
          <w:tcPr>
            <w:tcW w:w="1409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567"/>
        </w:trPr>
        <w:tc>
          <w:tcPr>
            <w:tcW w:w="10658" w:type="dxa"/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6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Continuity-of-care </w:t>
            </w:r>
            <w:r w:rsidR="00D208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ensur</w:t>
            </w:r>
            <w:r w:rsidR="00D208E3" w:rsidRPr="004C6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</w:t>
            </w:r>
            <w:r w:rsidRPr="004C6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AlwO is managed according to customized plan agreed with pediatric providers (usually initial continuity of pediatric stage treatment followed by gradual adaptation to adulthood peculiarities </w:t>
            </w:r>
          </w:p>
        </w:tc>
        <w:tc>
          <w:tcPr>
            <w:tcW w:w="1409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3C6688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‘Lifestyle’ advice is given (e.g., about healthy diet, alcohol, smoking,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C6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recreational drugs, exercise, sexual health, staying well)</w:t>
            </w:r>
          </w:p>
        </w:tc>
        <w:tc>
          <w:tcPr>
            <w:tcW w:w="1409" w:type="dxa"/>
            <w:shd w:val="clear" w:color="auto" w:fill="auto"/>
          </w:tcPr>
          <w:p w:rsidR="00B86A98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Pr="006A3C5C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567"/>
        </w:trPr>
        <w:tc>
          <w:tcPr>
            <w:tcW w:w="10658" w:type="dxa"/>
            <w:shd w:val="clear" w:color="auto" w:fill="auto"/>
          </w:tcPr>
          <w:p w:rsidR="00B86A98" w:rsidRPr="005C02D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AlwO has received/receives psychological support regarding concerns such as </w:t>
            </w:r>
            <w:r w:rsidR="00D208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</w:t>
            </w:r>
            <w:r w:rsidRPr="005C0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esteem, body image and others (where appropriate, access to mental health specialists is </w:t>
            </w:r>
            <w:r w:rsidR="00D208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provid</w:t>
            </w:r>
            <w:r w:rsidR="00D208E3" w:rsidRPr="005C0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</w:t>
            </w:r>
            <w:r w:rsidRPr="005C0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 </w:t>
            </w:r>
          </w:p>
        </w:tc>
        <w:tc>
          <w:tcPr>
            <w:tcW w:w="1409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5C02D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Customized follow-up plan agreed between provider and patient (follow-up visits and control tests/explorations scheduled)</w:t>
            </w:r>
          </w:p>
        </w:tc>
        <w:tc>
          <w:tcPr>
            <w:tcW w:w="1409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340"/>
        </w:trPr>
        <w:tc>
          <w:tcPr>
            <w:tcW w:w="10658" w:type="dxa"/>
            <w:tcBorders>
              <w:bottom w:val="single" w:sz="4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care should be informed if young people are failing to engage with secondary and tertiary care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Provider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340"/>
        </w:trPr>
        <w:tc>
          <w:tcPr>
            <w:tcW w:w="10658" w:type="dxa"/>
            <w:tcBorders>
              <w:bottom w:val="single" w:sz="4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6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Family satisfaction with the new dynamics of care 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Caregiver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340"/>
        </w:trPr>
        <w:tc>
          <w:tcPr>
            <w:tcW w:w="10658" w:type="dxa"/>
            <w:tcBorders>
              <w:top w:val="single" w:sz="4" w:space="0" w:color="auto"/>
            </w:tcBorders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Independent communication with physician/nurse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 has good self-efficacy (i.e., ability to manage their illness day-to-day)</w:t>
            </w:r>
          </w:p>
        </w:tc>
        <w:tc>
          <w:tcPr>
            <w:tcW w:w="1409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5C02D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Patient keeps clinic visits</w:t>
            </w:r>
          </w:p>
        </w:tc>
        <w:tc>
          <w:tcPr>
            <w:tcW w:w="1409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5C02D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 remains adherent to treatment and medications</w:t>
            </w:r>
          </w:p>
        </w:tc>
        <w:tc>
          <w:tcPr>
            <w:tcW w:w="1409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340"/>
        </w:trPr>
        <w:tc>
          <w:tcPr>
            <w:tcW w:w="10658" w:type="dxa"/>
            <w:shd w:val="clear" w:color="auto" w:fill="auto"/>
          </w:tcPr>
          <w:p w:rsidR="00B86A98" w:rsidRPr="005C02DE" w:rsidRDefault="00B86A98" w:rsidP="00080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 xml:space="preserve">Disease control </w:t>
            </w:r>
          </w:p>
        </w:tc>
        <w:tc>
          <w:tcPr>
            <w:tcW w:w="1409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A98" w:rsidRPr="005C02DE" w:rsidTr="00080F96">
        <w:trPr>
          <w:trHeight w:val="340"/>
        </w:trPr>
        <w:tc>
          <w:tcPr>
            <w:tcW w:w="10658" w:type="dxa"/>
            <w:tcBorders>
              <w:bottom w:val="single" w:sz="4" w:space="0" w:color="auto"/>
            </w:tcBorders>
            <w:shd w:val="clear" w:color="auto" w:fill="auto"/>
          </w:tcPr>
          <w:p w:rsidR="00B86A98" w:rsidRPr="004C6F61" w:rsidRDefault="00B86A98" w:rsidP="0008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6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 satisfaction with the new dynamics of care (feels supported; feels treatment makes sense)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DE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B86A98" w:rsidRPr="005C02DE" w:rsidRDefault="00B86A98" w:rsidP="0008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86A98" w:rsidRDefault="00B86A98" w:rsidP="00B86A9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F1741">
        <w:rPr>
          <w:rFonts w:ascii="Times New Roman" w:hAnsi="Times New Roman" w:cs="Times New Roman"/>
          <w:sz w:val="20"/>
          <w:szCs w:val="20"/>
          <w:lang w:val="en-US"/>
        </w:rPr>
        <w:t xml:space="preserve">Part of quality indicators taken from </w:t>
      </w:r>
      <w:r w:rsidRPr="003C6688">
        <w:rPr>
          <w:rFonts w:ascii="Times New Roman" w:hAnsi="Times New Roman" w:cs="Times New Roman"/>
          <w:sz w:val="20"/>
          <w:szCs w:val="20"/>
          <w:lang w:val="en-US"/>
        </w:rPr>
        <w:t xml:space="preserve">Bailey et al </w:t>
      </w:r>
      <w:r>
        <w:rPr>
          <w:rFonts w:ascii="Times New Roman" w:hAnsi="Times New Roman" w:cs="Times New Roman"/>
          <w:sz w:val="20"/>
          <w:szCs w:val="20"/>
          <w:lang w:val="en-US"/>
        </w:rPr>
        <w:t>[</w:t>
      </w:r>
      <w:r w:rsidR="00842F14">
        <w:rPr>
          <w:rFonts w:ascii="Times New Roman" w:hAnsi="Times New Roman" w:cs="Times New Roman"/>
          <w:color w:val="0000FF"/>
          <w:sz w:val="20"/>
          <w:szCs w:val="20"/>
          <w:lang w:val="en-US"/>
        </w:rPr>
        <w:t>69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en-US"/>
        </w:rPr>
        <w:t>]</w:t>
      </w:r>
      <w:r w:rsidRPr="003C6688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1F1741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Pr="003C6688">
        <w:rPr>
          <w:rFonts w:ascii="Times New Roman" w:hAnsi="Times New Roman" w:cs="Times New Roman"/>
          <w:sz w:val="20"/>
          <w:szCs w:val="20"/>
          <w:lang w:val="en-US"/>
        </w:rPr>
        <w:t>adapted to transition of adolescents living with obesity.</w:t>
      </w:r>
    </w:p>
    <w:p w:rsidR="00B86A98" w:rsidRDefault="00B86A98" w:rsidP="00B86A98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86A98" w:rsidRDefault="00B86A98" w:rsidP="00B86A98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A303E" w:rsidRDefault="002A303E"/>
    <w:sectPr w:rsidR="002A303E" w:rsidSect="00A75B99">
      <w:pgSz w:w="16838" w:h="11906" w:orient="landscape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98"/>
    <w:rsid w:val="001A4B78"/>
    <w:rsid w:val="002A303E"/>
    <w:rsid w:val="0042472F"/>
    <w:rsid w:val="006B0A51"/>
    <w:rsid w:val="007D24F6"/>
    <w:rsid w:val="00842F14"/>
    <w:rsid w:val="009407EA"/>
    <w:rsid w:val="009A7ECF"/>
    <w:rsid w:val="00A34FA2"/>
    <w:rsid w:val="00A75B99"/>
    <w:rsid w:val="00AA5E1A"/>
    <w:rsid w:val="00B77C40"/>
    <w:rsid w:val="00B86A98"/>
    <w:rsid w:val="00C8145C"/>
    <w:rsid w:val="00D208E3"/>
    <w:rsid w:val="00DD15C2"/>
    <w:rsid w:val="00E7699E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01165-9617-4F51-85D8-F359A709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A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86A98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769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ramon@sjd.e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r.x.diaz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anda.fernandezylena@gmail.com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gperezlopez80@gmail.com" TargetMode="External"/><Relationship Id="rId10" Type="http://schemas.openxmlformats.org/officeDocument/2006/relationships/image" Target="media/image2.jpeg"/><Relationship Id="rId4" Type="http://schemas.openxmlformats.org/officeDocument/2006/relationships/hyperlink" Target="mailto:agoday@psmar.cat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1446</Words>
  <Characters>7959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</dc:creator>
  <cp:keywords/>
  <dc:description/>
  <cp:lastModifiedBy>ramon</cp:lastModifiedBy>
  <cp:revision>2</cp:revision>
  <dcterms:created xsi:type="dcterms:W3CDTF">2025-10-06T09:00:00Z</dcterms:created>
  <dcterms:modified xsi:type="dcterms:W3CDTF">2025-10-06T09:00:00Z</dcterms:modified>
</cp:coreProperties>
</file>