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CB98E" w14:textId="634F2233" w:rsidR="001F14DB" w:rsidRDefault="001F14DB" w:rsidP="00B261B0">
      <w:pPr>
        <w:pStyle w:val="Heading2"/>
        <w:rPr>
          <w:i/>
          <w:iCs/>
        </w:rPr>
      </w:pPr>
      <w:r>
        <w:t xml:space="preserve">Supplementary material for </w:t>
      </w:r>
      <w:r w:rsidRPr="001F14DB">
        <w:rPr>
          <w:i/>
          <w:iCs/>
        </w:rPr>
        <w:t>Size-dependent thermal limits in Australian hybrid abalone: implications for productivity shifts with ocean warming</w:t>
      </w:r>
    </w:p>
    <w:p w14:paraId="345AA049" w14:textId="7E91E13F" w:rsidR="00F43FF3" w:rsidRDefault="00F43FF3" w:rsidP="00F43FF3">
      <w:r>
        <w:rPr>
          <w:noProof/>
        </w:rPr>
        <w:drawing>
          <wp:inline distT="0" distB="0" distL="0" distR="0" wp14:anchorId="3D7B1BE2" wp14:editId="351BF8C7">
            <wp:extent cx="5727700" cy="2922270"/>
            <wp:effectExtent l="0" t="0" r="0" b="0"/>
            <wp:docPr id="6" name="Picture 6" descr="A diagram of a diagram of a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diagram of a temperature&#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727700" cy="2922270"/>
                    </a:xfrm>
                    <a:prstGeom prst="rect">
                      <a:avLst/>
                    </a:prstGeom>
                  </pic:spPr>
                </pic:pic>
              </a:graphicData>
            </a:graphic>
          </wp:inline>
        </w:drawing>
      </w:r>
    </w:p>
    <w:p w14:paraId="1ACCC0BC" w14:textId="7BC183CC" w:rsidR="00F43FF3" w:rsidRPr="00F43FF3" w:rsidRDefault="00F43FF3" w:rsidP="00F43FF3">
      <w:pPr>
        <w:spacing w:line="240" w:lineRule="auto"/>
        <w:rPr>
          <w:sz w:val="20"/>
          <w:szCs w:val="20"/>
        </w:rPr>
      </w:pPr>
      <w:r>
        <w:rPr>
          <w:b/>
          <w:sz w:val="20"/>
          <w:szCs w:val="20"/>
        </w:rPr>
        <w:t xml:space="preserve">FIGURE </w:t>
      </w:r>
      <w:r w:rsidR="00D12327">
        <w:rPr>
          <w:b/>
          <w:sz w:val="20"/>
          <w:szCs w:val="20"/>
        </w:rPr>
        <w:t>S</w:t>
      </w:r>
      <w:r>
        <w:rPr>
          <w:b/>
          <w:sz w:val="20"/>
          <w:szCs w:val="20"/>
        </w:rPr>
        <w:t>1</w:t>
      </w:r>
      <w:r w:rsidRPr="00354D9C">
        <w:rPr>
          <w:sz w:val="20"/>
          <w:szCs w:val="20"/>
        </w:rPr>
        <w:t xml:space="preserve"> </w:t>
      </w:r>
      <w:r>
        <w:rPr>
          <w:sz w:val="20"/>
          <w:szCs w:val="20"/>
        </w:rPr>
        <w:t>Schematic drawing of experimental design and process. (a) Animals are separated by farm of origin (provenance</w:t>
      </w:r>
      <w:r w:rsidR="009F6902">
        <w:rPr>
          <w:sz w:val="20"/>
          <w:szCs w:val="20"/>
        </w:rPr>
        <w:t>; JTA and SOM</w:t>
      </w:r>
      <w:r>
        <w:rPr>
          <w:sz w:val="20"/>
          <w:szCs w:val="20"/>
        </w:rPr>
        <w:t xml:space="preserve">) and size class. (b) Animals are placed on to the side of the experimental aquarium (Figure 1), randomly allocated across an even spread of size classes and provenance for each tank. (c) Starting at 14˚C, animals are subjected to two different experiments; acute, where the temperature is increased by 1˚C/hour, and chronic, where the temperature is increased by 1˚C/12 hours. When an animal falls off the side of the tank and is unable to </w:t>
      </w:r>
      <w:proofErr w:type="spellStart"/>
      <w:r>
        <w:rPr>
          <w:sz w:val="20"/>
          <w:szCs w:val="20"/>
        </w:rPr>
        <w:t>self right</w:t>
      </w:r>
      <w:proofErr w:type="spellEnd"/>
      <w:r>
        <w:rPr>
          <w:sz w:val="20"/>
          <w:szCs w:val="20"/>
        </w:rPr>
        <w:t xml:space="preserve">, it has reached </w:t>
      </w:r>
      <w:proofErr w:type="gramStart"/>
      <w:r>
        <w:rPr>
          <w:sz w:val="20"/>
          <w:szCs w:val="20"/>
        </w:rPr>
        <w:t>it’s</w:t>
      </w:r>
      <w:proofErr w:type="gramEnd"/>
      <w:r>
        <w:rPr>
          <w:sz w:val="20"/>
          <w:szCs w:val="20"/>
        </w:rPr>
        <w:t xml:space="preserve"> critical thermal maximum (</w:t>
      </w:r>
      <w:proofErr w:type="spellStart"/>
      <w:r>
        <w:rPr>
          <w:sz w:val="20"/>
          <w:szCs w:val="20"/>
        </w:rPr>
        <w:t>CT</w:t>
      </w:r>
      <w:r>
        <w:rPr>
          <w:sz w:val="20"/>
          <w:szCs w:val="20"/>
          <w:vertAlign w:val="subscript"/>
        </w:rPr>
        <w:t>max</w:t>
      </w:r>
      <w:proofErr w:type="spellEnd"/>
      <w:r>
        <w:rPr>
          <w:sz w:val="20"/>
          <w:szCs w:val="20"/>
        </w:rPr>
        <w:t xml:space="preserve">), where the temperature is recorded. (d) Following an animal reaching it’s </w:t>
      </w:r>
      <w:proofErr w:type="spellStart"/>
      <w:r>
        <w:rPr>
          <w:sz w:val="20"/>
          <w:szCs w:val="20"/>
        </w:rPr>
        <w:t>CT</w:t>
      </w:r>
      <w:r>
        <w:rPr>
          <w:sz w:val="20"/>
          <w:szCs w:val="20"/>
          <w:vertAlign w:val="subscript"/>
        </w:rPr>
        <w:t>max</w:t>
      </w:r>
      <w:proofErr w:type="spellEnd"/>
      <w:r>
        <w:rPr>
          <w:sz w:val="20"/>
          <w:szCs w:val="20"/>
        </w:rPr>
        <w:t xml:space="preserve"> endpoint, sex and allometric data are recorded, and tissues (gonad, digestive gland, foot side wall and foot sole) are excised and fixed in 10% formalin for histological analysis. </w:t>
      </w:r>
    </w:p>
    <w:p w14:paraId="19D38AC8" w14:textId="77777777" w:rsidR="00F43FF3" w:rsidRPr="00F43FF3" w:rsidRDefault="00F43FF3" w:rsidP="00F43FF3">
      <w:pPr>
        <w:spacing w:line="240" w:lineRule="auto"/>
        <w:rPr>
          <w:sz w:val="20"/>
          <w:szCs w:val="20"/>
        </w:rPr>
      </w:pPr>
    </w:p>
    <w:p w14:paraId="63C749FC" w14:textId="77777777" w:rsidR="001F14DB" w:rsidRDefault="001F14DB" w:rsidP="001F14DB">
      <w:pPr>
        <w:spacing w:line="240" w:lineRule="auto"/>
        <w:rPr>
          <w:sz w:val="20"/>
          <w:szCs w:val="20"/>
        </w:rPr>
      </w:pPr>
      <w:r>
        <w:rPr>
          <w:noProof/>
        </w:rPr>
        <w:drawing>
          <wp:inline distT="0" distB="0" distL="0" distR="0" wp14:anchorId="71DE437B" wp14:editId="3B9F4FBF">
            <wp:extent cx="5731510" cy="2798684"/>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2798684"/>
                    </a:xfrm>
                    <a:prstGeom prst="rect">
                      <a:avLst/>
                    </a:prstGeom>
                  </pic:spPr>
                </pic:pic>
              </a:graphicData>
            </a:graphic>
          </wp:inline>
        </w:drawing>
      </w:r>
    </w:p>
    <w:p w14:paraId="6F6E3ABC" w14:textId="77777777" w:rsidR="001F14DB" w:rsidRDefault="001F14DB" w:rsidP="001F14DB">
      <w:pPr>
        <w:spacing w:line="240" w:lineRule="auto"/>
        <w:rPr>
          <w:sz w:val="20"/>
          <w:szCs w:val="20"/>
        </w:rPr>
      </w:pPr>
    </w:p>
    <w:p w14:paraId="72D0379A" w14:textId="33BBFC5D" w:rsidR="001F14DB" w:rsidRPr="00354D9C" w:rsidRDefault="001603A0" w:rsidP="001F14DB">
      <w:pPr>
        <w:spacing w:line="240" w:lineRule="auto"/>
        <w:rPr>
          <w:sz w:val="20"/>
          <w:szCs w:val="20"/>
        </w:rPr>
      </w:pPr>
      <w:r>
        <w:rPr>
          <w:b/>
          <w:sz w:val="20"/>
          <w:szCs w:val="20"/>
        </w:rPr>
        <w:t xml:space="preserve">FIGURE </w:t>
      </w:r>
      <w:r w:rsidR="00D12327">
        <w:rPr>
          <w:b/>
          <w:sz w:val="20"/>
          <w:szCs w:val="20"/>
        </w:rPr>
        <w:t>S</w:t>
      </w:r>
      <w:r w:rsidR="00455025">
        <w:rPr>
          <w:b/>
          <w:sz w:val="20"/>
          <w:szCs w:val="20"/>
        </w:rPr>
        <w:t>2</w:t>
      </w:r>
      <w:r w:rsidR="001F14DB" w:rsidRPr="00354D9C">
        <w:rPr>
          <w:sz w:val="20"/>
          <w:szCs w:val="20"/>
        </w:rPr>
        <w:t xml:space="preserve"> </w:t>
      </w:r>
      <w:r w:rsidR="001F14DB">
        <w:rPr>
          <w:sz w:val="20"/>
          <w:szCs w:val="20"/>
        </w:rPr>
        <w:t>Boxplots comparing d</w:t>
      </w:r>
      <w:r w:rsidR="001F14DB" w:rsidRPr="00354D9C">
        <w:rPr>
          <w:sz w:val="20"/>
          <w:szCs w:val="20"/>
        </w:rPr>
        <w:t>igestive tubule atrophy score</w:t>
      </w:r>
      <w:r w:rsidR="001F14DB">
        <w:rPr>
          <w:sz w:val="20"/>
          <w:szCs w:val="20"/>
        </w:rPr>
        <w:t>s</w:t>
      </w:r>
      <w:r w:rsidR="001F14DB" w:rsidRPr="00354D9C">
        <w:rPr>
          <w:sz w:val="20"/>
          <w:szCs w:val="20"/>
        </w:rPr>
        <w:t xml:space="preserve"> – </w:t>
      </w:r>
      <w:proofErr w:type="spellStart"/>
      <w:r w:rsidR="001F14DB" w:rsidRPr="00354D9C">
        <w:rPr>
          <w:sz w:val="20"/>
          <w:szCs w:val="20"/>
        </w:rPr>
        <w:t>CT</w:t>
      </w:r>
      <w:r w:rsidR="001F14DB" w:rsidRPr="00BF378E">
        <w:rPr>
          <w:sz w:val="20"/>
          <w:szCs w:val="20"/>
          <w:vertAlign w:val="subscript"/>
        </w:rPr>
        <w:t>max</w:t>
      </w:r>
      <w:proofErr w:type="spellEnd"/>
      <w:r w:rsidR="001F14DB" w:rsidRPr="00354D9C">
        <w:rPr>
          <w:sz w:val="20"/>
          <w:szCs w:val="20"/>
        </w:rPr>
        <w:t xml:space="preserve"> x Provenance. Index score 0 = nil – 5% atrophy, </w:t>
      </w:r>
      <w:r w:rsidR="001F14DB">
        <w:rPr>
          <w:sz w:val="20"/>
          <w:szCs w:val="20"/>
        </w:rPr>
        <w:t xml:space="preserve">index score </w:t>
      </w:r>
      <w:r w:rsidR="001F14DB" w:rsidRPr="00354D9C">
        <w:rPr>
          <w:sz w:val="20"/>
          <w:szCs w:val="20"/>
        </w:rPr>
        <w:t xml:space="preserve">4 = 95%- 100% atrophy. </w:t>
      </w:r>
      <w:r w:rsidR="001F14DB">
        <w:rPr>
          <w:sz w:val="20"/>
          <w:szCs w:val="20"/>
        </w:rPr>
        <w:t xml:space="preserve">Provenance - </w:t>
      </w:r>
      <w:r w:rsidR="001F14DB" w:rsidRPr="00354D9C">
        <w:rPr>
          <w:sz w:val="20"/>
          <w:szCs w:val="20"/>
        </w:rPr>
        <w:t xml:space="preserve">Jade Tiger Abalone (JTA), Southern Ocean Mariculture (SOM). </w:t>
      </w:r>
      <w:r w:rsidR="001F14DB" w:rsidRPr="000554D8">
        <w:rPr>
          <w:sz w:val="20"/>
          <w:szCs w:val="20"/>
        </w:rPr>
        <w:t xml:space="preserve">Upper case </w:t>
      </w:r>
      <w:r w:rsidR="001F14DB">
        <w:rPr>
          <w:sz w:val="20"/>
          <w:szCs w:val="20"/>
        </w:rPr>
        <w:t>l</w:t>
      </w:r>
      <w:r w:rsidR="001F14DB" w:rsidRPr="00354D9C">
        <w:rPr>
          <w:sz w:val="20"/>
          <w:szCs w:val="20"/>
        </w:rPr>
        <w:t xml:space="preserve">etters indicate statistical differences between </w:t>
      </w:r>
      <w:r w:rsidR="001F14DB">
        <w:rPr>
          <w:sz w:val="20"/>
          <w:szCs w:val="20"/>
        </w:rPr>
        <w:t xml:space="preserve">digestive gland atrophy score and </w:t>
      </w:r>
      <w:proofErr w:type="spellStart"/>
      <w:r w:rsidR="001F14DB">
        <w:rPr>
          <w:sz w:val="20"/>
          <w:szCs w:val="20"/>
        </w:rPr>
        <w:lastRenderedPageBreak/>
        <w:t>CT</w:t>
      </w:r>
      <w:r w:rsidR="001F14DB" w:rsidRPr="00B36BC7">
        <w:rPr>
          <w:sz w:val="20"/>
          <w:szCs w:val="20"/>
          <w:vertAlign w:val="subscript"/>
        </w:rPr>
        <w:t>max</w:t>
      </w:r>
      <w:proofErr w:type="spellEnd"/>
      <w:r w:rsidR="001F14DB">
        <w:rPr>
          <w:sz w:val="20"/>
          <w:szCs w:val="20"/>
        </w:rPr>
        <w:t xml:space="preserve"> in </w:t>
      </w:r>
      <w:r w:rsidR="001F14DB" w:rsidRPr="00354D9C">
        <w:rPr>
          <w:sz w:val="20"/>
          <w:szCs w:val="20"/>
        </w:rPr>
        <w:t xml:space="preserve">JTA </w:t>
      </w:r>
      <w:r w:rsidR="001F14DB">
        <w:rPr>
          <w:sz w:val="20"/>
          <w:szCs w:val="20"/>
        </w:rPr>
        <w:t xml:space="preserve">abalone </w:t>
      </w:r>
      <w:r w:rsidR="001F14DB" w:rsidRPr="00354D9C">
        <w:rPr>
          <w:sz w:val="20"/>
          <w:szCs w:val="20"/>
        </w:rPr>
        <w:t xml:space="preserve">(p=0.0008), lower case </w:t>
      </w:r>
      <w:r w:rsidR="001F14DB">
        <w:rPr>
          <w:sz w:val="20"/>
          <w:szCs w:val="20"/>
        </w:rPr>
        <w:t xml:space="preserve">letters indicate statistical differences </w:t>
      </w:r>
      <w:r w:rsidR="001F14DB" w:rsidRPr="00354D9C">
        <w:rPr>
          <w:sz w:val="20"/>
          <w:szCs w:val="20"/>
        </w:rPr>
        <w:t xml:space="preserve">between </w:t>
      </w:r>
      <w:r w:rsidR="001F14DB">
        <w:rPr>
          <w:sz w:val="20"/>
          <w:szCs w:val="20"/>
        </w:rPr>
        <w:t xml:space="preserve">digestive gland atrophy score and </w:t>
      </w:r>
      <w:proofErr w:type="spellStart"/>
      <w:r w:rsidR="001F14DB">
        <w:rPr>
          <w:sz w:val="20"/>
          <w:szCs w:val="20"/>
        </w:rPr>
        <w:t>CT</w:t>
      </w:r>
      <w:r w:rsidR="001F14DB" w:rsidRPr="00B36BC7">
        <w:rPr>
          <w:sz w:val="20"/>
          <w:szCs w:val="20"/>
          <w:vertAlign w:val="subscript"/>
        </w:rPr>
        <w:t>max</w:t>
      </w:r>
      <w:proofErr w:type="spellEnd"/>
      <w:r w:rsidR="001F14DB">
        <w:rPr>
          <w:sz w:val="20"/>
          <w:szCs w:val="20"/>
        </w:rPr>
        <w:t xml:space="preserve"> in </w:t>
      </w:r>
      <w:r w:rsidR="001F14DB" w:rsidRPr="00354D9C">
        <w:rPr>
          <w:sz w:val="20"/>
          <w:szCs w:val="20"/>
        </w:rPr>
        <w:t xml:space="preserve">SOM </w:t>
      </w:r>
      <w:r w:rsidR="001F14DB">
        <w:rPr>
          <w:sz w:val="20"/>
          <w:szCs w:val="20"/>
        </w:rPr>
        <w:t xml:space="preserve">abalone </w:t>
      </w:r>
      <w:r w:rsidR="001F14DB" w:rsidRPr="00354D9C">
        <w:rPr>
          <w:sz w:val="20"/>
          <w:szCs w:val="20"/>
        </w:rPr>
        <w:t>(p&lt;0.0001). Asterisk indicates a single data point.</w:t>
      </w:r>
    </w:p>
    <w:p w14:paraId="38F21225" w14:textId="77777777" w:rsidR="001F14DB" w:rsidRDefault="001F14DB" w:rsidP="001F14DB">
      <w:pPr>
        <w:spacing w:line="240" w:lineRule="auto"/>
        <w:rPr>
          <w:sz w:val="20"/>
          <w:szCs w:val="20"/>
        </w:rPr>
      </w:pPr>
    </w:p>
    <w:p w14:paraId="39AEF161" w14:textId="77777777" w:rsidR="001F14DB" w:rsidRDefault="001F14DB" w:rsidP="001F14DB">
      <w:pPr>
        <w:spacing w:line="240" w:lineRule="auto"/>
        <w:rPr>
          <w:sz w:val="20"/>
          <w:szCs w:val="20"/>
        </w:rPr>
      </w:pPr>
    </w:p>
    <w:p w14:paraId="076EEB36" w14:textId="77777777" w:rsidR="001F14DB" w:rsidRDefault="001F14DB" w:rsidP="001F14DB">
      <w:pPr>
        <w:spacing w:line="240" w:lineRule="auto"/>
        <w:rPr>
          <w:sz w:val="20"/>
          <w:szCs w:val="20"/>
        </w:rPr>
      </w:pPr>
      <w:r>
        <w:rPr>
          <w:noProof/>
          <w:sz w:val="20"/>
          <w:szCs w:val="20"/>
        </w:rPr>
        <w:drawing>
          <wp:inline distT="0" distB="0" distL="0" distR="0" wp14:anchorId="1C6BB831" wp14:editId="116E75DD">
            <wp:extent cx="5729008" cy="295592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29008" cy="2955925"/>
                    </a:xfrm>
                    <a:prstGeom prst="rect">
                      <a:avLst/>
                    </a:prstGeom>
                  </pic:spPr>
                </pic:pic>
              </a:graphicData>
            </a:graphic>
          </wp:inline>
        </w:drawing>
      </w:r>
    </w:p>
    <w:p w14:paraId="45422958" w14:textId="6D1086EB" w:rsidR="001F14DB" w:rsidRPr="00B36BC7" w:rsidRDefault="001603A0" w:rsidP="001F14DB">
      <w:pPr>
        <w:spacing w:after="160" w:line="259" w:lineRule="auto"/>
        <w:rPr>
          <w:sz w:val="20"/>
          <w:lang w:eastAsia="en-GB"/>
        </w:rPr>
      </w:pPr>
      <w:r>
        <w:rPr>
          <w:b/>
          <w:sz w:val="20"/>
          <w:lang w:eastAsia="en-GB"/>
        </w:rPr>
        <w:t xml:space="preserve">FIGURE </w:t>
      </w:r>
      <w:r w:rsidR="00D12327">
        <w:rPr>
          <w:b/>
          <w:sz w:val="20"/>
          <w:lang w:eastAsia="en-GB"/>
        </w:rPr>
        <w:t>S</w:t>
      </w:r>
      <w:r w:rsidR="00455025">
        <w:rPr>
          <w:b/>
          <w:sz w:val="20"/>
          <w:lang w:eastAsia="en-GB"/>
        </w:rPr>
        <w:t>3</w:t>
      </w:r>
      <w:r w:rsidR="001F14DB" w:rsidRPr="00B36BC7">
        <w:rPr>
          <w:sz w:val="20"/>
          <w:lang w:eastAsia="en-GB"/>
        </w:rPr>
        <w:t xml:space="preserve"> </w:t>
      </w:r>
      <w:proofErr w:type="spellStart"/>
      <w:r w:rsidR="001F14DB" w:rsidRPr="00B36BC7">
        <w:rPr>
          <w:sz w:val="20"/>
          <w:lang w:eastAsia="en-GB"/>
        </w:rPr>
        <w:t>Probit</w:t>
      </w:r>
      <w:proofErr w:type="spellEnd"/>
      <w:r w:rsidR="001F14DB" w:rsidRPr="00B36BC7">
        <w:rPr>
          <w:sz w:val="20"/>
          <w:lang w:eastAsia="en-GB"/>
        </w:rPr>
        <w:t xml:space="preserve"> analysis using Logistic (Sigmoidal) curve to identify the predicted Effect Critical Temperature maximum (</w:t>
      </w:r>
      <w:proofErr w:type="spellStart"/>
      <w:r w:rsidR="001F14DB" w:rsidRPr="00B36BC7">
        <w:rPr>
          <w:sz w:val="20"/>
          <w:lang w:eastAsia="en-GB"/>
        </w:rPr>
        <w:t>ECT</w:t>
      </w:r>
      <w:r w:rsidR="001F14DB" w:rsidRPr="00B36BC7">
        <w:rPr>
          <w:sz w:val="20"/>
          <w:vertAlign w:val="subscript"/>
          <w:lang w:eastAsia="en-GB"/>
        </w:rPr>
        <w:t>max</w:t>
      </w:r>
      <w:proofErr w:type="spellEnd"/>
      <w:r w:rsidR="001F14DB" w:rsidRPr="00B36BC7">
        <w:rPr>
          <w:sz w:val="20"/>
          <w:lang w:eastAsia="en-GB"/>
        </w:rPr>
        <w:t xml:space="preserve">) estimate indicating a predicted % reduction in digestive tubule wall thickness at </w:t>
      </w:r>
      <w:proofErr w:type="spellStart"/>
      <w:r w:rsidR="001F14DB" w:rsidRPr="00B36BC7">
        <w:rPr>
          <w:sz w:val="20"/>
          <w:lang w:eastAsia="en-GB"/>
        </w:rPr>
        <w:t>CT</w:t>
      </w:r>
      <w:r w:rsidR="001F14DB" w:rsidRPr="00B36BC7">
        <w:rPr>
          <w:sz w:val="20"/>
          <w:vertAlign w:val="subscript"/>
          <w:lang w:eastAsia="en-GB"/>
        </w:rPr>
        <w:t>max</w:t>
      </w:r>
      <w:proofErr w:type="spellEnd"/>
      <w:r w:rsidR="001F14DB" w:rsidRPr="00B36BC7">
        <w:rPr>
          <w:sz w:val="20"/>
          <w:lang w:eastAsia="en-GB"/>
        </w:rPr>
        <w:t xml:space="preserve"> degree Celsius (</w:t>
      </w:r>
      <w:proofErr w:type="gramStart"/>
      <w:r w:rsidR="001F14DB" w:rsidRPr="00B36BC7">
        <w:rPr>
          <w:sz w:val="20"/>
          <w:lang w:eastAsia="en-GB"/>
        </w:rPr>
        <w:t>e.g.</w:t>
      </w:r>
      <w:proofErr w:type="gramEnd"/>
      <w:r w:rsidR="001F14DB" w:rsidRPr="00B36BC7">
        <w:rPr>
          <w:sz w:val="20"/>
          <w:lang w:eastAsia="en-GB"/>
        </w:rPr>
        <w:t xml:space="preserve"> </w:t>
      </w:r>
      <w:proofErr w:type="spellStart"/>
      <w:r w:rsidR="001F14DB" w:rsidRPr="00B36BC7">
        <w:rPr>
          <w:sz w:val="20"/>
          <w:lang w:eastAsia="en-GB"/>
        </w:rPr>
        <w:t>ECT</w:t>
      </w:r>
      <w:r w:rsidR="001F14DB" w:rsidRPr="00BF378E">
        <w:rPr>
          <w:sz w:val="20"/>
          <w:vertAlign w:val="subscript"/>
          <w:lang w:eastAsia="en-GB"/>
        </w:rPr>
        <w:t>max</w:t>
      </w:r>
      <w:proofErr w:type="spellEnd"/>
      <w:r w:rsidR="001F14DB" w:rsidRPr="00B36BC7">
        <w:rPr>
          <w:sz w:val="20"/>
          <w:lang w:eastAsia="en-GB"/>
        </w:rPr>
        <w:t xml:space="preserve"> 50 indicates a 50% reduction in tubule wall thickness). Decrease in digestive tubule thickness indicates relative decrease in the tubule digestive cell volume for nutrient uptake and metabolism.</w:t>
      </w:r>
    </w:p>
    <w:p w14:paraId="1638EDB0" w14:textId="77777777" w:rsidR="001F14DB" w:rsidRDefault="001F14DB" w:rsidP="001F14DB">
      <w:pPr>
        <w:spacing w:after="160" w:line="259" w:lineRule="auto"/>
        <w:rPr>
          <w:lang w:eastAsia="en-GB"/>
        </w:rPr>
      </w:pPr>
    </w:p>
    <w:p w14:paraId="16FFEA9B" w14:textId="77777777" w:rsidR="001F14DB" w:rsidRDefault="001F14DB" w:rsidP="001F14DB">
      <w:pPr>
        <w:spacing w:line="240" w:lineRule="auto"/>
        <w:rPr>
          <w:sz w:val="20"/>
          <w:szCs w:val="20"/>
        </w:rPr>
      </w:pPr>
    </w:p>
    <w:p w14:paraId="72D7F028" w14:textId="77777777" w:rsidR="001F14DB" w:rsidRDefault="001F14DB" w:rsidP="001F14DB">
      <w:r w:rsidRPr="00645C78">
        <w:rPr>
          <w:noProof/>
        </w:rPr>
        <w:lastRenderedPageBreak/>
        <w:drawing>
          <wp:inline distT="0" distB="0" distL="0" distR="0" wp14:anchorId="0CE73815" wp14:editId="1D5F39F3">
            <wp:extent cx="4544704" cy="7121727"/>
            <wp:effectExtent l="0" t="0" r="8255" b="3175"/>
            <wp:docPr id="3" name="Picture 3" descr="G:\Abalone exp 2021\DG examples for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balone exp 2021\DG examples for pap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6324" cy="7139937"/>
                    </a:xfrm>
                    <a:prstGeom prst="rect">
                      <a:avLst/>
                    </a:prstGeom>
                    <a:noFill/>
                    <a:ln>
                      <a:noFill/>
                    </a:ln>
                  </pic:spPr>
                </pic:pic>
              </a:graphicData>
            </a:graphic>
          </wp:inline>
        </w:drawing>
      </w:r>
    </w:p>
    <w:p w14:paraId="6125230B" w14:textId="703FA699" w:rsidR="001F14DB" w:rsidRPr="00B36BC7" w:rsidRDefault="001603A0" w:rsidP="001F14DB">
      <w:pPr>
        <w:spacing w:line="240" w:lineRule="auto"/>
        <w:rPr>
          <w:sz w:val="20"/>
          <w:lang w:eastAsia="en-GB"/>
        </w:rPr>
      </w:pPr>
      <w:r>
        <w:rPr>
          <w:b/>
          <w:sz w:val="20"/>
        </w:rPr>
        <w:t xml:space="preserve">FIGURE </w:t>
      </w:r>
      <w:r w:rsidR="00D12327">
        <w:rPr>
          <w:b/>
          <w:sz w:val="20"/>
        </w:rPr>
        <w:t>S</w:t>
      </w:r>
      <w:r w:rsidR="00455025">
        <w:rPr>
          <w:b/>
          <w:sz w:val="20"/>
        </w:rPr>
        <w:t>4</w:t>
      </w:r>
      <w:r w:rsidR="001F14DB" w:rsidRPr="00B36BC7">
        <w:rPr>
          <w:sz w:val="20"/>
        </w:rPr>
        <w:t xml:space="preserve"> Comparison of tubule atrophy categories in digestive glands of abalone. Photomicrograph and corresponding stencil images depicting the central lumen area (shaded) and digestive cell tubule wall  perimeter representative of: A. normal digestive tubule wall thickness with the central lumen comprising 0 % – 5% of the digestive tubule; B. tubule </w:t>
      </w:r>
      <w:r w:rsidR="001F14DB" w:rsidRPr="00B36BC7">
        <w:rPr>
          <w:sz w:val="20"/>
          <w:lang w:eastAsia="en-GB"/>
        </w:rPr>
        <w:t xml:space="preserve">wall thickness significantly less than normal, but greater than one-half normal thickness with central lumen area representing up to 25% digestive wall atrophy; C. tubule wall thickness averaging approximately one-half normal thickness with central lumen representing up to 50% digestive wall atrophy. Scale bar represents </w:t>
      </w:r>
      <w:r w:rsidR="001F14DB" w:rsidRPr="00B36BC7">
        <w:rPr>
          <w:rFonts w:cstheme="minorHAnsi"/>
          <w:sz w:val="20"/>
          <w:lang w:eastAsia="en-GB"/>
        </w:rPr>
        <w:t>µ</w:t>
      </w:r>
      <w:r w:rsidR="001F14DB" w:rsidRPr="00B36BC7">
        <w:rPr>
          <w:sz w:val="20"/>
          <w:lang w:eastAsia="en-GB"/>
        </w:rPr>
        <w:t>100 m.</w:t>
      </w:r>
    </w:p>
    <w:p w14:paraId="68BE4837" w14:textId="77777777" w:rsidR="001F14DB" w:rsidRDefault="001F14DB" w:rsidP="001F14DB">
      <w:pPr>
        <w:spacing w:line="240" w:lineRule="auto"/>
        <w:rPr>
          <w:sz w:val="20"/>
          <w:szCs w:val="20"/>
        </w:rPr>
      </w:pPr>
    </w:p>
    <w:p w14:paraId="66E56369" w14:textId="77777777" w:rsidR="001F14DB" w:rsidRDefault="001F14DB" w:rsidP="001F14DB">
      <w:r>
        <w:lastRenderedPageBreak/>
        <w:t xml:space="preserve">                           </w:t>
      </w:r>
      <w:r>
        <w:rPr>
          <w:noProof/>
        </w:rPr>
        <w:drawing>
          <wp:inline distT="0" distB="0" distL="0" distR="0" wp14:anchorId="693EDB38" wp14:editId="2B6CD92C">
            <wp:extent cx="3358896" cy="6851904"/>
            <wp:effectExtent l="0" t="0" r="0" b="6350"/>
            <wp:docPr id="47" name="Picture 4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map&#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358896" cy="6851904"/>
                    </a:xfrm>
                    <a:prstGeom prst="rect">
                      <a:avLst/>
                    </a:prstGeom>
                  </pic:spPr>
                </pic:pic>
              </a:graphicData>
            </a:graphic>
          </wp:inline>
        </w:drawing>
      </w:r>
    </w:p>
    <w:p w14:paraId="09238F89" w14:textId="44CB0CE7" w:rsidR="001F14DB" w:rsidRPr="00B36BC7" w:rsidRDefault="001603A0" w:rsidP="001F14DB">
      <w:pPr>
        <w:spacing w:line="240" w:lineRule="auto"/>
        <w:rPr>
          <w:sz w:val="20"/>
          <w:lang w:eastAsia="en-GB"/>
        </w:rPr>
      </w:pPr>
      <w:r>
        <w:rPr>
          <w:b/>
          <w:sz w:val="20"/>
          <w:lang w:eastAsia="en-GB"/>
        </w:rPr>
        <w:t xml:space="preserve">FIGURE </w:t>
      </w:r>
      <w:r w:rsidR="00D12327">
        <w:rPr>
          <w:b/>
          <w:sz w:val="20"/>
          <w:lang w:eastAsia="en-GB"/>
        </w:rPr>
        <w:t>S</w:t>
      </w:r>
      <w:r w:rsidR="00455025">
        <w:rPr>
          <w:b/>
          <w:sz w:val="20"/>
        </w:rPr>
        <w:t>5</w:t>
      </w:r>
      <w:r w:rsidR="001F14DB" w:rsidRPr="00B36BC7">
        <w:rPr>
          <w:sz w:val="20"/>
        </w:rPr>
        <w:t xml:space="preserve"> Photomicrographs of pedal foot section of abalone representative of: A. pedal sole and pedal side wall section of Control treatment at 14</w:t>
      </w:r>
      <w:r w:rsidR="001F14DB" w:rsidRPr="00B36BC7">
        <w:rPr>
          <w:rFonts w:cstheme="minorHAnsi"/>
          <w:sz w:val="20"/>
        </w:rPr>
        <w:t>⁰</w:t>
      </w:r>
      <w:r w:rsidR="001F14DB" w:rsidRPr="00B36BC7">
        <w:rPr>
          <w:sz w:val="20"/>
        </w:rPr>
        <w:t xml:space="preserve">C, B. pedal sole section of </w:t>
      </w:r>
      <w:proofErr w:type="spellStart"/>
      <w:r w:rsidR="001F14DB" w:rsidRPr="00B36BC7">
        <w:rPr>
          <w:sz w:val="20"/>
        </w:rPr>
        <w:t>CTmax</w:t>
      </w:r>
      <w:proofErr w:type="spellEnd"/>
      <w:r w:rsidR="001F14DB" w:rsidRPr="00B36BC7">
        <w:rPr>
          <w:sz w:val="20"/>
        </w:rPr>
        <w:t xml:space="preserve"> at 21</w:t>
      </w:r>
      <w:r w:rsidR="001F14DB" w:rsidRPr="00B36BC7">
        <w:rPr>
          <w:rFonts w:cstheme="minorHAnsi"/>
          <w:sz w:val="20"/>
        </w:rPr>
        <w:t>⁰</w:t>
      </w:r>
      <w:r w:rsidR="001F14DB" w:rsidRPr="00B36BC7">
        <w:rPr>
          <w:sz w:val="20"/>
        </w:rPr>
        <w:t>C</w:t>
      </w:r>
      <w:r w:rsidR="001F14DB" w:rsidRPr="00B36BC7">
        <w:rPr>
          <w:sz w:val="20"/>
          <w:lang w:eastAsia="en-GB"/>
        </w:rPr>
        <w:t xml:space="preserve">, and C. </w:t>
      </w:r>
      <w:r w:rsidR="001F14DB" w:rsidRPr="00B36BC7">
        <w:rPr>
          <w:sz w:val="20"/>
        </w:rPr>
        <w:t xml:space="preserve">pedal sole section of </w:t>
      </w:r>
      <w:proofErr w:type="spellStart"/>
      <w:r w:rsidR="001F14DB" w:rsidRPr="00B36BC7">
        <w:rPr>
          <w:sz w:val="20"/>
        </w:rPr>
        <w:t>CTmax</w:t>
      </w:r>
      <w:proofErr w:type="spellEnd"/>
      <w:r w:rsidR="001F14DB" w:rsidRPr="00B36BC7">
        <w:rPr>
          <w:sz w:val="20"/>
        </w:rPr>
        <w:t xml:space="preserve"> at 28</w:t>
      </w:r>
      <w:r w:rsidR="001F14DB" w:rsidRPr="00B36BC7">
        <w:rPr>
          <w:rFonts w:cstheme="minorHAnsi"/>
          <w:sz w:val="20"/>
        </w:rPr>
        <w:t>⁰</w:t>
      </w:r>
      <w:r w:rsidR="001F14DB" w:rsidRPr="00B36BC7">
        <w:rPr>
          <w:sz w:val="20"/>
        </w:rPr>
        <w:t>C</w:t>
      </w:r>
      <w:r w:rsidR="001F14DB" w:rsidRPr="00B36BC7">
        <w:rPr>
          <w:sz w:val="20"/>
          <w:lang w:eastAsia="en-GB"/>
        </w:rPr>
        <w:t>, all showing intact epithelial layer (ep) comprising ciliated epithelial mucous cells (mc), mucus secretion (</w:t>
      </w:r>
      <w:proofErr w:type="spellStart"/>
      <w:r w:rsidR="001F14DB" w:rsidRPr="00B36BC7">
        <w:rPr>
          <w:sz w:val="20"/>
          <w:lang w:eastAsia="en-GB"/>
        </w:rPr>
        <w:t>ms</w:t>
      </w:r>
      <w:proofErr w:type="spellEnd"/>
      <w:r w:rsidR="001F14DB" w:rsidRPr="00B36BC7">
        <w:rPr>
          <w:sz w:val="20"/>
          <w:lang w:eastAsia="en-GB"/>
        </w:rPr>
        <w:t>), pedal musculature comprising muscle fibre bundles (</w:t>
      </w:r>
      <w:proofErr w:type="spellStart"/>
      <w:r w:rsidR="001F14DB" w:rsidRPr="00B36BC7">
        <w:rPr>
          <w:sz w:val="20"/>
          <w:lang w:eastAsia="en-GB"/>
        </w:rPr>
        <w:t>mfb</w:t>
      </w:r>
      <w:proofErr w:type="spellEnd"/>
      <w:r w:rsidR="001F14DB" w:rsidRPr="00B36BC7">
        <w:rPr>
          <w:sz w:val="20"/>
          <w:lang w:eastAsia="en-GB"/>
        </w:rPr>
        <w:t xml:space="preserve">) and </w:t>
      </w:r>
      <w:proofErr w:type="spellStart"/>
      <w:r w:rsidR="001F14DB" w:rsidRPr="00B36BC7">
        <w:rPr>
          <w:sz w:val="20"/>
          <w:lang w:eastAsia="en-GB"/>
        </w:rPr>
        <w:t>haemocoelic</w:t>
      </w:r>
      <w:proofErr w:type="spellEnd"/>
      <w:r w:rsidR="001F14DB" w:rsidRPr="00B36BC7">
        <w:rPr>
          <w:sz w:val="20"/>
          <w:lang w:eastAsia="en-GB"/>
        </w:rPr>
        <w:t xml:space="preserve"> sinuses (</w:t>
      </w:r>
      <w:proofErr w:type="spellStart"/>
      <w:r w:rsidR="001F14DB" w:rsidRPr="00B36BC7">
        <w:rPr>
          <w:sz w:val="20"/>
          <w:lang w:eastAsia="en-GB"/>
        </w:rPr>
        <w:t>hs</w:t>
      </w:r>
      <w:proofErr w:type="spellEnd"/>
      <w:r w:rsidR="001F14DB" w:rsidRPr="00B36BC7">
        <w:rPr>
          <w:sz w:val="20"/>
          <w:lang w:eastAsia="en-GB"/>
        </w:rPr>
        <w:t>) providing contractile and hydrostatic support for pedal contraction.</w:t>
      </w:r>
    </w:p>
    <w:p w14:paraId="34462CD3" w14:textId="77777777" w:rsidR="001F14DB" w:rsidRDefault="001F14DB" w:rsidP="001F14DB">
      <w:pPr>
        <w:spacing w:line="240" w:lineRule="auto"/>
        <w:rPr>
          <w:sz w:val="20"/>
          <w:szCs w:val="20"/>
        </w:rPr>
      </w:pPr>
    </w:p>
    <w:p w14:paraId="03325B05" w14:textId="77777777" w:rsidR="001F14DB" w:rsidRDefault="001F14DB" w:rsidP="001F14DB">
      <w:pPr>
        <w:spacing w:line="240" w:lineRule="auto"/>
        <w:rPr>
          <w:sz w:val="20"/>
          <w:szCs w:val="20"/>
        </w:rPr>
      </w:pPr>
    </w:p>
    <w:p w14:paraId="3DDA836B" w14:textId="77777777" w:rsidR="001F14DB" w:rsidRDefault="001F14DB" w:rsidP="001F14DB">
      <w:r>
        <w:rPr>
          <w:noProof/>
        </w:rPr>
        <w:lastRenderedPageBreak/>
        <w:drawing>
          <wp:inline distT="0" distB="0" distL="0" distR="0" wp14:anchorId="09D4410F" wp14:editId="2ED08849">
            <wp:extent cx="5731510" cy="5100955"/>
            <wp:effectExtent l="0" t="0" r="2540" b="4445"/>
            <wp:docPr id="4" name="Picture 4"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31510" cy="5100955"/>
                    </a:xfrm>
                    <a:prstGeom prst="rect">
                      <a:avLst/>
                    </a:prstGeom>
                  </pic:spPr>
                </pic:pic>
              </a:graphicData>
            </a:graphic>
          </wp:inline>
        </w:drawing>
      </w:r>
    </w:p>
    <w:p w14:paraId="02F066FC" w14:textId="67829DD3" w:rsidR="001F14DB" w:rsidRDefault="001603A0" w:rsidP="001F14DB">
      <w:pPr>
        <w:spacing w:line="240" w:lineRule="auto"/>
        <w:rPr>
          <w:sz w:val="20"/>
          <w:lang w:eastAsia="en-GB"/>
        </w:rPr>
      </w:pPr>
      <w:r>
        <w:rPr>
          <w:b/>
          <w:sz w:val="20"/>
          <w:lang w:eastAsia="en-GB"/>
        </w:rPr>
        <w:t xml:space="preserve">FIGURE </w:t>
      </w:r>
      <w:r w:rsidR="00D12327">
        <w:rPr>
          <w:b/>
          <w:sz w:val="20"/>
          <w:lang w:eastAsia="en-GB"/>
        </w:rPr>
        <w:t>S</w:t>
      </w:r>
      <w:r w:rsidR="00455025">
        <w:rPr>
          <w:b/>
          <w:sz w:val="20"/>
        </w:rPr>
        <w:t>6</w:t>
      </w:r>
      <w:r w:rsidR="001F14DB" w:rsidRPr="00B36BC7">
        <w:rPr>
          <w:sz w:val="20"/>
        </w:rPr>
        <w:t xml:space="preserve"> Photomicrographs of selected representative abalone gonad developmental stages of: A. ovarian immature phase predominantly comprising primary oocytes; B. late maturation to mature phase comprising densely packed elongate and hexagonal </w:t>
      </w:r>
      <w:proofErr w:type="spellStart"/>
      <w:r w:rsidR="001F14DB" w:rsidRPr="00B36BC7">
        <w:rPr>
          <w:sz w:val="20"/>
          <w:lang w:eastAsia="en-GB"/>
        </w:rPr>
        <w:t>vitellogenic</w:t>
      </w:r>
      <w:proofErr w:type="spellEnd"/>
      <w:r w:rsidR="001F14DB" w:rsidRPr="00B36BC7">
        <w:rPr>
          <w:sz w:val="20"/>
          <w:lang w:eastAsia="en-GB"/>
        </w:rPr>
        <w:t xml:space="preserve"> oocytes with thick gelatinous coating; C. spent and degenerative phase comprising degenerating large non-nucleated, irregular shaped oocytes; D. testis immature to early active phase predominantly comprising spermatogonia and strongly basophilic spermatocytes; E. mature ripe phase comprising densely packed spermatozoa; F. spent phase comprising a marked decrease in density of residual spermatozoa.    </w:t>
      </w:r>
    </w:p>
    <w:p w14:paraId="1CAB8F9E" w14:textId="7CB172BE" w:rsidR="00F43FF3" w:rsidRDefault="00F43FF3" w:rsidP="001F14DB">
      <w:pPr>
        <w:spacing w:line="240" w:lineRule="auto"/>
        <w:rPr>
          <w:sz w:val="20"/>
          <w:lang w:eastAsia="en-GB"/>
        </w:rPr>
      </w:pPr>
    </w:p>
    <w:p w14:paraId="3E8BD4C4" w14:textId="7B6500FC" w:rsidR="00F43FF3" w:rsidRDefault="00F43FF3" w:rsidP="001F14DB">
      <w:pPr>
        <w:spacing w:line="240" w:lineRule="auto"/>
        <w:rPr>
          <w:sz w:val="20"/>
          <w:lang w:eastAsia="en-GB"/>
        </w:rPr>
      </w:pPr>
      <w:r>
        <w:rPr>
          <w:noProof/>
          <w:sz w:val="20"/>
          <w:lang w:eastAsia="en-GB"/>
        </w:rPr>
        <w:lastRenderedPageBreak/>
        <w:drawing>
          <wp:inline distT="0" distB="0" distL="0" distR="0" wp14:anchorId="6CE3B92F" wp14:editId="6028FD9A">
            <wp:extent cx="5727700" cy="3580130"/>
            <wp:effectExtent l="0" t="0" r="0" b="1270"/>
            <wp:docPr id="5" name="Picture 5" descr="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with red and blue dot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27700" cy="3580130"/>
                    </a:xfrm>
                    <a:prstGeom prst="rect">
                      <a:avLst/>
                    </a:prstGeom>
                  </pic:spPr>
                </pic:pic>
              </a:graphicData>
            </a:graphic>
          </wp:inline>
        </w:drawing>
      </w:r>
    </w:p>
    <w:p w14:paraId="459D8311" w14:textId="6FDD3346" w:rsidR="00F43FF3" w:rsidRDefault="00F43FF3" w:rsidP="00F43FF3">
      <w:pPr>
        <w:spacing w:line="240" w:lineRule="auto"/>
        <w:rPr>
          <w:sz w:val="20"/>
          <w:lang w:eastAsia="en-GB"/>
        </w:rPr>
      </w:pPr>
      <w:r>
        <w:rPr>
          <w:b/>
          <w:sz w:val="20"/>
          <w:lang w:eastAsia="en-GB"/>
        </w:rPr>
        <w:t xml:space="preserve">FIGURE </w:t>
      </w:r>
      <w:r w:rsidR="00D12327">
        <w:rPr>
          <w:b/>
          <w:sz w:val="20"/>
          <w:lang w:eastAsia="en-GB"/>
        </w:rPr>
        <w:t>S</w:t>
      </w:r>
      <w:r>
        <w:rPr>
          <w:b/>
          <w:sz w:val="20"/>
        </w:rPr>
        <w:t>7</w:t>
      </w:r>
      <w:r w:rsidRPr="00B36BC7">
        <w:rPr>
          <w:sz w:val="20"/>
        </w:rPr>
        <w:t xml:space="preserve"> </w:t>
      </w:r>
      <w:r>
        <w:rPr>
          <w:sz w:val="20"/>
        </w:rPr>
        <w:t>Scatterplot demonstrating the relationship between animal body mass and gonadal development. Experimental systems (System 1 = tanks 1 and 2, System 2 =</w:t>
      </w:r>
      <w:r>
        <w:rPr>
          <w:sz w:val="20"/>
          <w:lang w:eastAsia="en-GB"/>
        </w:rPr>
        <w:t xml:space="preserve"> tanks 3 and 4) are shown due to significant effect of system as a random factor in mixed model ANOVA (</w:t>
      </w:r>
      <w:r>
        <w:rPr>
          <w:i/>
          <w:iCs/>
          <w:sz w:val="20"/>
          <w:lang w:eastAsia="en-GB"/>
        </w:rPr>
        <w:t>P</w:t>
      </w:r>
      <w:r>
        <w:rPr>
          <w:sz w:val="20"/>
          <w:lang w:eastAsia="en-GB"/>
        </w:rPr>
        <w:t xml:space="preserve"> &lt; 0.001; Table 5).</w:t>
      </w:r>
    </w:p>
    <w:p w14:paraId="09317F1B" w14:textId="4AE5EC79" w:rsidR="00D116E0" w:rsidRDefault="00D116E0" w:rsidP="00F43FF3">
      <w:pPr>
        <w:spacing w:line="240" w:lineRule="auto"/>
        <w:rPr>
          <w:sz w:val="20"/>
          <w:lang w:eastAsia="en-GB"/>
        </w:rPr>
      </w:pPr>
    </w:p>
    <w:p w14:paraId="71ADCA9A" w14:textId="14294AAE" w:rsidR="00D116E0" w:rsidRPr="00F43FF3" w:rsidRDefault="00D116E0" w:rsidP="00F43FF3">
      <w:pPr>
        <w:spacing w:line="240" w:lineRule="auto"/>
        <w:rPr>
          <w:sz w:val="20"/>
          <w:lang w:eastAsia="en-GB"/>
        </w:rPr>
      </w:pPr>
      <w:r>
        <w:rPr>
          <w:noProof/>
          <w:sz w:val="20"/>
          <w:lang w:eastAsia="en-GB"/>
        </w:rPr>
        <w:drawing>
          <wp:inline distT="0" distB="0" distL="0" distR="0" wp14:anchorId="0F22B55A" wp14:editId="77758B21">
            <wp:extent cx="5727700" cy="4077970"/>
            <wp:effectExtent l="0" t="0" r="0" b="0"/>
            <wp:docPr id="7" name="Picture 7" descr="A chart of different colored rectangular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hart of different colored rectangular shap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27700" cy="4077970"/>
                    </a:xfrm>
                    <a:prstGeom prst="rect">
                      <a:avLst/>
                    </a:prstGeom>
                  </pic:spPr>
                </pic:pic>
              </a:graphicData>
            </a:graphic>
          </wp:inline>
        </w:drawing>
      </w:r>
    </w:p>
    <w:p w14:paraId="748B693C" w14:textId="77777777" w:rsidR="00F43FF3" w:rsidRPr="00B36BC7" w:rsidRDefault="00F43FF3" w:rsidP="001F14DB">
      <w:pPr>
        <w:spacing w:line="240" w:lineRule="auto"/>
        <w:rPr>
          <w:sz w:val="20"/>
          <w:lang w:eastAsia="en-GB"/>
        </w:rPr>
      </w:pPr>
    </w:p>
    <w:p w14:paraId="3BB4CEC3" w14:textId="1AD5631F" w:rsidR="00D116E0" w:rsidRPr="00D116E0" w:rsidRDefault="00D116E0" w:rsidP="00D116E0">
      <w:pPr>
        <w:spacing w:line="240" w:lineRule="auto"/>
        <w:rPr>
          <w:sz w:val="20"/>
          <w:lang w:eastAsia="en-GB"/>
        </w:rPr>
      </w:pPr>
      <w:r>
        <w:rPr>
          <w:b/>
          <w:sz w:val="20"/>
          <w:lang w:eastAsia="en-GB"/>
        </w:rPr>
        <w:t xml:space="preserve">FIGURE </w:t>
      </w:r>
      <w:r w:rsidR="00D12327">
        <w:rPr>
          <w:b/>
          <w:sz w:val="20"/>
          <w:lang w:eastAsia="en-GB"/>
        </w:rPr>
        <w:t>S</w:t>
      </w:r>
      <w:r w:rsidR="00D12327">
        <w:rPr>
          <w:b/>
          <w:sz w:val="20"/>
        </w:rPr>
        <w:t>8</w:t>
      </w:r>
      <w:r w:rsidRPr="00B36BC7">
        <w:rPr>
          <w:sz w:val="20"/>
        </w:rPr>
        <w:t xml:space="preserve"> </w:t>
      </w:r>
      <w:r>
        <w:rPr>
          <w:sz w:val="20"/>
        </w:rPr>
        <w:t xml:space="preserve">Boxplot depicting </w:t>
      </w:r>
      <w:proofErr w:type="spellStart"/>
      <w:r>
        <w:rPr>
          <w:sz w:val="20"/>
        </w:rPr>
        <w:t>CT</w:t>
      </w:r>
      <w:r>
        <w:rPr>
          <w:sz w:val="20"/>
          <w:vertAlign w:val="subscript"/>
        </w:rPr>
        <w:t>max</w:t>
      </w:r>
      <w:proofErr w:type="spellEnd"/>
      <w:r>
        <w:rPr>
          <w:sz w:val="20"/>
        </w:rPr>
        <w:t xml:space="preserve"> values for each size class, separated by experimental tank where the animal was housed for the duration of the</w:t>
      </w:r>
      <w:r w:rsidR="008F1843">
        <w:rPr>
          <w:sz w:val="20"/>
        </w:rPr>
        <w:t xml:space="preserve"> chronic</w:t>
      </w:r>
      <w:r>
        <w:rPr>
          <w:sz w:val="20"/>
        </w:rPr>
        <w:t xml:space="preserve"> </w:t>
      </w:r>
      <w:r w:rsidR="008F1843">
        <w:rPr>
          <w:sz w:val="20"/>
        </w:rPr>
        <w:t xml:space="preserve">(1˚C/12 hours) </w:t>
      </w:r>
      <w:r>
        <w:rPr>
          <w:sz w:val="20"/>
        </w:rPr>
        <w:t>experiment.</w:t>
      </w:r>
    </w:p>
    <w:p w14:paraId="5BAB841F" w14:textId="77777777" w:rsidR="001F14DB" w:rsidRDefault="001F14DB" w:rsidP="001F14DB">
      <w:pPr>
        <w:spacing w:line="240" w:lineRule="auto"/>
        <w:rPr>
          <w:sz w:val="20"/>
          <w:szCs w:val="20"/>
        </w:rPr>
      </w:pPr>
    </w:p>
    <w:p w14:paraId="5DF88A67" w14:textId="77777777" w:rsidR="001F14DB" w:rsidRDefault="001F14DB" w:rsidP="001F14DB">
      <w:pPr>
        <w:spacing w:line="240" w:lineRule="auto"/>
        <w:rPr>
          <w:sz w:val="20"/>
          <w:szCs w:val="20"/>
        </w:rPr>
      </w:pPr>
    </w:p>
    <w:p w14:paraId="22E28CE7" w14:textId="7F77D12D" w:rsidR="001F14DB" w:rsidRPr="00B36BC7" w:rsidRDefault="001603A0" w:rsidP="001F14DB">
      <w:pPr>
        <w:spacing w:line="240" w:lineRule="auto"/>
        <w:rPr>
          <w:sz w:val="20"/>
        </w:rPr>
      </w:pPr>
      <w:r>
        <w:rPr>
          <w:b/>
          <w:sz w:val="20"/>
          <w:lang w:eastAsia="en-GB"/>
        </w:rPr>
        <w:t xml:space="preserve">TABLE </w:t>
      </w:r>
      <w:r w:rsidR="00D12327">
        <w:rPr>
          <w:b/>
          <w:sz w:val="20"/>
          <w:lang w:eastAsia="en-GB"/>
        </w:rPr>
        <w:t>S</w:t>
      </w:r>
      <w:r>
        <w:rPr>
          <w:b/>
          <w:sz w:val="20"/>
          <w:lang w:eastAsia="en-GB"/>
        </w:rPr>
        <w:t>1</w:t>
      </w:r>
      <w:r w:rsidR="001F14DB" w:rsidRPr="00B36BC7">
        <w:rPr>
          <w:sz w:val="20"/>
          <w:lang w:eastAsia="en-GB"/>
        </w:rPr>
        <w:t xml:space="preserve"> </w:t>
      </w:r>
      <w:r w:rsidR="001F14DB" w:rsidRPr="00B36BC7">
        <w:rPr>
          <w:sz w:val="20"/>
        </w:rPr>
        <w:t xml:space="preserve">Non-parametric correlation between size category and digestive gland atrophy index within each abalone </w:t>
      </w:r>
      <w:proofErr w:type="spellStart"/>
      <w:r w:rsidR="001F14DB" w:rsidRPr="00B36BC7">
        <w:rPr>
          <w:sz w:val="20"/>
        </w:rPr>
        <w:t>CT</w:t>
      </w:r>
      <w:r w:rsidR="001F14DB" w:rsidRPr="00B36BC7">
        <w:rPr>
          <w:sz w:val="20"/>
          <w:vertAlign w:val="subscript"/>
        </w:rPr>
        <w:t>max</w:t>
      </w:r>
      <w:proofErr w:type="spellEnd"/>
      <w:r w:rsidR="001F14DB" w:rsidRPr="00B36BC7">
        <w:rPr>
          <w:sz w:val="20"/>
        </w:rPr>
        <w:t xml:space="preserve"> gradient.</w:t>
      </w:r>
    </w:p>
    <w:tbl>
      <w:tblPr>
        <w:tblStyle w:val="TableGrid"/>
        <w:tblW w:w="0" w:type="auto"/>
        <w:tblLook w:val="04A0" w:firstRow="1" w:lastRow="0" w:firstColumn="1" w:lastColumn="0" w:noHBand="0" w:noVBand="1"/>
      </w:tblPr>
      <w:tblGrid>
        <w:gridCol w:w="1413"/>
        <w:gridCol w:w="1984"/>
        <w:gridCol w:w="1984"/>
      </w:tblGrid>
      <w:tr w:rsidR="001F14DB" w14:paraId="0DAF2A43" w14:textId="77777777" w:rsidTr="00D372E1">
        <w:tc>
          <w:tcPr>
            <w:tcW w:w="1413" w:type="dxa"/>
          </w:tcPr>
          <w:p w14:paraId="68443A94" w14:textId="77777777" w:rsidR="001F14DB" w:rsidRDefault="001F14DB" w:rsidP="00D372E1">
            <w:proofErr w:type="spellStart"/>
            <w:r>
              <w:t>CT</w:t>
            </w:r>
            <w:r w:rsidRPr="00B36BC7">
              <w:rPr>
                <w:vertAlign w:val="subscript"/>
              </w:rPr>
              <w:t>max</w:t>
            </w:r>
            <w:proofErr w:type="spellEnd"/>
            <w:r>
              <w:t xml:space="preserve"> range (°C)</w:t>
            </w:r>
          </w:p>
        </w:tc>
        <w:tc>
          <w:tcPr>
            <w:tcW w:w="1984" w:type="dxa"/>
          </w:tcPr>
          <w:p w14:paraId="1C88369B" w14:textId="77777777" w:rsidR="001F14DB" w:rsidRDefault="001F14DB" w:rsidP="00D372E1">
            <w:r>
              <w:t>Spearman’s Rho</w:t>
            </w:r>
          </w:p>
        </w:tc>
        <w:tc>
          <w:tcPr>
            <w:tcW w:w="1984" w:type="dxa"/>
          </w:tcPr>
          <w:p w14:paraId="30A38EEF" w14:textId="77777777" w:rsidR="001F14DB" w:rsidRDefault="001F14DB" w:rsidP="00D372E1"/>
        </w:tc>
      </w:tr>
      <w:tr w:rsidR="001F14DB" w14:paraId="6BD0F428" w14:textId="77777777" w:rsidTr="00D372E1">
        <w:tc>
          <w:tcPr>
            <w:tcW w:w="1413" w:type="dxa"/>
          </w:tcPr>
          <w:p w14:paraId="13F5121A" w14:textId="77777777" w:rsidR="001F14DB" w:rsidRDefault="001F14DB" w:rsidP="00D372E1">
            <w:r>
              <w:t>21.0 – 21.9</w:t>
            </w:r>
          </w:p>
        </w:tc>
        <w:tc>
          <w:tcPr>
            <w:tcW w:w="1984" w:type="dxa"/>
          </w:tcPr>
          <w:p w14:paraId="3BC4270B" w14:textId="77777777" w:rsidR="001F14DB" w:rsidRDefault="001F14DB" w:rsidP="00D372E1">
            <w:r>
              <w:t>0.4535</w:t>
            </w:r>
          </w:p>
        </w:tc>
        <w:tc>
          <w:tcPr>
            <w:tcW w:w="1984" w:type="dxa"/>
          </w:tcPr>
          <w:p w14:paraId="6F1AA24A" w14:textId="77777777" w:rsidR="001F14DB" w:rsidRDefault="001F14DB" w:rsidP="00D372E1">
            <w:r>
              <w:t>P=0.3743</w:t>
            </w:r>
          </w:p>
        </w:tc>
      </w:tr>
      <w:tr w:rsidR="001F14DB" w14:paraId="72B1E3AD" w14:textId="77777777" w:rsidTr="00D372E1">
        <w:tc>
          <w:tcPr>
            <w:tcW w:w="1413" w:type="dxa"/>
          </w:tcPr>
          <w:p w14:paraId="4A33855D" w14:textId="77777777" w:rsidR="001F14DB" w:rsidRDefault="001F14DB" w:rsidP="00D372E1">
            <w:r>
              <w:t>23.0 – 23.9</w:t>
            </w:r>
          </w:p>
        </w:tc>
        <w:tc>
          <w:tcPr>
            <w:tcW w:w="1984" w:type="dxa"/>
          </w:tcPr>
          <w:p w14:paraId="35900ABE" w14:textId="77777777" w:rsidR="001F14DB" w:rsidRDefault="001F14DB" w:rsidP="00D372E1">
            <w:r>
              <w:t>0.3337</w:t>
            </w:r>
          </w:p>
        </w:tc>
        <w:tc>
          <w:tcPr>
            <w:tcW w:w="1984" w:type="dxa"/>
          </w:tcPr>
          <w:p w14:paraId="71F8D936" w14:textId="77777777" w:rsidR="001F14DB" w:rsidRDefault="001F14DB" w:rsidP="00D372E1">
            <w:r>
              <w:t>P=0.5243</w:t>
            </w:r>
          </w:p>
        </w:tc>
      </w:tr>
      <w:tr w:rsidR="001F14DB" w14:paraId="560B3B38" w14:textId="77777777" w:rsidTr="00D372E1">
        <w:tc>
          <w:tcPr>
            <w:tcW w:w="1413" w:type="dxa"/>
          </w:tcPr>
          <w:p w14:paraId="2D7855D1" w14:textId="77777777" w:rsidR="001F14DB" w:rsidRDefault="001F14DB" w:rsidP="00D372E1">
            <w:r>
              <w:t>24.0 – 24.9</w:t>
            </w:r>
          </w:p>
        </w:tc>
        <w:tc>
          <w:tcPr>
            <w:tcW w:w="1984" w:type="dxa"/>
          </w:tcPr>
          <w:p w14:paraId="7C80F10A" w14:textId="77777777" w:rsidR="001F14DB" w:rsidRDefault="001F14DB" w:rsidP="00D372E1">
            <w:r>
              <w:t>0.1064</w:t>
            </w:r>
          </w:p>
        </w:tc>
        <w:tc>
          <w:tcPr>
            <w:tcW w:w="1984" w:type="dxa"/>
          </w:tcPr>
          <w:p w14:paraId="79ABFCB9" w14:textId="77777777" w:rsidR="001F14DB" w:rsidRDefault="001F14DB" w:rsidP="00D372E1">
            <w:r>
              <w:t>P=0.7300</w:t>
            </w:r>
          </w:p>
        </w:tc>
      </w:tr>
      <w:tr w:rsidR="001F14DB" w14:paraId="1FEF1E84" w14:textId="77777777" w:rsidTr="00D372E1">
        <w:tc>
          <w:tcPr>
            <w:tcW w:w="1413" w:type="dxa"/>
          </w:tcPr>
          <w:p w14:paraId="07EBB07C" w14:textId="77777777" w:rsidR="001F14DB" w:rsidRDefault="001F14DB" w:rsidP="00D372E1">
            <w:r>
              <w:t>25.0 – 25.9</w:t>
            </w:r>
          </w:p>
        </w:tc>
        <w:tc>
          <w:tcPr>
            <w:tcW w:w="1984" w:type="dxa"/>
          </w:tcPr>
          <w:p w14:paraId="77DE300D" w14:textId="77777777" w:rsidR="001F14DB" w:rsidRDefault="001F14DB" w:rsidP="00D372E1">
            <w:r>
              <w:t>0.0882</w:t>
            </w:r>
          </w:p>
        </w:tc>
        <w:tc>
          <w:tcPr>
            <w:tcW w:w="1984" w:type="dxa"/>
          </w:tcPr>
          <w:p w14:paraId="21E66CF8" w14:textId="77777777" w:rsidR="001F14DB" w:rsidRDefault="001F14DB" w:rsidP="00D372E1">
            <w:r>
              <w:t>P=0.7852</w:t>
            </w:r>
          </w:p>
        </w:tc>
      </w:tr>
      <w:tr w:rsidR="001F14DB" w14:paraId="4689733F" w14:textId="77777777" w:rsidTr="00D372E1">
        <w:tc>
          <w:tcPr>
            <w:tcW w:w="1413" w:type="dxa"/>
          </w:tcPr>
          <w:p w14:paraId="33727F2D" w14:textId="77777777" w:rsidR="001F14DB" w:rsidRDefault="001F14DB" w:rsidP="00D372E1">
            <w:r>
              <w:t>26.0 – 26.9</w:t>
            </w:r>
          </w:p>
        </w:tc>
        <w:tc>
          <w:tcPr>
            <w:tcW w:w="1984" w:type="dxa"/>
          </w:tcPr>
          <w:p w14:paraId="4A85B74A" w14:textId="77777777" w:rsidR="001F14DB" w:rsidRDefault="001F14DB" w:rsidP="00D372E1">
            <w:r>
              <w:t>0.2064</w:t>
            </w:r>
          </w:p>
        </w:tc>
        <w:tc>
          <w:tcPr>
            <w:tcW w:w="1984" w:type="dxa"/>
          </w:tcPr>
          <w:p w14:paraId="06D578D7" w14:textId="77777777" w:rsidR="001F14DB" w:rsidRDefault="001F14DB" w:rsidP="00D372E1">
            <w:r>
              <w:t>P=0.5387</w:t>
            </w:r>
          </w:p>
        </w:tc>
      </w:tr>
      <w:tr w:rsidR="001F14DB" w14:paraId="1AB2480E" w14:textId="77777777" w:rsidTr="00D372E1">
        <w:tc>
          <w:tcPr>
            <w:tcW w:w="1413" w:type="dxa"/>
          </w:tcPr>
          <w:p w14:paraId="221718FF" w14:textId="77777777" w:rsidR="001F14DB" w:rsidRDefault="001F14DB" w:rsidP="00D372E1">
            <w:r>
              <w:t>27.0 – 27.9</w:t>
            </w:r>
          </w:p>
        </w:tc>
        <w:tc>
          <w:tcPr>
            <w:tcW w:w="1984" w:type="dxa"/>
          </w:tcPr>
          <w:p w14:paraId="6B26B1B2" w14:textId="77777777" w:rsidR="001F14DB" w:rsidRDefault="001F14DB" w:rsidP="00D372E1">
            <w:r>
              <w:t>0.0616</w:t>
            </w:r>
          </w:p>
        </w:tc>
        <w:tc>
          <w:tcPr>
            <w:tcW w:w="1984" w:type="dxa"/>
          </w:tcPr>
          <w:p w14:paraId="467BE94F" w14:textId="77777777" w:rsidR="001F14DB" w:rsidRDefault="001F14DB" w:rsidP="00D372E1">
            <w:r>
              <w:t>P=0.8572</w:t>
            </w:r>
          </w:p>
        </w:tc>
      </w:tr>
      <w:tr w:rsidR="001F14DB" w14:paraId="697F3BF1" w14:textId="77777777" w:rsidTr="00D372E1">
        <w:tc>
          <w:tcPr>
            <w:tcW w:w="1413" w:type="dxa"/>
          </w:tcPr>
          <w:p w14:paraId="4482F815" w14:textId="77777777" w:rsidR="001F14DB" w:rsidRDefault="001F14DB" w:rsidP="00D372E1">
            <w:r>
              <w:t>28.0 – 28.9</w:t>
            </w:r>
          </w:p>
        </w:tc>
        <w:tc>
          <w:tcPr>
            <w:tcW w:w="1984" w:type="dxa"/>
          </w:tcPr>
          <w:p w14:paraId="6F7423E7" w14:textId="77777777" w:rsidR="001F14DB" w:rsidRDefault="001F14DB" w:rsidP="00D372E1">
            <w:r>
              <w:t>0.4310</w:t>
            </w:r>
          </w:p>
        </w:tc>
        <w:tc>
          <w:tcPr>
            <w:tcW w:w="1984" w:type="dxa"/>
          </w:tcPr>
          <w:p w14:paraId="559252CC" w14:textId="77777777" w:rsidR="001F14DB" w:rsidRDefault="001F14DB" w:rsidP="00D372E1">
            <w:r>
              <w:t>P=0.2130</w:t>
            </w:r>
          </w:p>
        </w:tc>
      </w:tr>
    </w:tbl>
    <w:p w14:paraId="441DEECF" w14:textId="7786055F" w:rsidR="00DA6266" w:rsidRPr="001F14DB" w:rsidRDefault="00D12327" w:rsidP="001F14DB"/>
    <w:sectPr w:rsidR="00DA6266" w:rsidRPr="001F14DB" w:rsidSect="00B748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4DB"/>
    <w:rsid w:val="00001EC5"/>
    <w:rsid w:val="0000536B"/>
    <w:rsid w:val="00006AA5"/>
    <w:rsid w:val="00007540"/>
    <w:rsid w:val="00013CBA"/>
    <w:rsid w:val="00021E89"/>
    <w:rsid w:val="0002221F"/>
    <w:rsid w:val="00047F77"/>
    <w:rsid w:val="00051D82"/>
    <w:rsid w:val="000575CB"/>
    <w:rsid w:val="00060230"/>
    <w:rsid w:val="00097CAC"/>
    <w:rsid w:val="000A530D"/>
    <w:rsid w:val="000A644F"/>
    <w:rsid w:val="000B3264"/>
    <w:rsid w:val="000C55FE"/>
    <w:rsid w:val="000D071C"/>
    <w:rsid w:val="000D287E"/>
    <w:rsid w:val="000D2AF6"/>
    <w:rsid w:val="000F03C5"/>
    <w:rsid w:val="000F088F"/>
    <w:rsid w:val="001061AB"/>
    <w:rsid w:val="0011365C"/>
    <w:rsid w:val="0012010B"/>
    <w:rsid w:val="00140FB2"/>
    <w:rsid w:val="00146BB9"/>
    <w:rsid w:val="00152A6E"/>
    <w:rsid w:val="001603A0"/>
    <w:rsid w:val="00161048"/>
    <w:rsid w:val="00171C6B"/>
    <w:rsid w:val="00181E62"/>
    <w:rsid w:val="001964BC"/>
    <w:rsid w:val="0019786C"/>
    <w:rsid w:val="001A685C"/>
    <w:rsid w:val="001B6D6D"/>
    <w:rsid w:val="001C2B4E"/>
    <w:rsid w:val="001E1693"/>
    <w:rsid w:val="001E232D"/>
    <w:rsid w:val="001E4F01"/>
    <w:rsid w:val="001F14DB"/>
    <w:rsid w:val="00205002"/>
    <w:rsid w:val="00211A5F"/>
    <w:rsid w:val="00257A3B"/>
    <w:rsid w:val="002915E3"/>
    <w:rsid w:val="002940DF"/>
    <w:rsid w:val="002B5506"/>
    <w:rsid w:val="002F5E73"/>
    <w:rsid w:val="0030385C"/>
    <w:rsid w:val="00323D7E"/>
    <w:rsid w:val="00324E93"/>
    <w:rsid w:val="0035738B"/>
    <w:rsid w:val="00371F88"/>
    <w:rsid w:val="00375407"/>
    <w:rsid w:val="00383B01"/>
    <w:rsid w:val="00386F7B"/>
    <w:rsid w:val="00393D7D"/>
    <w:rsid w:val="003947B4"/>
    <w:rsid w:val="003A6E54"/>
    <w:rsid w:val="003C10DC"/>
    <w:rsid w:val="003D483F"/>
    <w:rsid w:val="00401D66"/>
    <w:rsid w:val="00404EFE"/>
    <w:rsid w:val="00411D04"/>
    <w:rsid w:val="00455025"/>
    <w:rsid w:val="00467160"/>
    <w:rsid w:val="0047171A"/>
    <w:rsid w:val="004724BA"/>
    <w:rsid w:val="00480A5F"/>
    <w:rsid w:val="004811A6"/>
    <w:rsid w:val="004909D4"/>
    <w:rsid w:val="004931FA"/>
    <w:rsid w:val="00495EC2"/>
    <w:rsid w:val="00496B9E"/>
    <w:rsid w:val="004B2F11"/>
    <w:rsid w:val="004C4BFB"/>
    <w:rsid w:val="004C6A0A"/>
    <w:rsid w:val="004F5CD4"/>
    <w:rsid w:val="005028FC"/>
    <w:rsid w:val="00505BF2"/>
    <w:rsid w:val="005065B2"/>
    <w:rsid w:val="00520882"/>
    <w:rsid w:val="005217A7"/>
    <w:rsid w:val="00523631"/>
    <w:rsid w:val="00524275"/>
    <w:rsid w:val="00530E40"/>
    <w:rsid w:val="00544846"/>
    <w:rsid w:val="0056123B"/>
    <w:rsid w:val="0056370D"/>
    <w:rsid w:val="00573862"/>
    <w:rsid w:val="005738C5"/>
    <w:rsid w:val="005A0F9A"/>
    <w:rsid w:val="005B5CAF"/>
    <w:rsid w:val="005D363A"/>
    <w:rsid w:val="005F3827"/>
    <w:rsid w:val="006072AC"/>
    <w:rsid w:val="00622357"/>
    <w:rsid w:val="0062542D"/>
    <w:rsid w:val="00633511"/>
    <w:rsid w:val="00651351"/>
    <w:rsid w:val="00655342"/>
    <w:rsid w:val="0065623C"/>
    <w:rsid w:val="00667CEC"/>
    <w:rsid w:val="00670759"/>
    <w:rsid w:val="0069145E"/>
    <w:rsid w:val="006A4FA3"/>
    <w:rsid w:val="006C5C3F"/>
    <w:rsid w:val="006C7F79"/>
    <w:rsid w:val="006D4556"/>
    <w:rsid w:val="006D5A67"/>
    <w:rsid w:val="006D5FF7"/>
    <w:rsid w:val="006E5D61"/>
    <w:rsid w:val="006E6510"/>
    <w:rsid w:val="0070746F"/>
    <w:rsid w:val="0071744A"/>
    <w:rsid w:val="00723D67"/>
    <w:rsid w:val="00730360"/>
    <w:rsid w:val="00737163"/>
    <w:rsid w:val="0074300F"/>
    <w:rsid w:val="00751612"/>
    <w:rsid w:val="007517A1"/>
    <w:rsid w:val="00753CC2"/>
    <w:rsid w:val="007559F0"/>
    <w:rsid w:val="00760418"/>
    <w:rsid w:val="00772329"/>
    <w:rsid w:val="007735D5"/>
    <w:rsid w:val="00773E3A"/>
    <w:rsid w:val="007A2405"/>
    <w:rsid w:val="007A36A2"/>
    <w:rsid w:val="007C74BA"/>
    <w:rsid w:val="007D0D44"/>
    <w:rsid w:val="007F11FA"/>
    <w:rsid w:val="00806D07"/>
    <w:rsid w:val="00825FF4"/>
    <w:rsid w:val="00836EA6"/>
    <w:rsid w:val="00857003"/>
    <w:rsid w:val="00865F1C"/>
    <w:rsid w:val="008A24E0"/>
    <w:rsid w:val="008A2682"/>
    <w:rsid w:val="008B2F03"/>
    <w:rsid w:val="008B3AD3"/>
    <w:rsid w:val="008C3679"/>
    <w:rsid w:val="008C444A"/>
    <w:rsid w:val="008D0ADD"/>
    <w:rsid w:val="008D4C65"/>
    <w:rsid w:val="008D5460"/>
    <w:rsid w:val="008D6715"/>
    <w:rsid w:val="008E3FE1"/>
    <w:rsid w:val="008F1843"/>
    <w:rsid w:val="00901D8B"/>
    <w:rsid w:val="00916609"/>
    <w:rsid w:val="00917174"/>
    <w:rsid w:val="00931B18"/>
    <w:rsid w:val="00943C3D"/>
    <w:rsid w:val="009448E5"/>
    <w:rsid w:val="0095402E"/>
    <w:rsid w:val="00956DD3"/>
    <w:rsid w:val="009573A7"/>
    <w:rsid w:val="00957959"/>
    <w:rsid w:val="00964E44"/>
    <w:rsid w:val="009A00F6"/>
    <w:rsid w:val="009A4CB0"/>
    <w:rsid w:val="009A70D0"/>
    <w:rsid w:val="009A7C5C"/>
    <w:rsid w:val="009B77BF"/>
    <w:rsid w:val="009C0992"/>
    <w:rsid w:val="009D159C"/>
    <w:rsid w:val="009D3358"/>
    <w:rsid w:val="009D61AA"/>
    <w:rsid w:val="009D766C"/>
    <w:rsid w:val="009E1628"/>
    <w:rsid w:val="009E1852"/>
    <w:rsid w:val="009F3ACB"/>
    <w:rsid w:val="009F5222"/>
    <w:rsid w:val="009F6902"/>
    <w:rsid w:val="009F6BA1"/>
    <w:rsid w:val="00A04A16"/>
    <w:rsid w:val="00A21B0F"/>
    <w:rsid w:val="00A22AAC"/>
    <w:rsid w:val="00A43EB0"/>
    <w:rsid w:val="00A50922"/>
    <w:rsid w:val="00A8511D"/>
    <w:rsid w:val="00A86202"/>
    <w:rsid w:val="00AA168C"/>
    <w:rsid w:val="00AA65FB"/>
    <w:rsid w:val="00AD23B9"/>
    <w:rsid w:val="00AE4490"/>
    <w:rsid w:val="00B04594"/>
    <w:rsid w:val="00B10C11"/>
    <w:rsid w:val="00B162B9"/>
    <w:rsid w:val="00B261B0"/>
    <w:rsid w:val="00B35458"/>
    <w:rsid w:val="00B42123"/>
    <w:rsid w:val="00B55A77"/>
    <w:rsid w:val="00B74872"/>
    <w:rsid w:val="00B805A3"/>
    <w:rsid w:val="00B80B25"/>
    <w:rsid w:val="00B81CBD"/>
    <w:rsid w:val="00B82FC1"/>
    <w:rsid w:val="00B92153"/>
    <w:rsid w:val="00B97E28"/>
    <w:rsid w:val="00BA4F92"/>
    <w:rsid w:val="00BB1B4C"/>
    <w:rsid w:val="00BB283A"/>
    <w:rsid w:val="00BB7A0C"/>
    <w:rsid w:val="00BC1366"/>
    <w:rsid w:val="00BD3C9D"/>
    <w:rsid w:val="00BD4CF7"/>
    <w:rsid w:val="00BD7167"/>
    <w:rsid w:val="00BE5E91"/>
    <w:rsid w:val="00BF1880"/>
    <w:rsid w:val="00BF2CCE"/>
    <w:rsid w:val="00BF378E"/>
    <w:rsid w:val="00C006CD"/>
    <w:rsid w:val="00C048B4"/>
    <w:rsid w:val="00C11BA7"/>
    <w:rsid w:val="00C2019F"/>
    <w:rsid w:val="00C20BD5"/>
    <w:rsid w:val="00C6608F"/>
    <w:rsid w:val="00C707D2"/>
    <w:rsid w:val="00C72425"/>
    <w:rsid w:val="00C81D99"/>
    <w:rsid w:val="00C96FD3"/>
    <w:rsid w:val="00CA1C19"/>
    <w:rsid w:val="00CB1216"/>
    <w:rsid w:val="00CC0980"/>
    <w:rsid w:val="00CD3CB7"/>
    <w:rsid w:val="00CE5926"/>
    <w:rsid w:val="00CE5C63"/>
    <w:rsid w:val="00D001A6"/>
    <w:rsid w:val="00D06701"/>
    <w:rsid w:val="00D07B96"/>
    <w:rsid w:val="00D10357"/>
    <w:rsid w:val="00D116E0"/>
    <w:rsid w:val="00D12327"/>
    <w:rsid w:val="00D12920"/>
    <w:rsid w:val="00D20C52"/>
    <w:rsid w:val="00D2154F"/>
    <w:rsid w:val="00D51CF3"/>
    <w:rsid w:val="00D71154"/>
    <w:rsid w:val="00D73CCA"/>
    <w:rsid w:val="00D849E7"/>
    <w:rsid w:val="00D911B5"/>
    <w:rsid w:val="00D975D5"/>
    <w:rsid w:val="00DB29B3"/>
    <w:rsid w:val="00DC2F1C"/>
    <w:rsid w:val="00DD773A"/>
    <w:rsid w:val="00DF0440"/>
    <w:rsid w:val="00DF1980"/>
    <w:rsid w:val="00E34CC6"/>
    <w:rsid w:val="00E4365E"/>
    <w:rsid w:val="00E449A6"/>
    <w:rsid w:val="00E50C0E"/>
    <w:rsid w:val="00E50EF2"/>
    <w:rsid w:val="00E83460"/>
    <w:rsid w:val="00E85B54"/>
    <w:rsid w:val="00EB4FDC"/>
    <w:rsid w:val="00EC2A57"/>
    <w:rsid w:val="00EC4BF7"/>
    <w:rsid w:val="00ED4454"/>
    <w:rsid w:val="00EE41C1"/>
    <w:rsid w:val="00F21FE2"/>
    <w:rsid w:val="00F347E9"/>
    <w:rsid w:val="00F414A3"/>
    <w:rsid w:val="00F417B2"/>
    <w:rsid w:val="00F43FF3"/>
    <w:rsid w:val="00F45E02"/>
    <w:rsid w:val="00F47BB9"/>
    <w:rsid w:val="00F5270F"/>
    <w:rsid w:val="00F72745"/>
    <w:rsid w:val="00F86CAC"/>
    <w:rsid w:val="00F909AB"/>
    <w:rsid w:val="00F914CB"/>
    <w:rsid w:val="00FA10FB"/>
    <w:rsid w:val="00FB2187"/>
    <w:rsid w:val="00FB48DA"/>
    <w:rsid w:val="00FD0D53"/>
    <w:rsid w:val="00FE0C99"/>
    <w:rsid w:val="00FF5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E06CC"/>
  <w14:defaultImageDpi w14:val="32767"/>
  <w15:chartTrackingRefBased/>
  <w15:docId w15:val="{EE6CB742-F025-0C42-84EF-9CDAFFD44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4DB"/>
    <w:pPr>
      <w:spacing w:line="480" w:lineRule="auto"/>
    </w:pPr>
    <w:rPr>
      <w:rFonts w:ascii="Times New Roman" w:eastAsia="Times New Roman" w:hAnsi="Times New Roman" w:cs="Times New Roman"/>
      <w:lang w:val="en-AU" w:eastAsia="en-AU"/>
    </w:rPr>
  </w:style>
  <w:style w:type="paragraph" w:styleId="Heading1">
    <w:name w:val="heading 1"/>
    <w:basedOn w:val="Normal"/>
    <w:next w:val="Normal"/>
    <w:link w:val="Heading1Char"/>
    <w:uiPriority w:val="9"/>
    <w:qFormat/>
    <w:rsid w:val="001F14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Section"/>
    <w:basedOn w:val="Normal"/>
    <w:next w:val="Normal"/>
    <w:link w:val="Heading2Char"/>
    <w:uiPriority w:val="9"/>
    <w:unhideWhenUsed/>
    <w:qFormat/>
    <w:rsid w:val="001F14DB"/>
    <w:pPr>
      <w:keepNext/>
      <w:keepLines/>
      <w:spacing w:before="4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ection Char"/>
    <w:basedOn w:val="DefaultParagraphFont"/>
    <w:link w:val="Heading2"/>
    <w:uiPriority w:val="9"/>
    <w:rsid w:val="001F14DB"/>
    <w:rPr>
      <w:rFonts w:ascii="Times New Roman" w:eastAsiaTheme="majorEastAsia" w:hAnsi="Times New Roman" w:cstheme="majorBidi"/>
      <w:b/>
      <w:szCs w:val="26"/>
      <w:lang w:val="en-AU" w:eastAsia="en-AU"/>
    </w:rPr>
  </w:style>
  <w:style w:type="paragraph" w:customStyle="1" w:styleId="Figures">
    <w:name w:val="Figures"/>
    <w:basedOn w:val="Normal"/>
    <w:link w:val="FiguresChar"/>
    <w:qFormat/>
    <w:rsid w:val="001F14DB"/>
    <w:pPr>
      <w:spacing w:line="240" w:lineRule="auto"/>
    </w:pPr>
    <w:rPr>
      <w:color w:val="000000" w:themeColor="text1"/>
      <w:sz w:val="20"/>
      <w:szCs w:val="28"/>
    </w:rPr>
  </w:style>
  <w:style w:type="character" w:customStyle="1" w:styleId="FiguresChar">
    <w:name w:val="Figures Char"/>
    <w:basedOn w:val="DefaultParagraphFont"/>
    <w:link w:val="Figures"/>
    <w:rsid w:val="001F14DB"/>
    <w:rPr>
      <w:rFonts w:ascii="Times New Roman" w:eastAsia="Times New Roman" w:hAnsi="Times New Roman" w:cs="Times New Roman"/>
      <w:color w:val="000000" w:themeColor="text1"/>
      <w:sz w:val="20"/>
      <w:szCs w:val="28"/>
      <w:lang w:val="en-AU" w:eastAsia="en-AU"/>
    </w:rPr>
  </w:style>
  <w:style w:type="table" w:styleId="TableGrid">
    <w:name w:val="Table Grid"/>
    <w:basedOn w:val="TableNormal"/>
    <w:uiPriority w:val="39"/>
    <w:rsid w:val="001F14DB"/>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F14DB"/>
    <w:rPr>
      <w:rFonts w:asciiTheme="majorHAnsi" w:eastAsiaTheme="majorEastAsia" w:hAnsiTheme="majorHAnsi" w:cstheme="majorBidi"/>
      <w:color w:val="2F5496" w:themeColor="accent1" w:themeShade="BF"/>
      <w:sz w:val="32"/>
      <w:szCs w:val="3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tiff"/><Relationship Id="rId5" Type="http://schemas.openxmlformats.org/officeDocument/2006/relationships/image" Target="media/image2.png"/><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7</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JOHN HOLLAND</dc:creator>
  <cp:keywords/>
  <dc:description/>
  <cp:lastModifiedBy>OWEN JOHN HOLLAND</cp:lastModifiedBy>
  <cp:revision>10</cp:revision>
  <dcterms:created xsi:type="dcterms:W3CDTF">2022-12-09T06:26:00Z</dcterms:created>
  <dcterms:modified xsi:type="dcterms:W3CDTF">2023-08-26T03:50:00Z</dcterms:modified>
</cp:coreProperties>
</file>