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F6AD1" w14:textId="77777777" w:rsidR="00337D24" w:rsidRDefault="00337D24" w:rsidP="00337D24">
      <w:pPr>
        <w:jc w:val="center"/>
        <w:rPr>
          <w:sz w:val="28"/>
          <w:szCs w:val="28"/>
        </w:rPr>
      </w:pPr>
      <w:r>
        <w:rPr>
          <w:sz w:val="28"/>
          <w:szCs w:val="28"/>
        </w:rPr>
        <w:t>Supplementary materials</w:t>
      </w:r>
    </w:p>
    <w:p w14:paraId="05A43B8A" w14:textId="171FFCDA" w:rsidR="00337D24" w:rsidRPr="00337D24" w:rsidRDefault="00337D24" w:rsidP="00337D24">
      <w:pPr>
        <w:jc w:val="center"/>
        <w:rPr>
          <w:b/>
        </w:rPr>
      </w:pPr>
      <w:r>
        <w:rPr>
          <w:b/>
        </w:rPr>
        <w:t>Management strategy evaluation operating model conditioning: a swordfish case study</w:t>
      </w:r>
    </w:p>
    <w:p w14:paraId="04F23CE0" w14:textId="77777777" w:rsidR="00C733D4" w:rsidRPr="007900F4" w:rsidRDefault="00C733D4" w:rsidP="00C733D4">
      <w:pPr>
        <w:jc w:val="center"/>
        <w:rPr>
          <w:rFonts w:ascii="Times New Roman" w:hAnsi="Times New Roman" w:cs="Times New Roman"/>
          <w:b/>
          <w:sz w:val="20"/>
          <w:szCs w:val="20"/>
          <w:lang w:val="pt-PT"/>
        </w:rPr>
      </w:pPr>
      <w:r w:rsidRPr="007900F4">
        <w:rPr>
          <w:rFonts w:ascii="Times New Roman" w:hAnsi="Times New Roman" w:cs="Times New Roman"/>
          <w:b/>
          <w:sz w:val="20"/>
          <w:szCs w:val="20"/>
          <w:lang w:val="pt-PT"/>
        </w:rPr>
        <w:t>Daniela Rosa</w:t>
      </w:r>
      <w:r w:rsidRPr="007900F4">
        <w:rPr>
          <w:rFonts w:ascii="Times New Roman" w:hAnsi="Times New Roman" w:cs="Times New Roman"/>
          <w:b/>
          <w:sz w:val="20"/>
          <w:szCs w:val="20"/>
          <w:vertAlign w:val="superscript"/>
          <w:lang w:val="pt-PT"/>
        </w:rPr>
        <w:t>1,2,*</w:t>
      </w:r>
      <w:r w:rsidRPr="007900F4">
        <w:rPr>
          <w:rFonts w:ascii="Times New Roman" w:hAnsi="Times New Roman" w:cs="Times New Roman"/>
          <w:b/>
          <w:sz w:val="20"/>
          <w:szCs w:val="20"/>
          <w:lang w:val="pt-PT"/>
        </w:rPr>
        <w:t>, Iago Mosqueira</w:t>
      </w:r>
      <w:r w:rsidRPr="007900F4">
        <w:rPr>
          <w:rFonts w:ascii="Times New Roman" w:hAnsi="Times New Roman" w:cs="Times New Roman"/>
          <w:b/>
          <w:sz w:val="20"/>
          <w:szCs w:val="20"/>
          <w:vertAlign w:val="superscript"/>
          <w:lang w:val="pt-PT"/>
        </w:rPr>
        <w:t>3</w:t>
      </w:r>
      <w:r w:rsidRPr="007900F4">
        <w:rPr>
          <w:rFonts w:ascii="Times New Roman" w:hAnsi="Times New Roman" w:cs="Times New Roman"/>
          <w:b/>
          <w:sz w:val="20"/>
          <w:szCs w:val="20"/>
          <w:lang w:val="pt-PT"/>
        </w:rPr>
        <w:t>, Dan Fu</w:t>
      </w:r>
      <w:r w:rsidRPr="007900F4">
        <w:rPr>
          <w:rFonts w:ascii="Times New Roman" w:hAnsi="Times New Roman" w:cs="Times New Roman"/>
          <w:b/>
          <w:sz w:val="20"/>
          <w:szCs w:val="20"/>
          <w:vertAlign w:val="superscript"/>
          <w:lang w:val="pt-PT"/>
        </w:rPr>
        <w:t>4</w:t>
      </w:r>
      <w:r w:rsidRPr="007900F4">
        <w:rPr>
          <w:rFonts w:ascii="Times New Roman" w:hAnsi="Times New Roman" w:cs="Times New Roman"/>
          <w:b/>
          <w:sz w:val="20"/>
          <w:szCs w:val="20"/>
          <w:lang w:val="pt-PT"/>
        </w:rPr>
        <w:t>, Rui Coelho</w:t>
      </w:r>
      <w:r w:rsidRPr="007900F4">
        <w:rPr>
          <w:rFonts w:ascii="Times New Roman" w:hAnsi="Times New Roman" w:cs="Times New Roman"/>
          <w:b/>
          <w:sz w:val="20"/>
          <w:szCs w:val="20"/>
          <w:vertAlign w:val="superscript"/>
          <w:lang w:val="pt-PT"/>
        </w:rPr>
        <w:t>1,2</w:t>
      </w:r>
      <w:r w:rsidRPr="007900F4">
        <w:rPr>
          <w:rFonts w:ascii="Times New Roman" w:hAnsi="Times New Roman" w:cs="Times New Roman"/>
          <w:b/>
          <w:sz w:val="20"/>
          <w:szCs w:val="20"/>
          <w:lang w:val="pt-PT"/>
        </w:rPr>
        <w:t>.</w:t>
      </w:r>
    </w:p>
    <w:p w14:paraId="5C160589" w14:textId="77777777" w:rsidR="00C733D4" w:rsidRPr="007900F4" w:rsidRDefault="00C733D4" w:rsidP="00C733D4">
      <w:pPr>
        <w:jc w:val="center"/>
        <w:rPr>
          <w:rFonts w:ascii="Times New Roman" w:hAnsi="Times New Roman" w:cs="Times New Roman"/>
          <w:b/>
          <w:sz w:val="20"/>
          <w:szCs w:val="20"/>
          <w:lang w:val="pt-PT"/>
        </w:rPr>
      </w:pPr>
    </w:p>
    <w:p w14:paraId="53DF4065" w14:textId="77777777" w:rsidR="00C733D4" w:rsidRPr="007900F4" w:rsidRDefault="00C733D4" w:rsidP="00C733D4">
      <w:pPr>
        <w:rPr>
          <w:rFonts w:ascii="Times New Roman" w:hAnsi="Times New Roman" w:cs="Times New Roman"/>
          <w:sz w:val="20"/>
          <w:szCs w:val="20"/>
          <w:lang w:val="pt-PT"/>
        </w:rPr>
      </w:pPr>
      <w:r w:rsidRPr="007900F4">
        <w:rPr>
          <w:rFonts w:ascii="Times New Roman" w:hAnsi="Times New Roman" w:cs="Times New Roman"/>
          <w:sz w:val="20"/>
          <w:szCs w:val="20"/>
          <w:lang w:val="pt-PT"/>
        </w:rPr>
        <w:t>1: IPMA – Instituto Português do Mar e da Atmosfera, I.P., Av. 5 de Outubro s/n, 8700-305 Olhão, Portugal.</w:t>
      </w:r>
    </w:p>
    <w:p w14:paraId="36B6448C" w14:textId="77777777" w:rsidR="00C733D4" w:rsidRPr="007900F4" w:rsidRDefault="00C733D4" w:rsidP="00C733D4">
      <w:pPr>
        <w:rPr>
          <w:rFonts w:ascii="Times New Roman" w:hAnsi="Times New Roman" w:cs="Times New Roman"/>
          <w:sz w:val="20"/>
          <w:szCs w:val="20"/>
          <w:lang w:val="pt-PT"/>
        </w:rPr>
      </w:pPr>
      <w:r w:rsidRPr="007900F4">
        <w:rPr>
          <w:rFonts w:ascii="Times New Roman" w:hAnsi="Times New Roman" w:cs="Times New Roman"/>
          <w:sz w:val="20"/>
          <w:szCs w:val="20"/>
          <w:lang w:val="pt-PT"/>
        </w:rPr>
        <w:t>2: CCMAR – Centro de Ciências do Mar da Universidade do Algarve, Universidade do Algarve, Campus de Gambelas, 8005-139 Faro, Portugal.</w:t>
      </w:r>
    </w:p>
    <w:p w14:paraId="0970913E" w14:textId="77777777" w:rsidR="00C733D4" w:rsidRPr="007900F4" w:rsidRDefault="00C733D4" w:rsidP="00C733D4">
      <w:pPr>
        <w:rPr>
          <w:rFonts w:ascii="Times New Roman" w:hAnsi="Times New Roman" w:cs="Times New Roman"/>
          <w:sz w:val="20"/>
          <w:szCs w:val="20"/>
        </w:rPr>
      </w:pPr>
      <w:r w:rsidRPr="007900F4">
        <w:rPr>
          <w:rFonts w:ascii="Times New Roman" w:hAnsi="Times New Roman" w:cs="Times New Roman"/>
          <w:sz w:val="20"/>
          <w:szCs w:val="20"/>
        </w:rPr>
        <w:t>3: WMR – Wageningen Marine Research, Haringkade 1, 1976 CP IJmuiden. The Netherlands</w:t>
      </w:r>
    </w:p>
    <w:p w14:paraId="3E80BDF5" w14:textId="77777777" w:rsidR="00C733D4" w:rsidRPr="007900F4" w:rsidRDefault="00C733D4" w:rsidP="00C733D4">
      <w:pPr>
        <w:rPr>
          <w:rFonts w:ascii="Times New Roman" w:hAnsi="Times New Roman" w:cs="Times New Roman"/>
          <w:sz w:val="20"/>
          <w:szCs w:val="20"/>
        </w:rPr>
      </w:pPr>
      <w:r w:rsidRPr="007900F4">
        <w:rPr>
          <w:rFonts w:ascii="Times New Roman" w:hAnsi="Times New Roman" w:cs="Times New Roman"/>
          <w:sz w:val="20"/>
          <w:szCs w:val="20"/>
        </w:rPr>
        <w:t>4: IOTC – Indian Ocean Tuna Commission, Blend building, Providence, Seychelles</w:t>
      </w:r>
    </w:p>
    <w:p w14:paraId="6C042FF3" w14:textId="77777777" w:rsidR="00C733D4" w:rsidRPr="007900F4" w:rsidRDefault="00C733D4" w:rsidP="00C733D4">
      <w:pPr>
        <w:rPr>
          <w:rFonts w:ascii="Times New Roman" w:hAnsi="Times New Roman" w:cs="Times New Roman"/>
          <w:sz w:val="20"/>
          <w:szCs w:val="20"/>
        </w:rPr>
      </w:pPr>
      <w:r w:rsidRPr="007900F4">
        <w:rPr>
          <w:rFonts w:ascii="Times New Roman" w:hAnsi="Times New Roman" w:cs="Times New Roman"/>
          <w:sz w:val="20"/>
          <w:szCs w:val="20"/>
        </w:rPr>
        <w:t>*corresponding author: daniela.rosa@ipma.pt</w:t>
      </w:r>
    </w:p>
    <w:p w14:paraId="088CD9C1" w14:textId="77777777" w:rsidR="00337D24" w:rsidRPr="00337D24" w:rsidRDefault="00337D24" w:rsidP="00337D24"/>
    <w:p w14:paraId="1E8A7E11"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A set of model diagnostics is presented as an example for one model (i1) from the model grid with the following specifications:</w:t>
      </w:r>
    </w:p>
    <w:p w14:paraId="4213082E" w14:textId="77777777" w:rsidR="00337D24" w:rsidRPr="00C733D4" w:rsidRDefault="00337D24" w:rsidP="00337D24">
      <w:pPr>
        <w:numPr>
          <w:ilvl w:val="0"/>
          <w:numId w:val="1"/>
        </w:numPr>
        <w:spacing w:after="0"/>
        <w:jc w:val="both"/>
        <w:rPr>
          <w:rFonts w:ascii="Times New Roman" w:hAnsi="Times New Roman" w:cs="Times New Roman"/>
          <w:sz w:val="20"/>
          <w:szCs w:val="20"/>
        </w:rPr>
      </w:pPr>
      <w:r w:rsidRPr="00C733D4">
        <w:rPr>
          <w:rFonts w:ascii="Times New Roman" w:hAnsi="Times New Roman" w:cs="Times New Roman"/>
          <w:color w:val="000000"/>
          <w:sz w:val="20"/>
          <w:szCs w:val="20"/>
        </w:rPr>
        <w:t>M=0.2</w:t>
      </w:r>
    </w:p>
    <w:p w14:paraId="6F2DACFE" w14:textId="77777777" w:rsidR="00337D24" w:rsidRPr="00C733D4" w:rsidRDefault="00337D24" w:rsidP="00337D24">
      <w:pPr>
        <w:numPr>
          <w:ilvl w:val="0"/>
          <w:numId w:val="1"/>
        </w:numPr>
        <w:spacing w:after="0"/>
        <w:jc w:val="both"/>
        <w:rPr>
          <w:rFonts w:ascii="Times New Roman" w:hAnsi="Times New Roman" w:cs="Times New Roman"/>
          <w:sz w:val="20"/>
          <w:szCs w:val="20"/>
        </w:rPr>
      </w:pPr>
      <w:r w:rsidRPr="00C733D4">
        <w:rPr>
          <w:rFonts w:ascii="Times New Roman" w:hAnsi="Times New Roman" w:cs="Times New Roman"/>
          <w:color w:val="000000"/>
          <w:sz w:val="20"/>
          <w:szCs w:val="20"/>
        </w:rPr>
        <w:t>h=0.75</w:t>
      </w:r>
    </w:p>
    <w:p w14:paraId="465275C6" w14:textId="77777777" w:rsidR="00337D24" w:rsidRPr="00C733D4" w:rsidRDefault="00337D24" w:rsidP="00337D24">
      <w:pPr>
        <w:numPr>
          <w:ilvl w:val="0"/>
          <w:numId w:val="1"/>
        </w:numPr>
        <w:spacing w:after="0"/>
        <w:jc w:val="both"/>
        <w:rPr>
          <w:rFonts w:ascii="Times New Roman" w:hAnsi="Times New Roman" w:cs="Times New Roman"/>
          <w:sz w:val="20"/>
          <w:szCs w:val="20"/>
        </w:rPr>
      </w:pPr>
      <w:r w:rsidRPr="00C733D4">
        <w:rPr>
          <w:rFonts w:ascii="Times New Roman" w:hAnsi="Times New Roman" w:cs="Times New Roman"/>
          <w:color w:val="000000"/>
          <w:sz w:val="20"/>
          <w:szCs w:val="20"/>
        </w:rPr>
        <w:t>sigmaR=0.2</w:t>
      </w:r>
    </w:p>
    <w:p w14:paraId="647CFD2D" w14:textId="77777777" w:rsidR="00337D24" w:rsidRPr="00C733D4" w:rsidRDefault="00337D24" w:rsidP="00337D24">
      <w:pPr>
        <w:numPr>
          <w:ilvl w:val="0"/>
          <w:numId w:val="1"/>
        </w:numPr>
        <w:spacing w:after="0"/>
        <w:jc w:val="both"/>
        <w:rPr>
          <w:rFonts w:ascii="Times New Roman" w:hAnsi="Times New Roman" w:cs="Times New Roman"/>
          <w:sz w:val="20"/>
          <w:szCs w:val="20"/>
        </w:rPr>
      </w:pPr>
      <w:r w:rsidRPr="00C733D4">
        <w:rPr>
          <w:rFonts w:ascii="Times New Roman" w:hAnsi="Times New Roman" w:cs="Times New Roman"/>
          <w:color w:val="000000"/>
          <w:sz w:val="20"/>
          <w:szCs w:val="20"/>
        </w:rPr>
        <w:t>ess=2</w:t>
      </w:r>
    </w:p>
    <w:p w14:paraId="2A0995CB" w14:textId="77777777" w:rsidR="00337D24" w:rsidRPr="00C733D4" w:rsidRDefault="00337D24" w:rsidP="00337D24">
      <w:pPr>
        <w:numPr>
          <w:ilvl w:val="0"/>
          <w:numId w:val="1"/>
        </w:numPr>
        <w:spacing w:after="0"/>
        <w:jc w:val="both"/>
        <w:rPr>
          <w:rFonts w:ascii="Times New Roman" w:hAnsi="Times New Roman" w:cs="Times New Roman"/>
          <w:sz w:val="20"/>
          <w:szCs w:val="20"/>
        </w:rPr>
      </w:pPr>
      <w:r w:rsidRPr="00C733D4">
        <w:rPr>
          <w:rFonts w:ascii="Times New Roman" w:hAnsi="Times New Roman" w:cs="Times New Roman"/>
          <w:color w:val="000000"/>
          <w:sz w:val="20"/>
          <w:szCs w:val="20"/>
        </w:rPr>
        <w:t>llq=1.00</w:t>
      </w:r>
    </w:p>
    <w:p w14:paraId="4CC45C8B" w14:textId="77777777" w:rsidR="00337D24" w:rsidRPr="00C733D4" w:rsidRDefault="00337D24" w:rsidP="00337D24">
      <w:pPr>
        <w:numPr>
          <w:ilvl w:val="0"/>
          <w:numId w:val="1"/>
        </w:numPr>
        <w:spacing w:after="0"/>
        <w:jc w:val="both"/>
        <w:rPr>
          <w:rFonts w:ascii="Times New Roman" w:hAnsi="Times New Roman" w:cs="Times New Roman"/>
          <w:color w:val="000000"/>
          <w:sz w:val="20"/>
          <w:szCs w:val="20"/>
        </w:rPr>
      </w:pPr>
      <w:r w:rsidRPr="00C733D4">
        <w:rPr>
          <w:rFonts w:ascii="Times New Roman" w:hAnsi="Times New Roman" w:cs="Times New Roman"/>
          <w:color w:val="000000"/>
          <w:sz w:val="20"/>
          <w:szCs w:val="20"/>
        </w:rPr>
        <w:t>Growth &amp; maturity= Farley et al., 2022</w:t>
      </w:r>
    </w:p>
    <w:p w14:paraId="241F2B7F" w14:textId="77777777" w:rsidR="00337D24" w:rsidRPr="00C733D4" w:rsidRDefault="00337D24" w:rsidP="00337D24">
      <w:pPr>
        <w:numPr>
          <w:ilvl w:val="0"/>
          <w:numId w:val="1"/>
        </w:numPr>
        <w:spacing w:after="0"/>
        <w:jc w:val="both"/>
        <w:rPr>
          <w:rFonts w:ascii="Times New Roman" w:hAnsi="Times New Roman" w:cs="Times New Roman"/>
          <w:color w:val="000000"/>
          <w:sz w:val="20"/>
          <w:szCs w:val="20"/>
        </w:rPr>
      </w:pPr>
      <w:r w:rsidRPr="00C733D4">
        <w:rPr>
          <w:rFonts w:ascii="Times New Roman" w:hAnsi="Times New Roman" w:cs="Times New Roman"/>
          <w:color w:val="000000"/>
          <w:sz w:val="20"/>
          <w:szCs w:val="20"/>
        </w:rPr>
        <w:t>CPUE=jappt</w:t>
      </w:r>
    </w:p>
    <w:p w14:paraId="5AD4694C" w14:textId="77777777" w:rsidR="00337D24" w:rsidRPr="00C733D4" w:rsidRDefault="00337D24" w:rsidP="00337D24">
      <w:pPr>
        <w:numPr>
          <w:ilvl w:val="0"/>
          <w:numId w:val="1"/>
        </w:numPr>
        <w:spacing w:after="0"/>
        <w:jc w:val="both"/>
        <w:rPr>
          <w:rFonts w:ascii="Times New Roman" w:hAnsi="Times New Roman" w:cs="Times New Roman"/>
          <w:color w:val="000000"/>
          <w:sz w:val="20"/>
          <w:szCs w:val="20"/>
        </w:rPr>
      </w:pPr>
      <w:r w:rsidRPr="00C733D4">
        <w:rPr>
          <w:rFonts w:ascii="Times New Roman" w:hAnsi="Times New Roman" w:cs="Times New Roman"/>
          <w:color w:val="000000"/>
          <w:sz w:val="20"/>
          <w:szCs w:val="20"/>
        </w:rPr>
        <w:t>Scaling= area</w:t>
      </w:r>
    </w:p>
    <w:p w14:paraId="21D8715C" w14:textId="77777777" w:rsidR="00337D24" w:rsidRPr="00C733D4" w:rsidRDefault="00337D24" w:rsidP="00337D24">
      <w:pPr>
        <w:numPr>
          <w:ilvl w:val="0"/>
          <w:numId w:val="1"/>
        </w:numPr>
        <w:jc w:val="both"/>
        <w:rPr>
          <w:rFonts w:ascii="Times New Roman" w:hAnsi="Times New Roman" w:cs="Times New Roman"/>
          <w:color w:val="000000"/>
          <w:sz w:val="20"/>
          <w:szCs w:val="20"/>
        </w:rPr>
      </w:pPr>
      <w:r w:rsidRPr="00C733D4">
        <w:rPr>
          <w:rFonts w:ascii="Times New Roman" w:hAnsi="Times New Roman" w:cs="Times New Roman"/>
          <w:color w:val="000000"/>
          <w:sz w:val="20"/>
          <w:szCs w:val="20"/>
        </w:rPr>
        <w:t>LLsel= Double normal</w:t>
      </w:r>
    </w:p>
    <w:p w14:paraId="0781ADB8"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Diagnostics were based on convergence, retrospective analysis, runs test and hindcast cross validation. These diagnostics were run in R (R Core Team, 2022) using the R package “ss3diags” (Winker et al., 2021).</w:t>
      </w:r>
    </w:p>
    <w:p w14:paraId="14F21069" w14:textId="77777777" w:rsidR="00337D24" w:rsidRPr="00C733D4" w:rsidRDefault="00337D24" w:rsidP="00337D24">
      <w:pPr>
        <w:rPr>
          <w:rFonts w:ascii="Times New Roman" w:hAnsi="Times New Roman" w:cs="Times New Roman"/>
          <w:sz w:val="20"/>
          <w:szCs w:val="20"/>
        </w:rPr>
      </w:pPr>
    </w:p>
    <w:p w14:paraId="256C5833" w14:textId="77777777" w:rsidR="00337D24" w:rsidRPr="00C733D4" w:rsidRDefault="00337D24" w:rsidP="00337D24">
      <w:pPr>
        <w:rPr>
          <w:rFonts w:ascii="Times New Roman" w:hAnsi="Times New Roman" w:cs="Times New Roman"/>
          <w:b/>
          <w:sz w:val="20"/>
          <w:szCs w:val="20"/>
          <w:u w:val="single"/>
        </w:rPr>
      </w:pPr>
      <w:r w:rsidRPr="00C733D4">
        <w:rPr>
          <w:rFonts w:ascii="Times New Roman" w:hAnsi="Times New Roman" w:cs="Times New Roman"/>
          <w:b/>
          <w:sz w:val="20"/>
          <w:szCs w:val="20"/>
          <w:u w:val="single"/>
        </w:rPr>
        <w:t>Convergence level</w:t>
      </w:r>
    </w:p>
    <w:p w14:paraId="48805E04"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Convergence is assessed by the inversion of the Hessian matrix, and the value of final gradient of the objective function at the solution, from here forward mentioned as convergence level. Carvalho et al. (2021) suggested 0.0001 as a threshold for the convergence level, noting that a small gradient might not be an absolute requirement.  In the case of model i1, the convergence level was below this threshold.</w:t>
      </w:r>
    </w:p>
    <w:p w14:paraId="7FA38FD9" w14:textId="77777777" w:rsidR="00337D24" w:rsidRPr="00C733D4" w:rsidRDefault="00337D24" w:rsidP="00337D24">
      <w:pPr>
        <w:rPr>
          <w:rFonts w:ascii="Times New Roman" w:hAnsi="Times New Roman" w:cs="Times New Roman"/>
          <w:sz w:val="20"/>
          <w:szCs w:val="20"/>
        </w:rPr>
      </w:pPr>
    </w:p>
    <w:p w14:paraId="40D27437" w14:textId="77777777" w:rsidR="00337D24" w:rsidRPr="00C733D4" w:rsidRDefault="00337D24" w:rsidP="00337D24">
      <w:pPr>
        <w:rPr>
          <w:rFonts w:ascii="Times New Roman" w:hAnsi="Times New Roman" w:cs="Times New Roman"/>
          <w:b/>
          <w:sz w:val="20"/>
          <w:szCs w:val="20"/>
          <w:u w:val="single"/>
        </w:rPr>
      </w:pPr>
      <w:r w:rsidRPr="00C733D4">
        <w:rPr>
          <w:rFonts w:ascii="Times New Roman" w:hAnsi="Times New Roman" w:cs="Times New Roman"/>
          <w:b/>
          <w:sz w:val="20"/>
          <w:szCs w:val="20"/>
          <w:u w:val="single"/>
        </w:rPr>
        <w:t>Retrospective analysis</w:t>
      </w:r>
    </w:p>
    <w:p w14:paraId="64C12989"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The retrospective pattern for the estimated SSB from the i1 model is shown in Figure S1. This plot also includes a one-step ahead projection of SSB based on the known total catches. Retrospective analysis is a form of hindcasting commonly used to assess the stability of a model formulation to updates in the data. Mohn’s rho (Mohn, 1999) is then used to quantify the strength of the retrospective pattern. Hurtado-Ferro et al. (2015) proposed that values outside the -0.15 to 0.20 range, should indicate an undesirable retrospective pattern for longer lived species. In the case of i1 Monh's rho is within the proposed range.</w:t>
      </w:r>
    </w:p>
    <w:p w14:paraId="61635884" w14:textId="77777777" w:rsidR="00337D24" w:rsidRPr="00C733D4" w:rsidRDefault="00337D24" w:rsidP="00337D24">
      <w:pPr>
        <w:jc w:val="center"/>
        <w:rPr>
          <w:rFonts w:ascii="Times New Roman" w:hAnsi="Times New Roman" w:cs="Times New Roman"/>
          <w:sz w:val="20"/>
          <w:szCs w:val="20"/>
        </w:rPr>
      </w:pPr>
      <w:r w:rsidRPr="00C733D4">
        <w:rPr>
          <w:rFonts w:ascii="Times New Roman" w:hAnsi="Times New Roman" w:cs="Times New Roman"/>
          <w:noProof/>
          <w:sz w:val="20"/>
          <w:szCs w:val="20"/>
        </w:rPr>
        <w:lastRenderedPageBreak/>
        <w:drawing>
          <wp:inline distT="0" distB="0" distL="0" distR="0" wp14:anchorId="7F1AED4F" wp14:editId="788FB57C">
            <wp:extent cx="4319905" cy="2159952"/>
            <wp:effectExtent l="0" t="0" r="4445"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19905" cy="2159952"/>
                    </a:xfrm>
                    <a:prstGeom prst="rect">
                      <a:avLst/>
                    </a:prstGeom>
                  </pic:spPr>
                </pic:pic>
              </a:graphicData>
            </a:graphic>
          </wp:inline>
        </w:drawing>
      </w:r>
    </w:p>
    <w:p w14:paraId="3B47A16F"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Figure S1 - Five-year retrospective runs with a one step ahead forecast of spawning stock biomass according to total catch for Indian Ocean swordfish.</w:t>
      </w:r>
    </w:p>
    <w:p w14:paraId="4609053A" w14:textId="77777777" w:rsidR="00337D24" w:rsidRPr="00C733D4" w:rsidRDefault="00337D24" w:rsidP="00337D24">
      <w:pPr>
        <w:rPr>
          <w:rFonts w:ascii="Times New Roman" w:hAnsi="Times New Roman" w:cs="Times New Roman"/>
          <w:sz w:val="20"/>
          <w:szCs w:val="20"/>
        </w:rPr>
      </w:pPr>
    </w:p>
    <w:p w14:paraId="631A5D1B" w14:textId="77777777" w:rsidR="00337D24" w:rsidRPr="00C733D4" w:rsidRDefault="00337D24" w:rsidP="00337D24">
      <w:pPr>
        <w:rPr>
          <w:rFonts w:ascii="Times New Roman" w:hAnsi="Times New Roman" w:cs="Times New Roman"/>
          <w:b/>
          <w:sz w:val="20"/>
          <w:szCs w:val="20"/>
          <w:u w:val="single"/>
        </w:rPr>
      </w:pPr>
      <w:r w:rsidRPr="00C733D4">
        <w:rPr>
          <w:rFonts w:ascii="Times New Roman" w:hAnsi="Times New Roman" w:cs="Times New Roman"/>
          <w:b/>
          <w:sz w:val="20"/>
          <w:szCs w:val="20"/>
          <w:u w:val="single"/>
        </w:rPr>
        <w:t>Runs test</w:t>
      </w:r>
    </w:p>
    <w:p w14:paraId="0572C940"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Runs tests on the CPUE and length-frequency data sources are common diagnostics of goodness of fit (Carvalho et al., 2017). The Wald-Wolfowitz runs test, a non-parametric statistical test that checks the randomness hypothesis for a data sequence, can be used to identify residuals patterns that should not be considered random. The runs test for the CPUEs (Figure S2) indicate that the model fit to the CPUE data series do not present significant patterns for all CPUE series except in the case of the SW Japanese series, however it should be noted that for this area two series (UJPLL_SW and UPOR_SW) are being fitted for the year 2000 up to 2003.</w:t>
      </w:r>
    </w:p>
    <w:p w14:paraId="1F9F5A11"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The runs test for the length-frequency (LF) data sources indicate that some series present significant patterns in the residuals (Figures S3-S4), this is particularly noted in the SW region where none of the LF “passed” the runs test.</w:t>
      </w:r>
    </w:p>
    <w:p w14:paraId="3F4F1265"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noProof/>
          <w:sz w:val="20"/>
          <w:szCs w:val="20"/>
        </w:rPr>
        <w:drawing>
          <wp:inline distT="0" distB="0" distL="0" distR="0" wp14:anchorId="23585FC4" wp14:editId="105EB77A">
            <wp:extent cx="5387340" cy="3368040"/>
            <wp:effectExtent l="0" t="0" r="0" b="0"/>
            <wp:docPr id="10" name="image10.png" descr="Uma imagem com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descr="Uma imagem com mesa&#10;&#10;Descrição gerada automaticamente"/>
                    <pic:cNvPicPr>
                      <a:picLocks noChangeAspect="1" noChangeArrowheads="1"/>
                    </pic:cNvPicPr>
                  </pic:nvPicPr>
                  <pic:blipFill>
                    <a:blip r:embed="rId8"/>
                    <a:stretch>
                      <a:fillRect/>
                    </a:stretch>
                  </pic:blipFill>
                  <pic:spPr bwMode="auto">
                    <a:xfrm>
                      <a:off x="0" y="0"/>
                      <a:ext cx="5387340" cy="3368040"/>
                    </a:xfrm>
                    <a:prstGeom prst="rect">
                      <a:avLst/>
                    </a:prstGeom>
                  </pic:spPr>
                </pic:pic>
              </a:graphicData>
            </a:graphic>
          </wp:inline>
        </w:drawing>
      </w:r>
    </w:p>
    <w:p w14:paraId="57818CD3"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Figure S2 - Runs tests of the CPUE series for Indian Ocean swordfish.</w:t>
      </w:r>
    </w:p>
    <w:p w14:paraId="20045638"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noProof/>
          <w:sz w:val="20"/>
          <w:szCs w:val="20"/>
        </w:rPr>
        <w:lastRenderedPageBreak/>
        <w:drawing>
          <wp:inline distT="0" distB="0" distL="0" distR="0" wp14:anchorId="1CB16B8F" wp14:editId="5D78152E">
            <wp:extent cx="5387340" cy="3368040"/>
            <wp:effectExtent l="0" t="0" r="0" b="0"/>
            <wp:docPr id="11" name="image2.png" descr="Uma imagem com texto, captura de ecrã, número,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descr="Uma imagem com texto, captura de ecrã, número, Tipo de letra&#10;&#10;Descrição gerada automaticamente"/>
                    <pic:cNvPicPr>
                      <a:picLocks noChangeAspect="1" noChangeArrowheads="1"/>
                    </pic:cNvPicPr>
                  </pic:nvPicPr>
                  <pic:blipFill>
                    <a:blip r:embed="rId9"/>
                    <a:stretch>
                      <a:fillRect/>
                    </a:stretch>
                  </pic:blipFill>
                  <pic:spPr bwMode="auto">
                    <a:xfrm>
                      <a:off x="0" y="0"/>
                      <a:ext cx="5387340" cy="3368040"/>
                    </a:xfrm>
                    <a:prstGeom prst="rect">
                      <a:avLst/>
                    </a:prstGeom>
                  </pic:spPr>
                </pic:pic>
              </a:graphicData>
            </a:graphic>
          </wp:inline>
        </w:drawing>
      </w:r>
      <w:r w:rsidRPr="00C733D4">
        <w:rPr>
          <w:rFonts w:ascii="Times New Roman" w:hAnsi="Times New Roman" w:cs="Times New Roman"/>
          <w:sz w:val="20"/>
          <w:szCs w:val="20"/>
        </w:rPr>
        <w:t>Figure S3 - Runs tests for the various sources of length frequency data for the Northern Indian Ocean swordfish.</w:t>
      </w:r>
    </w:p>
    <w:p w14:paraId="616C5478"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noProof/>
          <w:sz w:val="20"/>
          <w:szCs w:val="20"/>
        </w:rPr>
        <w:drawing>
          <wp:inline distT="0" distB="0" distL="0" distR="0" wp14:anchorId="62D16372" wp14:editId="15E0EF2C">
            <wp:extent cx="5387340" cy="3368040"/>
            <wp:effectExtent l="0" t="0" r="0" b="0"/>
            <wp:docPr id="12" name="image3.png" descr="Uma imagem com m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descr="Uma imagem com mesa&#10;&#10;Descrição gerada automaticamente"/>
                    <pic:cNvPicPr>
                      <a:picLocks noChangeAspect="1" noChangeArrowheads="1"/>
                    </pic:cNvPicPr>
                  </pic:nvPicPr>
                  <pic:blipFill>
                    <a:blip r:embed="rId10"/>
                    <a:stretch>
                      <a:fillRect/>
                    </a:stretch>
                  </pic:blipFill>
                  <pic:spPr bwMode="auto">
                    <a:xfrm>
                      <a:off x="0" y="0"/>
                      <a:ext cx="5387340" cy="3368040"/>
                    </a:xfrm>
                    <a:prstGeom prst="rect">
                      <a:avLst/>
                    </a:prstGeom>
                  </pic:spPr>
                </pic:pic>
              </a:graphicData>
            </a:graphic>
          </wp:inline>
        </w:drawing>
      </w:r>
    </w:p>
    <w:p w14:paraId="13F16D4B"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Figure S4 - Runs tests for the various sources of length frequency data for the Southern Indian Ocean swordfish.</w:t>
      </w:r>
    </w:p>
    <w:p w14:paraId="2FFA86BA" w14:textId="77777777" w:rsidR="00337D24" w:rsidRPr="00C733D4" w:rsidRDefault="00337D24" w:rsidP="00337D24">
      <w:pPr>
        <w:rPr>
          <w:rFonts w:ascii="Times New Roman" w:hAnsi="Times New Roman" w:cs="Times New Roman"/>
          <w:b/>
          <w:sz w:val="20"/>
          <w:szCs w:val="20"/>
          <w:u w:val="single"/>
        </w:rPr>
      </w:pPr>
    </w:p>
    <w:p w14:paraId="390F550D" w14:textId="77777777" w:rsidR="00337D24" w:rsidRPr="00C733D4" w:rsidRDefault="00337D24" w:rsidP="00337D24">
      <w:pPr>
        <w:rPr>
          <w:rFonts w:ascii="Times New Roman" w:hAnsi="Times New Roman" w:cs="Times New Roman"/>
          <w:b/>
          <w:sz w:val="20"/>
          <w:szCs w:val="20"/>
          <w:u w:val="single"/>
        </w:rPr>
      </w:pPr>
      <w:r w:rsidRPr="00C733D4">
        <w:rPr>
          <w:rFonts w:ascii="Times New Roman" w:hAnsi="Times New Roman" w:cs="Times New Roman"/>
          <w:b/>
          <w:sz w:val="20"/>
          <w:szCs w:val="20"/>
          <w:u w:val="single"/>
        </w:rPr>
        <w:t>Hindcasting cross validation</w:t>
      </w:r>
    </w:p>
    <w:p w14:paraId="1C3EB881"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 xml:space="preserve">A proposed model-free hindcasting technique (HCXval) uses cross-validation to compare observations to their predicted future values (Kell et al., 2016). The prediction skill of a model is then computed from the prediction residuals. A robust statistic for evaluating the prediction skill can be constructed using the mean absolute scaled error (MASE) of Hyndman et al. (2006). </w:t>
      </w:r>
    </w:p>
    <w:p w14:paraId="2D38EC1B"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lastRenderedPageBreak/>
        <w:t>The prediction skills of the indices for each area are presented in Figure S5. A MASE score larger than 1 indicates the model does only as well as a random walk at predicting the quantity, while a value of 0.5 indicates the model is twice as good as a random walk. The model prediction skill appears to be better for the Northwest area.</w:t>
      </w:r>
    </w:p>
    <w:p w14:paraId="7BC686F8"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noProof/>
          <w:sz w:val="20"/>
          <w:szCs w:val="20"/>
        </w:rPr>
        <w:drawing>
          <wp:inline distT="0" distB="0" distL="0" distR="0" wp14:anchorId="71442DE5" wp14:editId="5FA18BE5">
            <wp:extent cx="5387340" cy="3368040"/>
            <wp:effectExtent l="0" t="0" r="0" b="0"/>
            <wp:docPr id="13" name="image4.png" descr="Uma imagem com texto, diagrama, mapa, fil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descr="Uma imagem com texto, diagrama, mapa, file&#10;&#10;Descrição gerada automaticamente"/>
                    <pic:cNvPicPr>
                      <a:picLocks noChangeAspect="1" noChangeArrowheads="1"/>
                    </pic:cNvPicPr>
                  </pic:nvPicPr>
                  <pic:blipFill>
                    <a:blip r:embed="rId11"/>
                    <a:stretch>
                      <a:fillRect/>
                    </a:stretch>
                  </pic:blipFill>
                  <pic:spPr bwMode="auto">
                    <a:xfrm>
                      <a:off x="0" y="0"/>
                      <a:ext cx="5387340" cy="3368040"/>
                    </a:xfrm>
                    <a:prstGeom prst="rect">
                      <a:avLst/>
                    </a:prstGeom>
                  </pic:spPr>
                </pic:pic>
              </a:graphicData>
            </a:graphic>
          </wp:inline>
        </w:drawing>
      </w:r>
    </w:p>
    <w:p w14:paraId="0A34DD05" w14:textId="77777777" w:rsidR="00337D24" w:rsidRPr="00C733D4" w:rsidRDefault="00337D24" w:rsidP="00337D24">
      <w:pPr>
        <w:jc w:val="both"/>
        <w:rPr>
          <w:rFonts w:ascii="Times New Roman" w:hAnsi="Times New Roman" w:cs="Times New Roman"/>
          <w:sz w:val="20"/>
          <w:szCs w:val="20"/>
        </w:rPr>
      </w:pPr>
      <w:r w:rsidRPr="00C733D4">
        <w:rPr>
          <w:rFonts w:ascii="Times New Roman" w:hAnsi="Times New Roman" w:cs="Times New Roman"/>
          <w:sz w:val="20"/>
          <w:szCs w:val="20"/>
        </w:rPr>
        <w:t>Figure S5 - Hindcasting cross-validation results for the four area CPUEs for Indian Ocean swordfish.</w:t>
      </w:r>
    </w:p>
    <w:p w14:paraId="290FC549" w14:textId="77777777" w:rsidR="00337D24" w:rsidRPr="00C733D4" w:rsidRDefault="00337D24" w:rsidP="00337D24">
      <w:pPr>
        <w:jc w:val="both"/>
        <w:rPr>
          <w:rFonts w:ascii="Times New Roman" w:hAnsi="Times New Roman" w:cs="Times New Roman"/>
          <w:sz w:val="20"/>
          <w:szCs w:val="20"/>
        </w:rPr>
      </w:pPr>
    </w:p>
    <w:p w14:paraId="5D104B66" w14:textId="77777777" w:rsidR="00337D24" w:rsidRPr="00C733D4" w:rsidRDefault="00337D24" w:rsidP="00337D24">
      <w:pPr>
        <w:jc w:val="both"/>
        <w:rPr>
          <w:rFonts w:ascii="Times New Roman" w:hAnsi="Times New Roman" w:cs="Times New Roman"/>
          <w:b/>
          <w:sz w:val="20"/>
          <w:szCs w:val="20"/>
        </w:rPr>
      </w:pPr>
      <w:r w:rsidRPr="00C733D4">
        <w:rPr>
          <w:rFonts w:ascii="Times New Roman" w:hAnsi="Times New Roman" w:cs="Times New Roman"/>
          <w:b/>
          <w:sz w:val="20"/>
          <w:szCs w:val="20"/>
        </w:rPr>
        <w:t>References</w:t>
      </w:r>
    </w:p>
    <w:p w14:paraId="552965A4" w14:textId="28C2491B"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sz w:val="20"/>
          <w:szCs w:val="20"/>
        </w:rPr>
        <w:t>Carvalho F, Punt</w:t>
      </w:r>
      <w:r w:rsidR="00C733D4">
        <w:rPr>
          <w:rFonts w:ascii="Times New Roman" w:hAnsi="Times New Roman" w:cs="Times New Roman"/>
          <w:sz w:val="20"/>
          <w:szCs w:val="20"/>
        </w:rPr>
        <w:t xml:space="preserve"> </w:t>
      </w:r>
      <w:r w:rsidR="00C733D4" w:rsidRPr="00C733D4">
        <w:rPr>
          <w:rFonts w:ascii="Times New Roman" w:hAnsi="Times New Roman" w:cs="Times New Roman"/>
          <w:sz w:val="20"/>
          <w:szCs w:val="20"/>
        </w:rPr>
        <w:t>AE</w:t>
      </w:r>
      <w:r w:rsidRPr="00C733D4">
        <w:rPr>
          <w:rFonts w:ascii="Times New Roman" w:hAnsi="Times New Roman" w:cs="Times New Roman"/>
          <w:sz w:val="20"/>
          <w:szCs w:val="20"/>
        </w:rPr>
        <w:t>, Chang</w:t>
      </w:r>
      <w:r w:rsidR="00C733D4" w:rsidRPr="00C733D4">
        <w:rPr>
          <w:rFonts w:ascii="Times New Roman" w:hAnsi="Times New Roman" w:cs="Times New Roman"/>
          <w:sz w:val="20"/>
          <w:szCs w:val="20"/>
        </w:rPr>
        <w:t xml:space="preserve"> </w:t>
      </w:r>
      <w:r w:rsidR="00C733D4" w:rsidRPr="00C733D4">
        <w:rPr>
          <w:rFonts w:ascii="Times New Roman" w:hAnsi="Times New Roman" w:cs="Times New Roman"/>
          <w:sz w:val="20"/>
          <w:szCs w:val="20"/>
        </w:rPr>
        <w:t>YJ</w:t>
      </w:r>
      <w:r w:rsidRPr="00C733D4">
        <w:rPr>
          <w:rFonts w:ascii="Times New Roman" w:hAnsi="Times New Roman" w:cs="Times New Roman"/>
          <w:sz w:val="20"/>
          <w:szCs w:val="20"/>
        </w:rPr>
        <w:t>, Maunder</w:t>
      </w:r>
      <w:r w:rsidR="00C733D4">
        <w:rPr>
          <w:rFonts w:ascii="Times New Roman" w:hAnsi="Times New Roman" w:cs="Times New Roman"/>
          <w:sz w:val="20"/>
          <w:szCs w:val="20"/>
        </w:rPr>
        <w:t xml:space="preserve"> </w:t>
      </w:r>
      <w:r w:rsidR="00C733D4" w:rsidRPr="00C733D4">
        <w:rPr>
          <w:rFonts w:ascii="Times New Roman" w:hAnsi="Times New Roman" w:cs="Times New Roman"/>
          <w:sz w:val="20"/>
          <w:szCs w:val="20"/>
        </w:rPr>
        <w:t>MN</w:t>
      </w:r>
      <w:r w:rsidRPr="00C733D4">
        <w:rPr>
          <w:rFonts w:ascii="Times New Roman" w:hAnsi="Times New Roman" w:cs="Times New Roman"/>
          <w:sz w:val="20"/>
          <w:szCs w:val="20"/>
        </w:rPr>
        <w:t>, Piner</w:t>
      </w:r>
      <w:r w:rsidR="00C733D4">
        <w:rPr>
          <w:rFonts w:ascii="Times New Roman" w:hAnsi="Times New Roman" w:cs="Times New Roman"/>
          <w:sz w:val="20"/>
          <w:szCs w:val="20"/>
        </w:rPr>
        <w:t xml:space="preserve"> </w:t>
      </w:r>
      <w:r w:rsidR="00C733D4" w:rsidRPr="00C733D4">
        <w:rPr>
          <w:rFonts w:ascii="Times New Roman" w:hAnsi="Times New Roman" w:cs="Times New Roman"/>
          <w:sz w:val="20"/>
          <w:szCs w:val="20"/>
        </w:rPr>
        <w:t>KR</w:t>
      </w:r>
      <w:r w:rsidRPr="00C733D4">
        <w:rPr>
          <w:rFonts w:ascii="Times New Roman" w:hAnsi="Times New Roman" w:cs="Times New Roman"/>
          <w:sz w:val="20"/>
          <w:szCs w:val="20"/>
        </w:rPr>
        <w:t xml:space="preserve"> </w:t>
      </w:r>
      <w:r w:rsidR="00C733D4">
        <w:rPr>
          <w:rFonts w:ascii="Times New Roman" w:hAnsi="Times New Roman" w:cs="Times New Roman"/>
          <w:sz w:val="20"/>
          <w:szCs w:val="20"/>
        </w:rPr>
        <w:t>(</w:t>
      </w:r>
      <w:r w:rsidRPr="00C733D4">
        <w:rPr>
          <w:rFonts w:ascii="Times New Roman" w:hAnsi="Times New Roman" w:cs="Times New Roman"/>
          <w:sz w:val="20"/>
          <w:szCs w:val="20"/>
        </w:rPr>
        <w:t>2017</w:t>
      </w:r>
      <w:r w:rsidR="00C733D4">
        <w:rPr>
          <w:rFonts w:ascii="Times New Roman" w:hAnsi="Times New Roman" w:cs="Times New Roman"/>
          <w:sz w:val="20"/>
          <w:szCs w:val="20"/>
        </w:rPr>
        <w:t>)</w:t>
      </w:r>
      <w:r w:rsidRPr="00C733D4">
        <w:rPr>
          <w:rFonts w:ascii="Times New Roman" w:hAnsi="Times New Roman" w:cs="Times New Roman"/>
          <w:sz w:val="20"/>
          <w:szCs w:val="20"/>
        </w:rPr>
        <w:t xml:space="preserve"> Can Diagnostic Tests Help Identify Model Misspecification in Integrated Stock Assessments?</w:t>
      </w:r>
      <w:r w:rsidR="00C733D4">
        <w:rPr>
          <w:rFonts w:ascii="Times New Roman" w:hAnsi="Times New Roman" w:cs="Times New Roman"/>
          <w:sz w:val="20"/>
          <w:szCs w:val="20"/>
        </w:rPr>
        <w:t xml:space="preserve"> </w:t>
      </w:r>
      <w:r w:rsidR="00C733D4">
        <w:rPr>
          <w:rFonts w:ascii="Times New Roman" w:hAnsi="Times New Roman" w:cs="Times New Roman"/>
          <w:iCs/>
          <w:sz w:val="20"/>
          <w:szCs w:val="20"/>
        </w:rPr>
        <w:t>Fish</w:t>
      </w:r>
      <w:r w:rsidRPr="00C733D4">
        <w:rPr>
          <w:rFonts w:ascii="Times New Roman" w:hAnsi="Times New Roman" w:cs="Times New Roman"/>
          <w:iCs/>
          <w:sz w:val="20"/>
          <w:szCs w:val="20"/>
        </w:rPr>
        <w:t xml:space="preserve"> Res 192: 28–40.</w:t>
      </w:r>
    </w:p>
    <w:p w14:paraId="302D1966" w14:textId="0B919F83"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iCs/>
          <w:sz w:val="20"/>
          <w:szCs w:val="20"/>
        </w:rPr>
        <w:t>Carvalho</w:t>
      </w:r>
      <w:r w:rsidR="00C733D4">
        <w:rPr>
          <w:rFonts w:ascii="Times New Roman" w:hAnsi="Times New Roman" w:cs="Times New Roman"/>
          <w:iCs/>
          <w:sz w:val="20"/>
          <w:szCs w:val="20"/>
        </w:rPr>
        <w:t xml:space="preserve"> </w:t>
      </w:r>
      <w:r w:rsidRPr="00C733D4">
        <w:rPr>
          <w:rFonts w:ascii="Times New Roman" w:hAnsi="Times New Roman" w:cs="Times New Roman"/>
          <w:iCs/>
          <w:sz w:val="20"/>
          <w:szCs w:val="20"/>
        </w:rPr>
        <w:t>F, Winker H, Courtney D, Kapur M, Kell L, Cardinale M, Schirripa M, Kitakado T, Yemane D, Piner KR, Maunder</w:t>
      </w:r>
      <w:r w:rsidR="00C733D4">
        <w:rPr>
          <w:rFonts w:ascii="Times New Roman" w:hAnsi="Times New Roman" w:cs="Times New Roman"/>
          <w:iCs/>
          <w:sz w:val="20"/>
          <w:szCs w:val="20"/>
        </w:rPr>
        <w:t xml:space="preserve"> </w:t>
      </w:r>
      <w:r w:rsidRPr="00C733D4">
        <w:rPr>
          <w:rFonts w:ascii="Times New Roman" w:hAnsi="Times New Roman" w:cs="Times New Roman"/>
          <w:iCs/>
          <w:sz w:val="20"/>
          <w:szCs w:val="20"/>
        </w:rPr>
        <w:t xml:space="preserve">MN, Taylor </w:t>
      </w:r>
      <w:r w:rsidR="00C733D4">
        <w:rPr>
          <w:rFonts w:ascii="Times New Roman" w:hAnsi="Times New Roman" w:cs="Times New Roman"/>
          <w:iCs/>
          <w:sz w:val="20"/>
          <w:szCs w:val="20"/>
        </w:rPr>
        <w:t>I</w:t>
      </w:r>
      <w:r w:rsidRPr="00C733D4">
        <w:rPr>
          <w:rFonts w:ascii="Times New Roman" w:hAnsi="Times New Roman" w:cs="Times New Roman"/>
          <w:iCs/>
          <w:sz w:val="20"/>
          <w:szCs w:val="20"/>
        </w:rPr>
        <w:t xml:space="preserve">, Wetzel CR, Doering K, Johnson KF, Methot RD </w:t>
      </w:r>
      <w:r w:rsidR="00C733D4">
        <w:rPr>
          <w:rFonts w:ascii="Times New Roman" w:hAnsi="Times New Roman" w:cs="Times New Roman"/>
          <w:iCs/>
          <w:sz w:val="20"/>
          <w:szCs w:val="20"/>
        </w:rPr>
        <w:t>(</w:t>
      </w:r>
      <w:r w:rsidRPr="00C733D4">
        <w:rPr>
          <w:rFonts w:ascii="Times New Roman" w:hAnsi="Times New Roman" w:cs="Times New Roman"/>
          <w:iCs/>
          <w:sz w:val="20"/>
          <w:szCs w:val="20"/>
        </w:rPr>
        <w:t>2021</w:t>
      </w:r>
      <w:r w:rsidR="00C733D4">
        <w:rPr>
          <w:rFonts w:ascii="Times New Roman" w:hAnsi="Times New Roman" w:cs="Times New Roman"/>
          <w:iCs/>
          <w:sz w:val="20"/>
          <w:szCs w:val="20"/>
        </w:rPr>
        <w:t>)</w:t>
      </w:r>
      <w:r w:rsidRPr="00C733D4">
        <w:rPr>
          <w:rFonts w:ascii="Times New Roman" w:hAnsi="Times New Roman" w:cs="Times New Roman"/>
          <w:iCs/>
          <w:sz w:val="20"/>
          <w:szCs w:val="20"/>
        </w:rPr>
        <w:t xml:space="preserve"> A cookbook for using model diagnostics in integrated stock assessments. Fish</w:t>
      </w:r>
      <w:r w:rsidR="00C733D4">
        <w:rPr>
          <w:rFonts w:ascii="Times New Roman" w:hAnsi="Times New Roman" w:cs="Times New Roman"/>
          <w:iCs/>
          <w:sz w:val="20"/>
          <w:szCs w:val="20"/>
        </w:rPr>
        <w:t xml:space="preserve"> </w:t>
      </w:r>
      <w:r w:rsidRPr="00C733D4">
        <w:rPr>
          <w:rFonts w:ascii="Times New Roman" w:hAnsi="Times New Roman" w:cs="Times New Roman"/>
          <w:iCs/>
          <w:sz w:val="20"/>
          <w:szCs w:val="20"/>
        </w:rPr>
        <w:t>Res 240: 105959.</w:t>
      </w:r>
    </w:p>
    <w:p w14:paraId="4D342935" w14:textId="4FCBC4C0" w:rsidR="00337D24" w:rsidRPr="00C733D4" w:rsidRDefault="00337D24" w:rsidP="00337D24">
      <w:pPr>
        <w:spacing w:line="240" w:lineRule="auto"/>
        <w:jc w:val="both"/>
        <w:rPr>
          <w:rFonts w:ascii="Times New Roman" w:hAnsi="Times New Roman" w:cs="Times New Roman"/>
          <w:iCs/>
          <w:color w:val="000000"/>
          <w:sz w:val="20"/>
          <w:szCs w:val="20"/>
        </w:rPr>
      </w:pPr>
      <w:r w:rsidRPr="00C733D4">
        <w:rPr>
          <w:rFonts w:ascii="Times New Roman" w:hAnsi="Times New Roman" w:cs="Times New Roman"/>
          <w:iCs/>
          <w:color w:val="000000"/>
          <w:sz w:val="20"/>
          <w:szCs w:val="20"/>
        </w:rPr>
        <w:t>Farley J</w:t>
      </w:r>
      <w:r w:rsidR="00C733D4">
        <w:rPr>
          <w:rFonts w:ascii="Times New Roman" w:hAnsi="Times New Roman" w:cs="Times New Roman"/>
          <w:iCs/>
          <w:color w:val="000000"/>
          <w:sz w:val="20"/>
          <w:szCs w:val="20"/>
        </w:rPr>
        <w:t xml:space="preserve">H, </w:t>
      </w:r>
      <w:r w:rsidRPr="00C733D4">
        <w:rPr>
          <w:rFonts w:ascii="Times New Roman" w:hAnsi="Times New Roman" w:cs="Times New Roman"/>
          <w:iCs/>
          <w:color w:val="000000"/>
          <w:sz w:val="20"/>
          <w:szCs w:val="20"/>
        </w:rPr>
        <w:t xml:space="preserve">Clear NP, Krusic-Golub K, Evenson P, Young JW </w:t>
      </w:r>
      <w:r w:rsidR="00C733D4">
        <w:rPr>
          <w:rFonts w:ascii="Times New Roman" w:hAnsi="Times New Roman" w:cs="Times New Roman"/>
          <w:iCs/>
          <w:color w:val="000000"/>
          <w:sz w:val="20"/>
          <w:szCs w:val="20"/>
        </w:rPr>
        <w:t>(</w:t>
      </w:r>
      <w:r w:rsidRPr="00C733D4">
        <w:rPr>
          <w:rFonts w:ascii="Times New Roman" w:hAnsi="Times New Roman" w:cs="Times New Roman"/>
          <w:iCs/>
          <w:color w:val="000000"/>
          <w:sz w:val="20"/>
          <w:szCs w:val="20"/>
        </w:rPr>
        <w:t>2022</w:t>
      </w:r>
      <w:r w:rsidR="00C733D4">
        <w:rPr>
          <w:rFonts w:ascii="Times New Roman" w:hAnsi="Times New Roman" w:cs="Times New Roman"/>
          <w:iCs/>
          <w:color w:val="000000"/>
          <w:sz w:val="20"/>
          <w:szCs w:val="20"/>
        </w:rPr>
        <w:t>)</w:t>
      </w:r>
      <w:r w:rsidRPr="00C733D4">
        <w:rPr>
          <w:rFonts w:ascii="Times New Roman" w:hAnsi="Times New Roman" w:cs="Times New Roman"/>
          <w:iCs/>
          <w:color w:val="000000"/>
          <w:sz w:val="20"/>
          <w:szCs w:val="20"/>
        </w:rPr>
        <w:t xml:space="preserve"> A bone to pick with age estimation using hard parts: A case study of swordfish, </w:t>
      </w:r>
      <w:r w:rsidRPr="00C733D4">
        <w:rPr>
          <w:rFonts w:ascii="Times New Roman" w:hAnsi="Times New Roman" w:cs="Times New Roman"/>
          <w:i/>
          <w:color w:val="000000"/>
          <w:sz w:val="20"/>
          <w:szCs w:val="20"/>
        </w:rPr>
        <w:t>Xiphias gladius</w:t>
      </w:r>
      <w:r w:rsidRPr="00C733D4">
        <w:rPr>
          <w:rFonts w:ascii="Times New Roman" w:hAnsi="Times New Roman" w:cs="Times New Roman"/>
          <w:iCs/>
          <w:color w:val="000000"/>
          <w:sz w:val="20"/>
          <w:szCs w:val="20"/>
        </w:rPr>
        <w:t>, in the southwest Pacific Ocean. Fish Res</w:t>
      </w:r>
      <w:r w:rsidR="00C733D4">
        <w:rPr>
          <w:rFonts w:ascii="Times New Roman" w:hAnsi="Times New Roman" w:cs="Times New Roman"/>
          <w:iCs/>
          <w:color w:val="000000"/>
          <w:sz w:val="20"/>
          <w:szCs w:val="20"/>
        </w:rPr>
        <w:t xml:space="preserve"> </w:t>
      </w:r>
      <w:r w:rsidRPr="00C733D4">
        <w:rPr>
          <w:rFonts w:ascii="Times New Roman" w:hAnsi="Times New Roman" w:cs="Times New Roman"/>
          <w:iCs/>
          <w:color w:val="000000"/>
          <w:sz w:val="20"/>
          <w:szCs w:val="20"/>
        </w:rPr>
        <w:t>254: 106413.</w:t>
      </w:r>
    </w:p>
    <w:p w14:paraId="651DB736" w14:textId="3C6AFE86"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iCs/>
          <w:sz w:val="20"/>
          <w:szCs w:val="20"/>
        </w:rPr>
        <w:t>Hurtado-Ferro F, Szuwalski</w:t>
      </w:r>
      <w:r w:rsidR="00C733D4" w:rsidRPr="00C733D4">
        <w:rPr>
          <w:rFonts w:ascii="Times New Roman" w:hAnsi="Times New Roman" w:cs="Times New Roman"/>
          <w:iCs/>
          <w:sz w:val="20"/>
          <w:szCs w:val="20"/>
        </w:rPr>
        <w:t xml:space="preserve"> CS</w:t>
      </w:r>
      <w:r w:rsidRPr="00C733D4">
        <w:rPr>
          <w:rFonts w:ascii="Times New Roman" w:hAnsi="Times New Roman" w:cs="Times New Roman"/>
          <w:iCs/>
          <w:sz w:val="20"/>
          <w:szCs w:val="20"/>
        </w:rPr>
        <w:t>, Valero</w:t>
      </w:r>
      <w:r w:rsidR="00C733D4" w:rsidRPr="00C733D4">
        <w:rPr>
          <w:rFonts w:ascii="Times New Roman" w:hAnsi="Times New Roman" w:cs="Times New Roman"/>
          <w:iCs/>
          <w:sz w:val="20"/>
          <w:szCs w:val="20"/>
        </w:rPr>
        <w:t xml:space="preserve"> JL</w:t>
      </w:r>
      <w:r w:rsidRPr="00C733D4">
        <w:rPr>
          <w:rFonts w:ascii="Times New Roman" w:hAnsi="Times New Roman" w:cs="Times New Roman"/>
          <w:iCs/>
          <w:sz w:val="20"/>
          <w:szCs w:val="20"/>
        </w:rPr>
        <w:t>, Anderson</w:t>
      </w:r>
      <w:r w:rsidR="00C733D4" w:rsidRPr="00C733D4">
        <w:rPr>
          <w:rFonts w:ascii="Times New Roman" w:hAnsi="Times New Roman" w:cs="Times New Roman"/>
          <w:iCs/>
          <w:sz w:val="20"/>
          <w:szCs w:val="20"/>
        </w:rPr>
        <w:t xml:space="preserve"> SC</w:t>
      </w:r>
      <w:r w:rsidRPr="00C733D4">
        <w:rPr>
          <w:rFonts w:ascii="Times New Roman" w:hAnsi="Times New Roman" w:cs="Times New Roman"/>
          <w:iCs/>
          <w:sz w:val="20"/>
          <w:szCs w:val="20"/>
        </w:rPr>
        <w:t>, Cunningham</w:t>
      </w:r>
      <w:r w:rsidR="00C733D4" w:rsidRPr="00C733D4">
        <w:rPr>
          <w:rFonts w:ascii="Times New Roman" w:hAnsi="Times New Roman" w:cs="Times New Roman"/>
          <w:iCs/>
          <w:sz w:val="20"/>
          <w:szCs w:val="20"/>
        </w:rPr>
        <w:t xml:space="preserve"> CJ</w:t>
      </w:r>
      <w:r w:rsidRPr="00C733D4">
        <w:rPr>
          <w:rFonts w:ascii="Times New Roman" w:hAnsi="Times New Roman" w:cs="Times New Roman"/>
          <w:iCs/>
          <w:sz w:val="20"/>
          <w:szCs w:val="20"/>
        </w:rPr>
        <w:t>, Johnson</w:t>
      </w:r>
      <w:r w:rsidR="00C733D4" w:rsidRPr="00C733D4">
        <w:rPr>
          <w:rFonts w:ascii="Times New Roman" w:hAnsi="Times New Roman" w:cs="Times New Roman"/>
          <w:iCs/>
          <w:sz w:val="20"/>
          <w:szCs w:val="20"/>
        </w:rPr>
        <w:t xml:space="preserve"> KF</w:t>
      </w:r>
      <w:r w:rsidRPr="00C733D4">
        <w:rPr>
          <w:rFonts w:ascii="Times New Roman" w:hAnsi="Times New Roman" w:cs="Times New Roman"/>
          <w:iCs/>
          <w:sz w:val="20"/>
          <w:szCs w:val="20"/>
        </w:rPr>
        <w:t>, Licandeo</w:t>
      </w:r>
      <w:r w:rsidR="00C733D4" w:rsidRPr="00C733D4">
        <w:rPr>
          <w:rFonts w:ascii="Times New Roman" w:hAnsi="Times New Roman" w:cs="Times New Roman"/>
          <w:iCs/>
          <w:sz w:val="20"/>
          <w:szCs w:val="20"/>
        </w:rPr>
        <w:t xml:space="preserve"> R</w:t>
      </w:r>
      <w:r w:rsidRPr="00C733D4">
        <w:rPr>
          <w:rFonts w:ascii="Times New Roman" w:hAnsi="Times New Roman" w:cs="Times New Roman"/>
          <w:iCs/>
          <w:sz w:val="20"/>
          <w:szCs w:val="20"/>
        </w:rPr>
        <w:t>, McGilliard</w:t>
      </w:r>
      <w:r w:rsidR="00C733D4" w:rsidRPr="00C733D4">
        <w:rPr>
          <w:rFonts w:ascii="Times New Roman" w:hAnsi="Times New Roman" w:cs="Times New Roman"/>
          <w:iCs/>
          <w:sz w:val="20"/>
          <w:szCs w:val="20"/>
        </w:rPr>
        <w:t xml:space="preserve"> CR</w:t>
      </w:r>
      <w:r w:rsidRPr="00C733D4">
        <w:rPr>
          <w:rFonts w:ascii="Times New Roman" w:hAnsi="Times New Roman" w:cs="Times New Roman"/>
          <w:iCs/>
          <w:sz w:val="20"/>
          <w:szCs w:val="20"/>
        </w:rPr>
        <w:t>, Monnahan</w:t>
      </w:r>
      <w:r w:rsidR="00C733D4" w:rsidRPr="00C733D4">
        <w:rPr>
          <w:rFonts w:ascii="Times New Roman" w:hAnsi="Times New Roman" w:cs="Times New Roman"/>
          <w:iCs/>
          <w:sz w:val="20"/>
          <w:szCs w:val="20"/>
        </w:rPr>
        <w:t xml:space="preserve"> CC</w:t>
      </w:r>
      <w:r w:rsidRPr="00C733D4">
        <w:rPr>
          <w:rFonts w:ascii="Times New Roman" w:hAnsi="Times New Roman" w:cs="Times New Roman"/>
          <w:iCs/>
          <w:sz w:val="20"/>
          <w:szCs w:val="20"/>
        </w:rPr>
        <w:t>, Muradian</w:t>
      </w:r>
      <w:r w:rsidR="00C733D4" w:rsidRPr="00C733D4">
        <w:rPr>
          <w:rFonts w:ascii="Times New Roman" w:hAnsi="Times New Roman" w:cs="Times New Roman"/>
          <w:iCs/>
          <w:sz w:val="20"/>
          <w:szCs w:val="20"/>
        </w:rPr>
        <w:t xml:space="preserve"> ML</w:t>
      </w:r>
      <w:r w:rsidRPr="00C733D4">
        <w:rPr>
          <w:rFonts w:ascii="Times New Roman" w:hAnsi="Times New Roman" w:cs="Times New Roman"/>
          <w:iCs/>
          <w:sz w:val="20"/>
          <w:szCs w:val="20"/>
        </w:rPr>
        <w:t>, Ono</w:t>
      </w:r>
      <w:r w:rsidR="00C733D4" w:rsidRPr="00C733D4">
        <w:rPr>
          <w:rFonts w:ascii="Times New Roman" w:hAnsi="Times New Roman" w:cs="Times New Roman"/>
          <w:iCs/>
          <w:sz w:val="20"/>
          <w:szCs w:val="20"/>
        </w:rPr>
        <w:t xml:space="preserve"> </w:t>
      </w:r>
      <w:r w:rsidR="00C733D4" w:rsidRPr="00C733D4">
        <w:rPr>
          <w:rFonts w:ascii="Times New Roman" w:hAnsi="Times New Roman" w:cs="Times New Roman"/>
          <w:iCs/>
          <w:sz w:val="20"/>
          <w:szCs w:val="20"/>
        </w:rPr>
        <w:t>K</w:t>
      </w:r>
      <w:r w:rsidRPr="00C733D4">
        <w:rPr>
          <w:rFonts w:ascii="Times New Roman" w:hAnsi="Times New Roman" w:cs="Times New Roman"/>
          <w:iCs/>
          <w:sz w:val="20"/>
          <w:szCs w:val="20"/>
        </w:rPr>
        <w:t>, Vert-Pre</w:t>
      </w:r>
      <w:r w:rsidR="00C733D4" w:rsidRPr="00C733D4">
        <w:rPr>
          <w:rFonts w:ascii="Times New Roman" w:hAnsi="Times New Roman" w:cs="Times New Roman"/>
          <w:iCs/>
          <w:sz w:val="20"/>
          <w:szCs w:val="20"/>
        </w:rPr>
        <w:t xml:space="preserve"> KA</w:t>
      </w:r>
      <w:r w:rsidRPr="00C733D4">
        <w:rPr>
          <w:rFonts w:ascii="Times New Roman" w:hAnsi="Times New Roman" w:cs="Times New Roman"/>
          <w:iCs/>
          <w:sz w:val="20"/>
          <w:szCs w:val="20"/>
        </w:rPr>
        <w:t>, Whitten</w:t>
      </w:r>
      <w:r w:rsidR="00C733D4" w:rsidRPr="00C733D4">
        <w:rPr>
          <w:rFonts w:ascii="Times New Roman" w:hAnsi="Times New Roman" w:cs="Times New Roman"/>
          <w:iCs/>
          <w:sz w:val="20"/>
          <w:szCs w:val="20"/>
        </w:rPr>
        <w:t xml:space="preserve"> AR</w:t>
      </w:r>
      <w:r w:rsidRPr="00C733D4">
        <w:rPr>
          <w:rFonts w:ascii="Times New Roman" w:hAnsi="Times New Roman" w:cs="Times New Roman"/>
          <w:iCs/>
          <w:sz w:val="20"/>
          <w:szCs w:val="20"/>
        </w:rPr>
        <w:t>, Punt</w:t>
      </w:r>
      <w:r w:rsidR="00C733D4" w:rsidRPr="00C733D4">
        <w:rPr>
          <w:rFonts w:ascii="Times New Roman" w:hAnsi="Times New Roman" w:cs="Times New Roman"/>
          <w:iCs/>
          <w:sz w:val="20"/>
          <w:szCs w:val="20"/>
        </w:rPr>
        <w:t xml:space="preserve"> AE</w:t>
      </w:r>
      <w:r w:rsidRPr="00C733D4">
        <w:rPr>
          <w:rFonts w:ascii="Times New Roman" w:hAnsi="Times New Roman" w:cs="Times New Roman"/>
          <w:iCs/>
          <w:sz w:val="20"/>
          <w:szCs w:val="20"/>
        </w:rPr>
        <w:t xml:space="preserve"> </w:t>
      </w:r>
      <w:r w:rsidR="00C733D4">
        <w:rPr>
          <w:rFonts w:ascii="Times New Roman" w:hAnsi="Times New Roman" w:cs="Times New Roman"/>
          <w:iCs/>
          <w:sz w:val="20"/>
          <w:szCs w:val="20"/>
        </w:rPr>
        <w:t>(</w:t>
      </w:r>
      <w:r w:rsidRPr="00C733D4">
        <w:rPr>
          <w:rFonts w:ascii="Times New Roman" w:hAnsi="Times New Roman" w:cs="Times New Roman"/>
          <w:iCs/>
          <w:sz w:val="20"/>
          <w:szCs w:val="20"/>
        </w:rPr>
        <w:t>2015</w:t>
      </w:r>
      <w:r w:rsidR="00C733D4">
        <w:rPr>
          <w:rFonts w:ascii="Times New Roman" w:hAnsi="Times New Roman" w:cs="Times New Roman"/>
          <w:iCs/>
          <w:sz w:val="20"/>
          <w:szCs w:val="20"/>
        </w:rPr>
        <w:t>)</w:t>
      </w:r>
      <w:r w:rsidRPr="00C733D4">
        <w:rPr>
          <w:rFonts w:ascii="Times New Roman" w:hAnsi="Times New Roman" w:cs="Times New Roman"/>
          <w:iCs/>
          <w:sz w:val="20"/>
          <w:szCs w:val="20"/>
        </w:rPr>
        <w:t xml:space="preserve"> Looking in the Rear-View Mirror: Bias and Retrospective Patterns in Integrated, Age-Structured Stock Assessment Models. </w:t>
      </w:r>
      <w:r w:rsidR="00C733D4" w:rsidRPr="009A6B39">
        <w:rPr>
          <w:rFonts w:ascii="Times New Roman" w:hAnsi="Times New Roman" w:cs="Times New Roman"/>
          <w:iCs/>
          <w:sz w:val="20"/>
          <w:szCs w:val="20"/>
        </w:rPr>
        <w:t>ICES J Mar Sci</w:t>
      </w:r>
      <w:r w:rsidR="00C733D4" w:rsidRPr="007900F4">
        <w:rPr>
          <w:rFonts w:ascii="Times New Roman" w:hAnsi="Times New Roman" w:cs="Times New Roman"/>
          <w:sz w:val="20"/>
          <w:szCs w:val="20"/>
        </w:rPr>
        <w:t xml:space="preserve"> </w:t>
      </w:r>
      <w:r w:rsidRPr="00C733D4">
        <w:rPr>
          <w:rFonts w:ascii="Times New Roman" w:hAnsi="Times New Roman" w:cs="Times New Roman"/>
          <w:iCs/>
          <w:sz w:val="20"/>
          <w:szCs w:val="20"/>
        </w:rPr>
        <w:t>72 (1): 99–110.</w:t>
      </w:r>
    </w:p>
    <w:p w14:paraId="400A6E1B" w14:textId="065FE1D8"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iCs/>
          <w:sz w:val="20"/>
          <w:szCs w:val="20"/>
        </w:rPr>
        <w:t>Hyndman R J, Koehler</w:t>
      </w:r>
      <w:r w:rsidR="00C733D4" w:rsidRPr="00C733D4">
        <w:rPr>
          <w:rFonts w:ascii="Times New Roman" w:hAnsi="Times New Roman" w:cs="Times New Roman"/>
          <w:iCs/>
          <w:sz w:val="20"/>
          <w:szCs w:val="20"/>
        </w:rPr>
        <w:t xml:space="preserve"> AB</w:t>
      </w:r>
      <w:r w:rsidRPr="00C733D4">
        <w:rPr>
          <w:rFonts w:ascii="Times New Roman" w:hAnsi="Times New Roman" w:cs="Times New Roman"/>
          <w:iCs/>
          <w:sz w:val="20"/>
          <w:szCs w:val="20"/>
        </w:rPr>
        <w:t>, Methot</w:t>
      </w:r>
      <w:r w:rsidR="00C733D4" w:rsidRPr="00C733D4">
        <w:rPr>
          <w:rFonts w:ascii="Times New Roman" w:hAnsi="Times New Roman" w:cs="Times New Roman"/>
          <w:iCs/>
          <w:sz w:val="20"/>
          <w:szCs w:val="20"/>
        </w:rPr>
        <w:t xml:space="preserve"> RD</w:t>
      </w:r>
      <w:r w:rsidRPr="00C733D4">
        <w:rPr>
          <w:rFonts w:ascii="Times New Roman" w:hAnsi="Times New Roman" w:cs="Times New Roman"/>
          <w:iCs/>
          <w:sz w:val="20"/>
          <w:szCs w:val="20"/>
        </w:rPr>
        <w:t>, Wetzel</w:t>
      </w:r>
      <w:r w:rsidR="00C733D4" w:rsidRPr="00C733D4">
        <w:rPr>
          <w:rFonts w:ascii="Times New Roman" w:hAnsi="Times New Roman" w:cs="Times New Roman"/>
          <w:iCs/>
          <w:sz w:val="20"/>
          <w:szCs w:val="20"/>
        </w:rPr>
        <w:t xml:space="preserve"> CR</w:t>
      </w:r>
      <w:r w:rsidRPr="00C733D4">
        <w:rPr>
          <w:rFonts w:ascii="Times New Roman" w:hAnsi="Times New Roman" w:cs="Times New Roman"/>
          <w:iCs/>
          <w:sz w:val="20"/>
          <w:szCs w:val="20"/>
        </w:rPr>
        <w:t xml:space="preserve"> </w:t>
      </w:r>
      <w:r w:rsidR="00C733D4">
        <w:rPr>
          <w:rFonts w:ascii="Times New Roman" w:hAnsi="Times New Roman" w:cs="Times New Roman"/>
          <w:iCs/>
          <w:sz w:val="20"/>
          <w:szCs w:val="20"/>
        </w:rPr>
        <w:t>(</w:t>
      </w:r>
      <w:r w:rsidRPr="00C733D4">
        <w:rPr>
          <w:rFonts w:ascii="Times New Roman" w:hAnsi="Times New Roman" w:cs="Times New Roman"/>
          <w:iCs/>
          <w:sz w:val="20"/>
          <w:szCs w:val="20"/>
        </w:rPr>
        <w:t>2006</w:t>
      </w:r>
      <w:r w:rsidR="00C733D4">
        <w:rPr>
          <w:rFonts w:ascii="Times New Roman" w:hAnsi="Times New Roman" w:cs="Times New Roman"/>
          <w:iCs/>
          <w:sz w:val="20"/>
          <w:szCs w:val="20"/>
        </w:rPr>
        <w:t>)</w:t>
      </w:r>
      <w:r w:rsidRPr="00C733D4">
        <w:rPr>
          <w:rFonts w:ascii="Times New Roman" w:hAnsi="Times New Roman" w:cs="Times New Roman"/>
          <w:iCs/>
          <w:sz w:val="20"/>
          <w:szCs w:val="20"/>
        </w:rPr>
        <w:t xml:space="preserve"> Another Look at Measures of Forecast Accuracy. </w:t>
      </w:r>
      <w:r w:rsidR="002C12A0">
        <w:rPr>
          <w:rFonts w:ascii="Times New Roman" w:hAnsi="Times New Roman" w:cs="Times New Roman"/>
          <w:sz w:val="20"/>
          <w:szCs w:val="20"/>
        </w:rPr>
        <w:t>Int J Forecast</w:t>
      </w:r>
      <w:r w:rsidRPr="00C733D4">
        <w:rPr>
          <w:rFonts w:ascii="Times New Roman" w:hAnsi="Times New Roman" w:cs="Times New Roman"/>
          <w:iCs/>
          <w:sz w:val="20"/>
          <w:szCs w:val="20"/>
        </w:rPr>
        <w:t xml:space="preserve"> 22 (4): 679–88.</w:t>
      </w:r>
    </w:p>
    <w:p w14:paraId="6B2ED354" w14:textId="27AE3186"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iCs/>
          <w:sz w:val="20"/>
          <w:szCs w:val="20"/>
        </w:rPr>
        <w:t>Kell LT, Kimoto</w:t>
      </w:r>
      <w:r w:rsidR="002C12A0" w:rsidRPr="00C733D4">
        <w:rPr>
          <w:rFonts w:ascii="Times New Roman" w:hAnsi="Times New Roman" w:cs="Times New Roman"/>
          <w:iCs/>
          <w:sz w:val="20"/>
          <w:szCs w:val="20"/>
        </w:rPr>
        <w:t xml:space="preserve"> A</w:t>
      </w:r>
      <w:r w:rsidRPr="00C733D4">
        <w:rPr>
          <w:rFonts w:ascii="Times New Roman" w:hAnsi="Times New Roman" w:cs="Times New Roman"/>
          <w:iCs/>
          <w:sz w:val="20"/>
          <w:szCs w:val="20"/>
        </w:rPr>
        <w:t>, Kitakado</w:t>
      </w:r>
      <w:r w:rsidR="002C12A0" w:rsidRPr="00C733D4">
        <w:rPr>
          <w:rFonts w:ascii="Times New Roman" w:hAnsi="Times New Roman" w:cs="Times New Roman"/>
          <w:iCs/>
          <w:sz w:val="20"/>
          <w:szCs w:val="20"/>
        </w:rPr>
        <w:t xml:space="preserve"> T</w:t>
      </w:r>
      <w:r w:rsidRPr="00C733D4">
        <w:rPr>
          <w:rFonts w:ascii="Times New Roman" w:hAnsi="Times New Roman" w:cs="Times New Roman"/>
          <w:iCs/>
          <w:sz w:val="20"/>
          <w:szCs w:val="20"/>
        </w:rPr>
        <w:t xml:space="preserve"> </w:t>
      </w:r>
      <w:r w:rsidR="002C12A0">
        <w:rPr>
          <w:rFonts w:ascii="Times New Roman" w:hAnsi="Times New Roman" w:cs="Times New Roman"/>
          <w:iCs/>
          <w:sz w:val="20"/>
          <w:szCs w:val="20"/>
        </w:rPr>
        <w:t>(</w:t>
      </w:r>
      <w:r w:rsidRPr="00C733D4">
        <w:rPr>
          <w:rFonts w:ascii="Times New Roman" w:hAnsi="Times New Roman" w:cs="Times New Roman"/>
          <w:iCs/>
          <w:sz w:val="20"/>
          <w:szCs w:val="20"/>
        </w:rPr>
        <w:t>2016</w:t>
      </w:r>
      <w:r w:rsidR="002C12A0">
        <w:rPr>
          <w:rFonts w:ascii="Times New Roman" w:hAnsi="Times New Roman" w:cs="Times New Roman"/>
          <w:iCs/>
          <w:sz w:val="20"/>
          <w:szCs w:val="20"/>
        </w:rPr>
        <w:t>)</w:t>
      </w:r>
      <w:r w:rsidRPr="00C733D4">
        <w:rPr>
          <w:rFonts w:ascii="Times New Roman" w:hAnsi="Times New Roman" w:cs="Times New Roman"/>
          <w:iCs/>
          <w:sz w:val="20"/>
          <w:szCs w:val="20"/>
        </w:rPr>
        <w:t xml:space="preserve"> Evaluation of the Prediction Skill of Stock Assessment Using Hind-casting. Fish Res 183: 119–27.</w:t>
      </w:r>
    </w:p>
    <w:p w14:paraId="7E6E2F54" w14:textId="1AEA6544"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iCs/>
          <w:sz w:val="20"/>
          <w:szCs w:val="20"/>
        </w:rPr>
        <w:t xml:space="preserve">Mohn R </w:t>
      </w:r>
      <w:r w:rsidR="002C12A0">
        <w:rPr>
          <w:rFonts w:ascii="Times New Roman" w:hAnsi="Times New Roman" w:cs="Times New Roman"/>
          <w:iCs/>
          <w:sz w:val="20"/>
          <w:szCs w:val="20"/>
        </w:rPr>
        <w:t>(</w:t>
      </w:r>
      <w:r w:rsidRPr="00C733D4">
        <w:rPr>
          <w:rFonts w:ascii="Times New Roman" w:hAnsi="Times New Roman" w:cs="Times New Roman"/>
          <w:iCs/>
          <w:sz w:val="20"/>
          <w:szCs w:val="20"/>
        </w:rPr>
        <w:t>1999</w:t>
      </w:r>
      <w:r w:rsidR="002C12A0">
        <w:rPr>
          <w:rFonts w:ascii="Times New Roman" w:hAnsi="Times New Roman" w:cs="Times New Roman"/>
          <w:iCs/>
          <w:sz w:val="20"/>
          <w:szCs w:val="20"/>
        </w:rPr>
        <w:t>)</w:t>
      </w:r>
      <w:r w:rsidRPr="00C733D4">
        <w:rPr>
          <w:rFonts w:ascii="Times New Roman" w:hAnsi="Times New Roman" w:cs="Times New Roman"/>
          <w:iCs/>
          <w:sz w:val="20"/>
          <w:szCs w:val="20"/>
        </w:rPr>
        <w:t xml:space="preserve"> The Retrospective Problem in Sequential Population Analysis: An Investigation Using Cod Fishery and Simulated Data. </w:t>
      </w:r>
      <w:r w:rsidR="002C12A0" w:rsidRPr="009A6B39">
        <w:rPr>
          <w:rFonts w:ascii="Times New Roman" w:hAnsi="Times New Roman" w:cs="Times New Roman"/>
          <w:iCs/>
          <w:sz w:val="20"/>
          <w:szCs w:val="20"/>
        </w:rPr>
        <w:t>ICES J Mar Sci</w:t>
      </w:r>
      <w:r w:rsidRPr="00C733D4">
        <w:rPr>
          <w:rFonts w:ascii="Times New Roman" w:hAnsi="Times New Roman" w:cs="Times New Roman"/>
          <w:iCs/>
          <w:sz w:val="20"/>
          <w:szCs w:val="20"/>
        </w:rPr>
        <w:t xml:space="preserve"> 56 (4): 473–78.</w:t>
      </w:r>
    </w:p>
    <w:p w14:paraId="641AA66B" w14:textId="2D3B9F39" w:rsidR="00337D24" w:rsidRPr="00C733D4" w:rsidRDefault="00337D24" w:rsidP="00337D24">
      <w:pPr>
        <w:jc w:val="both"/>
        <w:rPr>
          <w:rFonts w:ascii="Times New Roman" w:hAnsi="Times New Roman" w:cs="Times New Roman"/>
          <w:iCs/>
          <w:sz w:val="20"/>
          <w:szCs w:val="20"/>
        </w:rPr>
      </w:pPr>
      <w:r w:rsidRPr="00C733D4">
        <w:rPr>
          <w:rFonts w:ascii="Times New Roman" w:hAnsi="Times New Roman" w:cs="Times New Roman"/>
          <w:iCs/>
          <w:sz w:val="20"/>
          <w:szCs w:val="20"/>
        </w:rPr>
        <w:t xml:space="preserve">R Core Team (2022) R: A language and environment for statistical computing. R Foundation for Statistical Computing, Vienna, Austria. URL </w:t>
      </w:r>
      <w:hyperlink r:id="rId12">
        <w:r w:rsidRPr="00C733D4">
          <w:rPr>
            <w:rFonts w:ascii="Times New Roman" w:hAnsi="Times New Roman" w:cs="Times New Roman"/>
            <w:iCs/>
            <w:color w:val="0563C1"/>
            <w:sz w:val="20"/>
            <w:szCs w:val="20"/>
            <w:u w:val="single"/>
          </w:rPr>
          <w:t>https://www.R-project.org/</w:t>
        </w:r>
      </w:hyperlink>
      <w:r w:rsidRPr="00C733D4">
        <w:rPr>
          <w:rFonts w:ascii="Times New Roman" w:hAnsi="Times New Roman" w:cs="Times New Roman"/>
          <w:iCs/>
          <w:sz w:val="20"/>
          <w:szCs w:val="20"/>
        </w:rPr>
        <w:t>.</w:t>
      </w:r>
    </w:p>
    <w:p w14:paraId="0F830168" w14:textId="27748FA6" w:rsidR="003E6602" w:rsidRPr="00C733D4" w:rsidRDefault="00337D24" w:rsidP="00C733D4">
      <w:pPr>
        <w:jc w:val="both"/>
        <w:rPr>
          <w:rFonts w:ascii="Times New Roman" w:hAnsi="Times New Roman" w:cs="Times New Roman"/>
          <w:iCs/>
          <w:sz w:val="20"/>
          <w:szCs w:val="20"/>
        </w:rPr>
      </w:pPr>
      <w:r w:rsidRPr="00C733D4">
        <w:rPr>
          <w:rFonts w:ascii="Times New Roman" w:hAnsi="Times New Roman" w:cs="Times New Roman"/>
          <w:iCs/>
          <w:sz w:val="20"/>
          <w:szCs w:val="20"/>
        </w:rPr>
        <w:lastRenderedPageBreak/>
        <w:t>Winker H, Carvalho</w:t>
      </w:r>
      <w:r w:rsidR="002C12A0" w:rsidRPr="00C733D4">
        <w:rPr>
          <w:rFonts w:ascii="Times New Roman" w:hAnsi="Times New Roman" w:cs="Times New Roman"/>
          <w:iCs/>
          <w:sz w:val="20"/>
          <w:szCs w:val="20"/>
        </w:rPr>
        <w:t xml:space="preserve"> F</w:t>
      </w:r>
      <w:r w:rsidRPr="00C733D4">
        <w:rPr>
          <w:rFonts w:ascii="Times New Roman" w:hAnsi="Times New Roman" w:cs="Times New Roman"/>
          <w:iCs/>
          <w:sz w:val="20"/>
          <w:szCs w:val="20"/>
        </w:rPr>
        <w:t>, Cardinale</w:t>
      </w:r>
      <w:r w:rsidR="002C12A0" w:rsidRPr="00C733D4">
        <w:rPr>
          <w:rFonts w:ascii="Times New Roman" w:hAnsi="Times New Roman" w:cs="Times New Roman"/>
          <w:iCs/>
          <w:sz w:val="20"/>
          <w:szCs w:val="20"/>
        </w:rPr>
        <w:t xml:space="preserve"> M.</w:t>
      </w:r>
      <w:r w:rsidRPr="00C733D4">
        <w:rPr>
          <w:rFonts w:ascii="Times New Roman" w:hAnsi="Times New Roman" w:cs="Times New Roman"/>
          <w:iCs/>
          <w:sz w:val="20"/>
          <w:szCs w:val="20"/>
        </w:rPr>
        <w:t>, Kell</w:t>
      </w:r>
      <w:r w:rsidR="002C12A0">
        <w:rPr>
          <w:rFonts w:ascii="Times New Roman" w:hAnsi="Times New Roman" w:cs="Times New Roman"/>
          <w:iCs/>
          <w:sz w:val="20"/>
          <w:szCs w:val="20"/>
        </w:rPr>
        <w:t xml:space="preserve"> </w:t>
      </w:r>
      <w:r w:rsidR="002C12A0" w:rsidRPr="00C733D4">
        <w:rPr>
          <w:rFonts w:ascii="Times New Roman" w:hAnsi="Times New Roman" w:cs="Times New Roman"/>
          <w:iCs/>
          <w:sz w:val="20"/>
          <w:szCs w:val="20"/>
        </w:rPr>
        <w:t>L</w:t>
      </w:r>
      <w:r w:rsidRPr="00C733D4">
        <w:rPr>
          <w:rFonts w:ascii="Times New Roman" w:hAnsi="Times New Roman" w:cs="Times New Roman"/>
          <w:iCs/>
          <w:sz w:val="20"/>
          <w:szCs w:val="20"/>
        </w:rPr>
        <w:t xml:space="preserve"> </w:t>
      </w:r>
      <w:r w:rsidR="002C12A0">
        <w:rPr>
          <w:rFonts w:ascii="Times New Roman" w:hAnsi="Times New Roman" w:cs="Times New Roman"/>
          <w:iCs/>
          <w:sz w:val="20"/>
          <w:szCs w:val="20"/>
        </w:rPr>
        <w:t>(</w:t>
      </w:r>
      <w:r w:rsidRPr="00C733D4">
        <w:rPr>
          <w:rFonts w:ascii="Times New Roman" w:hAnsi="Times New Roman" w:cs="Times New Roman"/>
          <w:iCs/>
          <w:sz w:val="20"/>
          <w:szCs w:val="20"/>
        </w:rPr>
        <w:t>2021</w:t>
      </w:r>
      <w:r w:rsidR="002C12A0">
        <w:rPr>
          <w:rFonts w:ascii="Times New Roman" w:hAnsi="Times New Roman" w:cs="Times New Roman"/>
          <w:iCs/>
          <w:sz w:val="20"/>
          <w:szCs w:val="20"/>
        </w:rPr>
        <w:t>)</w:t>
      </w:r>
      <w:r w:rsidRPr="00C733D4">
        <w:rPr>
          <w:rFonts w:ascii="Times New Roman" w:hAnsi="Times New Roman" w:cs="Times New Roman"/>
          <w:iCs/>
          <w:sz w:val="20"/>
          <w:szCs w:val="20"/>
        </w:rPr>
        <w:t xml:space="preserve"> ss3diags: Cookbook for Model Diagnostics in Stock Synthesis. R package version 1.0.8.</w:t>
      </w:r>
    </w:p>
    <w:sectPr w:rsidR="003E6602" w:rsidRPr="00C733D4">
      <w:pgSz w:w="11906" w:h="16838"/>
      <w:pgMar w:top="1417" w:right="1701" w:bottom="1417" w:left="1701" w:header="0" w:footer="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2F16B" w14:textId="77777777" w:rsidR="006037C4" w:rsidRDefault="006037C4" w:rsidP="00337D24">
      <w:pPr>
        <w:spacing w:after="0" w:line="240" w:lineRule="auto"/>
      </w:pPr>
      <w:r>
        <w:separator/>
      </w:r>
    </w:p>
  </w:endnote>
  <w:endnote w:type="continuationSeparator" w:id="0">
    <w:p w14:paraId="7F6731A8" w14:textId="77777777" w:rsidR="006037C4" w:rsidRDefault="006037C4" w:rsidP="0033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F5B2" w14:textId="77777777" w:rsidR="006037C4" w:rsidRDefault="006037C4" w:rsidP="00337D24">
      <w:pPr>
        <w:spacing w:after="0" w:line="240" w:lineRule="auto"/>
      </w:pPr>
      <w:r>
        <w:separator/>
      </w:r>
    </w:p>
  </w:footnote>
  <w:footnote w:type="continuationSeparator" w:id="0">
    <w:p w14:paraId="57077F30" w14:textId="77777777" w:rsidR="006037C4" w:rsidRDefault="006037C4" w:rsidP="00337D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04A05"/>
    <w:multiLevelType w:val="multilevel"/>
    <w:tmpl w:val="E69804A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188528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24"/>
    <w:rsid w:val="00214C88"/>
    <w:rsid w:val="002C12A0"/>
    <w:rsid w:val="00337D24"/>
    <w:rsid w:val="003E6602"/>
    <w:rsid w:val="006037C4"/>
    <w:rsid w:val="00834A49"/>
    <w:rsid w:val="00970CD9"/>
    <w:rsid w:val="00A609C8"/>
    <w:rsid w:val="00C733D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99E4"/>
  <w15:chartTrackingRefBased/>
  <w15:docId w15:val="{FA73CDEC-C14D-49E4-96B7-13065C55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24"/>
    <w:pPr>
      <w:suppressAutoHyphens/>
    </w:pPr>
    <w:rPr>
      <w:rFonts w:ascii="Calibri" w:eastAsia="Calibri" w:hAnsi="Calibri" w:cs="Calibri"/>
      <w:kern w:val="0"/>
      <w:lang w:val="en-US" w:eastAsia="pt-PT"/>
      <w14:ligatures w14:val="none"/>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Tipodeletrapredefinidodopargrafo"/>
    <w:uiPriority w:val="99"/>
    <w:semiHidden/>
    <w:unhideWhenUsed/>
    <w:qFormat/>
    <w:rsid w:val="00337D24"/>
    <w:rPr>
      <w:sz w:val="16"/>
      <w:szCs w:val="16"/>
    </w:rPr>
  </w:style>
  <w:style w:type="character" w:customStyle="1" w:styleId="TextodecomentrioCarter">
    <w:name w:val="Texto de comentário Caráter"/>
    <w:basedOn w:val="Tipodeletrapredefinidodopargrafo"/>
    <w:link w:val="Textodecomentrio"/>
    <w:uiPriority w:val="99"/>
    <w:qFormat/>
    <w:rsid w:val="00337D24"/>
    <w:rPr>
      <w:sz w:val="20"/>
      <w:szCs w:val="20"/>
    </w:rPr>
  </w:style>
  <w:style w:type="paragraph" w:styleId="Textodecomentrio">
    <w:name w:val="annotation text"/>
    <w:basedOn w:val="Normal"/>
    <w:link w:val="TextodecomentrioCarter"/>
    <w:uiPriority w:val="99"/>
    <w:unhideWhenUsed/>
    <w:qFormat/>
    <w:rsid w:val="00337D24"/>
    <w:pPr>
      <w:spacing w:line="240" w:lineRule="auto"/>
    </w:pPr>
    <w:rPr>
      <w:rFonts w:asciiTheme="minorHAnsi" w:eastAsiaTheme="minorHAnsi" w:hAnsiTheme="minorHAnsi" w:cstheme="minorBidi"/>
      <w:kern w:val="2"/>
      <w:sz w:val="20"/>
      <w:szCs w:val="20"/>
      <w:lang w:val="pt-PT" w:eastAsia="en-US"/>
      <w14:ligatures w14:val="standardContextual"/>
    </w:rPr>
  </w:style>
  <w:style w:type="character" w:customStyle="1" w:styleId="TextodecomentrioCarter1">
    <w:name w:val="Texto de comentário Caráter1"/>
    <w:basedOn w:val="Tipodeletrapredefinidodopargrafo"/>
    <w:uiPriority w:val="99"/>
    <w:semiHidden/>
    <w:rsid w:val="00337D24"/>
    <w:rPr>
      <w:rFonts w:ascii="Calibri" w:eastAsia="Calibri" w:hAnsi="Calibri" w:cs="Calibri"/>
      <w:kern w:val="0"/>
      <w:sz w:val="20"/>
      <w:szCs w:val="20"/>
      <w:lang w:val="en-US" w:eastAsia="pt-PT"/>
      <w14:ligatures w14:val="none"/>
    </w:rPr>
  </w:style>
  <w:style w:type="paragraph" w:styleId="Cabealho">
    <w:name w:val="header"/>
    <w:basedOn w:val="Normal"/>
    <w:link w:val="CabealhoCarter"/>
    <w:uiPriority w:val="99"/>
    <w:unhideWhenUsed/>
    <w:rsid w:val="00337D2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37D24"/>
    <w:rPr>
      <w:rFonts w:ascii="Calibri" w:eastAsia="Calibri" w:hAnsi="Calibri" w:cs="Calibri"/>
      <w:kern w:val="0"/>
      <w:lang w:val="en-US" w:eastAsia="pt-PT"/>
      <w14:ligatures w14:val="none"/>
    </w:rPr>
  </w:style>
  <w:style w:type="paragraph" w:styleId="Rodap">
    <w:name w:val="footer"/>
    <w:basedOn w:val="Normal"/>
    <w:link w:val="RodapCarter"/>
    <w:uiPriority w:val="99"/>
    <w:unhideWhenUsed/>
    <w:rsid w:val="00337D2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37D24"/>
    <w:rPr>
      <w:rFonts w:ascii="Calibri" w:eastAsia="Calibri" w:hAnsi="Calibri" w:cs="Calibri"/>
      <w:kern w:val="0"/>
      <w:lang w:val="en-US"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r-proje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959</Words>
  <Characters>5181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rosa</dc:creator>
  <cp:keywords/>
  <dc:description/>
  <cp:lastModifiedBy>daniela rosa</cp:lastModifiedBy>
  <cp:revision>3</cp:revision>
  <dcterms:created xsi:type="dcterms:W3CDTF">2023-07-04T13:47:00Z</dcterms:created>
  <dcterms:modified xsi:type="dcterms:W3CDTF">2023-07-13T13:34:00Z</dcterms:modified>
</cp:coreProperties>
</file>