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MATERIAL</w:t>
      </w: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S1. List of the species caught during the study period.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excel attached). *Species for which catch is prohibited; and ** Species with IUCN Conservation Status.</w:t>
      </w: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40" w:type="dxa"/>
        <w:tblInd w:w="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402"/>
        <w:gridCol w:w="1418"/>
        <w:gridCol w:w="1134"/>
        <w:gridCol w:w="1559"/>
        <w:gridCol w:w="993"/>
      </w:tblGrid>
      <w:tr w:rsidR="005A5261" w:rsidTr="0085340E">
        <w:tc>
          <w:tcPr>
            <w:tcW w:w="9640" w:type="dxa"/>
            <w:gridSpan w:val="6"/>
            <w:tcBorders>
              <w:bottom w:val="single" w:sz="4" w:space="0" w:color="A6A6A6"/>
            </w:tcBorders>
            <w:vAlign w:val="center"/>
          </w:tcPr>
          <w:p w:rsidR="005A5261" w:rsidRDefault="005A5261" w:rsidP="0085340E">
            <w:pPr>
              <w:ind w:right="-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 xml:space="preserve">Table S2. Descriptive statistics (minimum, mean, and maximum) of the fishing and environmental predictors used in the </w:t>
            </w:r>
            <w:proofErr w:type="spellStart"/>
            <w:r>
              <w:rPr>
                <w:rFonts w:ascii="Times" w:eastAsia="Times" w:hAnsi="Times" w:cs="Times"/>
              </w:rPr>
              <w:t>XGBoost</w:t>
            </w:r>
            <w:proofErr w:type="spellEnd"/>
            <w:r>
              <w:rPr>
                <w:rFonts w:ascii="Times" w:eastAsia="Times" w:hAnsi="Times" w:cs="Times"/>
              </w:rPr>
              <w:t xml:space="preserve"> model.</w:t>
            </w:r>
          </w:p>
        </w:tc>
      </w:tr>
      <w:tr w:rsidR="005A5261" w:rsidTr="0085340E">
        <w:tc>
          <w:tcPr>
            <w:tcW w:w="1134" w:type="dxa"/>
            <w:tcBorders>
              <w:top w:val="single" w:sz="4" w:space="0" w:color="A6A6A6"/>
              <w:bottom w:val="single" w:sz="4" w:space="0" w:color="A6A6A6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  <w:b/>
                <w:bCs/>
              </w:rPr>
            </w:pPr>
            <w:r>
              <w:rPr>
                <w:rFonts w:ascii="Times" w:eastAsia="Times" w:hAnsi="Times" w:cs="Times"/>
                <w:b/>
                <w:bCs/>
              </w:rPr>
              <w:t>Dimension</w:t>
            </w:r>
          </w:p>
        </w:tc>
        <w:tc>
          <w:tcPr>
            <w:tcW w:w="3402" w:type="dxa"/>
            <w:tcBorders>
              <w:top w:val="single" w:sz="4" w:space="0" w:color="A6A6A6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  <w:b/>
                <w:bCs/>
              </w:rPr>
            </w:pPr>
            <w:r>
              <w:rPr>
                <w:rFonts w:ascii="Times" w:eastAsia="Times" w:hAnsi="Times" w:cs="Times"/>
                <w:b/>
                <w:bCs/>
              </w:rPr>
              <w:t>Predictors</w:t>
            </w:r>
          </w:p>
        </w:tc>
        <w:tc>
          <w:tcPr>
            <w:tcW w:w="1418" w:type="dxa"/>
            <w:tcBorders>
              <w:top w:val="single" w:sz="4" w:space="0" w:color="A6A6A6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  <w:b/>
                <w:bCs/>
              </w:rPr>
            </w:pPr>
            <w:r>
              <w:rPr>
                <w:rFonts w:ascii="Times" w:eastAsia="Times" w:hAnsi="Times" w:cs="Times"/>
                <w:b/>
                <w:bCs/>
              </w:rPr>
              <w:t>Minimum</w:t>
            </w:r>
          </w:p>
        </w:tc>
        <w:tc>
          <w:tcPr>
            <w:tcW w:w="1134" w:type="dxa"/>
            <w:tcBorders>
              <w:top w:val="single" w:sz="4" w:space="0" w:color="A6A6A6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  <w:b/>
                <w:bCs/>
              </w:rPr>
            </w:pPr>
            <w:r>
              <w:rPr>
                <w:rFonts w:ascii="Times" w:eastAsia="Times" w:hAnsi="Times" w:cs="Times"/>
                <w:b/>
                <w:bCs/>
              </w:rPr>
              <w:t>Mean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  <w:b/>
                <w:bCs/>
              </w:rPr>
            </w:pPr>
            <w:r>
              <w:rPr>
                <w:rFonts w:ascii="Times" w:eastAsia="Times" w:hAnsi="Times" w:cs="Times"/>
                <w:b/>
                <w:bCs/>
              </w:rPr>
              <w:t>Maximum</w:t>
            </w:r>
          </w:p>
        </w:tc>
        <w:tc>
          <w:tcPr>
            <w:tcW w:w="993" w:type="dxa"/>
            <w:tcBorders>
              <w:top w:val="single" w:sz="4" w:space="0" w:color="A6A6A6"/>
              <w:bottom w:val="single" w:sz="4" w:space="0" w:color="A6A6A6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  <w:b/>
                <w:bCs/>
              </w:rPr>
            </w:pPr>
            <w:r>
              <w:rPr>
                <w:rFonts w:ascii="Times" w:eastAsia="Times" w:hAnsi="Times" w:cs="Times"/>
                <w:b/>
                <w:bCs/>
              </w:rPr>
              <w:t>Units</w:t>
            </w:r>
          </w:p>
        </w:tc>
      </w:tr>
      <w:tr w:rsidR="005A5261" w:rsidTr="0085340E">
        <w:trPr>
          <w:trHeight w:val="199"/>
        </w:trPr>
        <w:tc>
          <w:tcPr>
            <w:tcW w:w="1134" w:type="dxa"/>
            <w:vMerge w:val="restart"/>
            <w:tcBorders>
              <w:top w:val="single" w:sz="4" w:space="0" w:color="A6A6A6"/>
              <w:bottom w:val="single" w:sz="4" w:space="0" w:color="A6A6A6"/>
            </w:tcBorders>
            <w:vAlign w:val="center"/>
          </w:tcPr>
          <w:p w:rsidR="005A5261" w:rsidRDefault="005A5261" w:rsidP="0085340E">
            <w:pPr>
              <w:spacing w:line="480" w:lineRule="auto"/>
              <w:ind w:left="113" w:right="11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Fishing</w:t>
            </w:r>
          </w:p>
        </w:tc>
        <w:tc>
          <w:tcPr>
            <w:tcW w:w="3402" w:type="dxa"/>
            <w:tcBorders>
              <w:top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Average fishing depth</w:t>
            </w:r>
          </w:p>
        </w:tc>
        <w:tc>
          <w:tcPr>
            <w:tcW w:w="1418" w:type="dxa"/>
            <w:tcBorders>
              <w:top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4.35</w:t>
            </w:r>
          </w:p>
        </w:tc>
        <w:tc>
          <w:tcPr>
            <w:tcW w:w="1134" w:type="dxa"/>
            <w:tcBorders>
              <w:top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19.2</w:t>
            </w:r>
          </w:p>
        </w:tc>
        <w:tc>
          <w:tcPr>
            <w:tcW w:w="1559" w:type="dxa"/>
            <w:tcBorders>
              <w:top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46</w:t>
            </w:r>
          </w:p>
        </w:tc>
        <w:tc>
          <w:tcPr>
            <w:tcW w:w="993" w:type="dxa"/>
            <w:tcBorders>
              <w:top w:val="single" w:sz="4" w:space="0" w:color="A6A6A6"/>
            </w:tcBorders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Meters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  <w:bottom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Net height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1.5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2.25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4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Meters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  <w:bottom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Number of nets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2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11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40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Units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  <w:bottom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Net length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26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63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70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Meters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  <w:bottom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Borders>
              <w:bottom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Fishing month</w:t>
            </w:r>
          </w:p>
        </w:tc>
        <w:tc>
          <w:tcPr>
            <w:tcW w:w="1418" w:type="dxa"/>
            <w:tcBorders>
              <w:bottom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6A6A6"/>
            </w:tcBorders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Months</w:t>
            </w:r>
          </w:p>
        </w:tc>
      </w:tr>
      <w:tr w:rsidR="005A5261" w:rsidTr="0085340E">
        <w:tc>
          <w:tcPr>
            <w:tcW w:w="1134" w:type="dxa"/>
            <w:vMerge w:val="restart"/>
            <w:tcBorders>
              <w:top w:val="single" w:sz="4" w:space="0" w:color="A6A6A6"/>
            </w:tcBorders>
            <w:vAlign w:val="center"/>
          </w:tcPr>
          <w:p w:rsidR="005A5261" w:rsidRDefault="005A5261" w:rsidP="0085340E">
            <w:pPr>
              <w:spacing w:line="480" w:lineRule="auto"/>
              <w:ind w:left="113" w:right="11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Environmental</w:t>
            </w:r>
          </w:p>
        </w:tc>
        <w:tc>
          <w:tcPr>
            <w:tcW w:w="3402" w:type="dxa"/>
            <w:tcBorders>
              <w:top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Maximum chlorophyll concentration</w:t>
            </w:r>
          </w:p>
        </w:tc>
        <w:tc>
          <w:tcPr>
            <w:tcW w:w="1418" w:type="dxa"/>
            <w:tcBorders>
              <w:top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0.1</w:t>
            </w:r>
          </w:p>
        </w:tc>
        <w:tc>
          <w:tcPr>
            <w:tcW w:w="1134" w:type="dxa"/>
            <w:tcBorders>
              <w:top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0.11</w:t>
            </w:r>
          </w:p>
        </w:tc>
        <w:tc>
          <w:tcPr>
            <w:tcW w:w="1559" w:type="dxa"/>
            <w:tcBorders>
              <w:top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0.16</w:t>
            </w:r>
          </w:p>
        </w:tc>
        <w:tc>
          <w:tcPr>
            <w:tcW w:w="993" w:type="dxa"/>
            <w:tcBorders>
              <w:top w:val="single" w:sz="4" w:space="0" w:color="A6A6A6"/>
            </w:tcBorders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mg m</w:t>
            </w:r>
            <w:r>
              <w:rPr>
                <w:rFonts w:ascii="Times" w:eastAsia="Times" w:hAnsi="Times" w:cs="Times"/>
                <w:vertAlign w:val="superscript"/>
              </w:rPr>
              <w:t>−3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Mean chlorophyll concentration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0.03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0.04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0.05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mg m</w:t>
            </w:r>
            <w:r>
              <w:rPr>
                <w:rFonts w:ascii="Times" w:eastAsia="Times" w:hAnsi="Times" w:cs="Times"/>
                <w:vertAlign w:val="superscript"/>
              </w:rPr>
              <w:t>−3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Minimum chlorophyll concentration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0.02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0.02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0.03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mg m</w:t>
            </w:r>
            <w:r>
              <w:rPr>
                <w:rFonts w:ascii="Times" w:eastAsia="Times" w:hAnsi="Times" w:cs="Times"/>
                <w:vertAlign w:val="superscript"/>
              </w:rPr>
              <w:t>−3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Mean sea surface temperature 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20.5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21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21.4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(°C)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Minimum sea surface temperature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17.4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17.8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18.2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(°C)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Maximum salinity concentration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36.9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37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37.2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PSS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Mean salinity concentration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36.6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36.8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36.9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PSS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Minimum salinity concentration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36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36.3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36.5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PSS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Maximum primary production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0.0007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0.001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0.002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g·m</w:t>
            </w:r>
            <w:r>
              <w:rPr>
                <w:rFonts w:ascii="Times" w:eastAsia="Times" w:hAnsi="Times" w:cs="Times"/>
                <w:vertAlign w:val="superscript"/>
              </w:rPr>
              <w:t>-3</w:t>
            </w:r>
            <w:r>
              <w:rPr>
                <w:rFonts w:ascii="Times" w:eastAsia="Times" w:hAnsi="Times" w:cs="Times"/>
              </w:rPr>
              <w:t>·day</w:t>
            </w:r>
            <w:r>
              <w:rPr>
                <w:rFonts w:ascii="Times" w:eastAsia="Times" w:hAnsi="Times" w:cs="Times"/>
                <w:vertAlign w:val="superscript"/>
              </w:rPr>
              <w:t>-1</w:t>
            </w:r>
          </w:p>
        </w:tc>
      </w:tr>
      <w:tr w:rsidR="005A5261" w:rsidTr="0085340E">
        <w:tc>
          <w:tcPr>
            <w:tcW w:w="1134" w:type="dxa"/>
            <w:vMerge/>
            <w:tcBorders>
              <w:top w:val="single" w:sz="4" w:space="0" w:color="A6A6A6"/>
            </w:tcBorders>
            <w:vAlign w:val="center"/>
          </w:tcPr>
          <w:p w:rsidR="005A5261" w:rsidRDefault="005A5261" w:rsidP="00853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402" w:type="dxa"/>
            <w:tcBorders>
              <w:bottom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Minimum primary production</w:t>
            </w:r>
          </w:p>
        </w:tc>
        <w:tc>
          <w:tcPr>
            <w:tcW w:w="1418" w:type="dxa"/>
            <w:tcBorders>
              <w:bottom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0.000081</w:t>
            </w:r>
          </w:p>
        </w:tc>
        <w:tc>
          <w:tcPr>
            <w:tcW w:w="1134" w:type="dxa"/>
            <w:tcBorders>
              <w:bottom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0.000082</w:t>
            </w:r>
          </w:p>
        </w:tc>
        <w:tc>
          <w:tcPr>
            <w:tcW w:w="1559" w:type="dxa"/>
            <w:tcBorders>
              <w:bottom w:val="single" w:sz="4" w:space="0" w:color="A6A6A6"/>
            </w:tcBorders>
            <w:tcMar>
              <w:top w:w="57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0.000085</w:t>
            </w:r>
          </w:p>
        </w:tc>
        <w:tc>
          <w:tcPr>
            <w:tcW w:w="993" w:type="dxa"/>
            <w:tcBorders>
              <w:bottom w:val="single" w:sz="4" w:space="0" w:color="A6A6A6"/>
            </w:tcBorders>
            <w:tcMar>
              <w:top w:w="57" w:type="dxa"/>
              <w:left w:w="28" w:type="dxa"/>
              <w:bottom w:w="57" w:type="dxa"/>
            </w:tcMar>
            <w:vAlign w:val="center"/>
          </w:tcPr>
          <w:p w:rsidR="005A5261" w:rsidRDefault="005A5261" w:rsidP="0085340E">
            <w:pPr>
              <w:ind w:right="-103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g·m</w:t>
            </w:r>
            <w:r>
              <w:rPr>
                <w:rFonts w:ascii="Times" w:eastAsia="Times" w:hAnsi="Times" w:cs="Times"/>
                <w:vertAlign w:val="superscript"/>
              </w:rPr>
              <w:t>-3</w:t>
            </w:r>
            <w:r>
              <w:rPr>
                <w:rFonts w:ascii="Times" w:eastAsia="Times" w:hAnsi="Times" w:cs="Times"/>
              </w:rPr>
              <w:t>·day</w:t>
            </w:r>
            <w:r>
              <w:rPr>
                <w:rFonts w:ascii="Times" w:eastAsia="Times" w:hAnsi="Times" w:cs="Times"/>
                <w:vertAlign w:val="superscript"/>
              </w:rPr>
              <w:t>-1</w:t>
            </w:r>
          </w:p>
        </w:tc>
      </w:tr>
    </w:tbl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eastAsia="en-IN"/>
        </w:rPr>
        <w:drawing>
          <wp:inline distT="114300" distB="114300" distL="114300" distR="114300" wp14:anchorId="77B8A1E1" wp14:editId="0127352B">
            <wp:extent cx="5731200" cy="2489200"/>
            <wp:effectExtent l="0" t="0" r="0" b="0"/>
            <wp:docPr id="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8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5A5261" w:rsidRDefault="005A5261" w:rsidP="005A5261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Fig. S1. Map of the three study islands in the Canary Islands: Tenerife, Gran </w:t>
      </w:r>
      <w:proofErr w:type="spellStart"/>
      <w:r>
        <w:rPr>
          <w:rFonts w:ascii="Times New Roman" w:eastAsia="Times New Roman" w:hAnsi="Times New Roman" w:cs="Times New Roman"/>
        </w:rPr>
        <w:t>Canaria</w:t>
      </w:r>
      <w:proofErr w:type="spellEnd"/>
      <w:r>
        <w:rPr>
          <w:rFonts w:ascii="Times New Roman" w:eastAsia="Times New Roman" w:hAnsi="Times New Roman" w:cs="Times New Roman"/>
        </w:rPr>
        <w:t xml:space="preserve">, and Lanzarote (presented from left to right), where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each circle represents a fishing haul (N = 336)</w:t>
      </w:r>
    </w:p>
    <w:p w:rsidR="004E108F" w:rsidRDefault="004E108F">
      <w:bookmarkStart w:id="0" w:name="_GoBack"/>
      <w:bookmarkEnd w:id="0"/>
    </w:p>
    <w:sectPr w:rsidR="004E108F" w:rsidSect="002637D7"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261"/>
    <w:rsid w:val="000A792F"/>
    <w:rsid w:val="001D285E"/>
    <w:rsid w:val="00295CE4"/>
    <w:rsid w:val="00303D39"/>
    <w:rsid w:val="00355E56"/>
    <w:rsid w:val="00395613"/>
    <w:rsid w:val="00445046"/>
    <w:rsid w:val="004C3BD6"/>
    <w:rsid w:val="004E108F"/>
    <w:rsid w:val="00581820"/>
    <w:rsid w:val="005A5261"/>
    <w:rsid w:val="005B621A"/>
    <w:rsid w:val="0064574A"/>
    <w:rsid w:val="006B2BAD"/>
    <w:rsid w:val="007F42B9"/>
    <w:rsid w:val="00846510"/>
    <w:rsid w:val="008D659B"/>
    <w:rsid w:val="00986C04"/>
    <w:rsid w:val="00990700"/>
    <w:rsid w:val="00A20167"/>
    <w:rsid w:val="00C70BE8"/>
    <w:rsid w:val="00D60933"/>
    <w:rsid w:val="00E15C78"/>
    <w:rsid w:val="00E80832"/>
    <w:rsid w:val="00E83DFE"/>
    <w:rsid w:val="00FB20F4"/>
    <w:rsid w:val="00FE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7625BC-04BB-48D9-B6F6-4AA84179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Nandini N</dc:creator>
  <cp:keywords/>
  <dc:description/>
  <cp:lastModifiedBy>Nandini N</cp:lastModifiedBy>
  <cp:revision>1</cp:revision>
  <dcterms:created xsi:type="dcterms:W3CDTF">2026-04-04T17:07:00Z</dcterms:created>
  <dcterms:modified xsi:type="dcterms:W3CDTF">2026-04-04T17:09:00Z</dcterms:modified>
</cp:coreProperties>
</file>