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5BD64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Agrest, D. (2003). Architecture from without: Body, logic and sex. In J. Rendell, B. Penner &amp; I. Borden, Gender space architecture (1st ed., pp. 358-370). New York: Routledge.</w:t>
      </w:r>
    </w:p>
    <w:p w14:paraId="608F908D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Ambady, N., &amp; Rosenthal, R. (1993). Thin slices of expressive behavior as predictors of interpersonal consequences: A meta-analysis. Psychological Bulletin, 111(2), 256-274.</w:t>
      </w:r>
    </w:p>
    <w:p w14:paraId="7EA94849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Barrett, M. (2003). Excerpts From ‘Some conceptual problems in Marxist feminist analysis. In J. Rendell, B. Penner &amp; I. Borden, Gender space architecture (1st ed., pp. 45–52). London and New York: Routledge.</w:t>
      </w:r>
    </w:p>
    <w:p w14:paraId="3F471B45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Bates, C. (2018). Conviviality, disability and design in the city. The Sociological Review, 66(5), 984–999.</w:t>
      </w:r>
    </w:p>
    <w:p w14:paraId="25EDFE8F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Beltran, Rodriguez M., &amp; Simon, M. (2015). Conceptualizing Conviviality in Urban Landscapes. Athens Journal of Architecture, 1(4), 311-326.</w:t>
      </w:r>
    </w:p>
    <w:p w14:paraId="364B7B48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Betsky, A. (1997). Queer space. New York, NY: William Morrow &amp; Co.</w:t>
      </w:r>
    </w:p>
    <w:p w14:paraId="08C55000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Blokland, T. (2008). Gardening with a Little Help from Your (Middle-Class) Friends: Bridging Social Capital across Race in a Mixed Neighbourhood. In K. Gelder &amp; S. Thornton (Eds.), Subcultures: Cultural Histories and Social Practice (pp. 138-158). London: Routledge.</w:t>
      </w:r>
    </w:p>
    <w:p w14:paraId="149AD77C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Bonnevier, K. (2007). Behind straight curtains (1st ed.). Stockholm: Axl Books.</w:t>
      </w:r>
    </w:p>
    <w:p w14:paraId="13496E77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Boys, J. (2014). Doing disability differently (1st ed.) New York: Routledge.</w:t>
      </w:r>
    </w:p>
    <w:p w14:paraId="031F8A79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Boys, J. (2017). Disability, space, architecture. (1st ed.) London: Routledge.</w:t>
      </w:r>
    </w:p>
    <w:p w14:paraId="6C10031F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Brown, A. (2019). The black skyscraper: Architecture and the perception of race. Baltimore, MD: Johns Hopkins University Press.</w:t>
      </w:r>
    </w:p>
    <w:p w14:paraId="3D549AD3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Buchanan, M. (2007). The Social Atom: Why the Rich Get Richer, Cheaters Get Caught, and Your Neighbor Usually Looks Like You. New York, NY: Bloomsbury USA.</w:t>
      </w:r>
    </w:p>
    <w:p w14:paraId="71C4640B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Castricum, S. (2017). When program is the enemy of function… Gender-nonconforming experiences of architectural space. Architecture and Culture, 5(3), 371-381.</w:t>
      </w:r>
    </w:p>
    <w:p w14:paraId="163F0092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Cavanagh, S. (2010). Queering bathrooms: Gender, sexuality and the hygienic imagination response. Gender Place and Culture A Journal of Feminist Geography, 19, 549-551.</w:t>
      </w:r>
    </w:p>
    <w:p w14:paraId="0A059D36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Colomina, B. (1996). Privacy and publicity: Modern architecture as mass media. Cambridge, MA: MIT Press.</w:t>
      </w:r>
    </w:p>
    <w:p w14:paraId="146CCEA0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 xml:space="preserve">Cripps, C. (2004). Architecture, race, identity and multiculturalism: A radical ‘white’ perspective. Social Identities, 10(4), 469-481. </w:t>
      </w:r>
    </w:p>
    <w:p w14:paraId="2D3F97D5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Crow, L. (2017). Lying down anyhow. In Disability, space, architecture (pp. 42-47). London: Routledge.</w:t>
      </w:r>
    </w:p>
    <w:p w14:paraId="7BB099B2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Dionysiou, D. D., &amp; Tsoukas, H. (2012). Understanding the (Re)Creation of Routines from Within: A Symbolic Interactionist Perspective. Academy of Management Review, 38(2), 181–205.</w:t>
      </w:r>
    </w:p>
    <w:p w14:paraId="41054144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Dougherty, T. W., Turban, D. B., &amp; Callender, J. C. (1994). Confirming first impressions in the employment interview: A field study of interviewer behavior. Journal of Applied Psychology, 79(5), 659–665.</w:t>
      </w:r>
    </w:p>
    <w:p w14:paraId="01A5B46F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Dovey, K. (1999). Framing Places: Mediating Power in Built Form. London: Routledge.</w:t>
      </w:r>
    </w:p>
    <w:p w14:paraId="4D07BAEC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Ericksen, E. (2014). The Territorial Experience. Austin: University of Texas Press.</w:t>
      </w:r>
    </w:p>
    <w:p w14:paraId="3C9ADD35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Fenster, T. (2005). The Right to the Gendered City: Different Formations of Belonging in Everyday Life. Journal of Gender Studies, 14(3), 217-231.</w:t>
      </w:r>
    </w:p>
    <w:p w14:paraId="1C2507A8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Fields, D. (2015). Architecture in Black. University of Pennsylvania: Bloomsbury Publishing.</w:t>
      </w:r>
    </w:p>
    <w:p w14:paraId="53A383DC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Forsyth, A. (2001). Sexuality and space: Nonconformist populations and planning practice. Journal of Planning Literature, 15, 339-358.</w:t>
      </w:r>
    </w:p>
    <w:p w14:paraId="430661DE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Franck, K. (2003). A feminist approach to architecture: Acknowledging women's ways of knowing. In J. Rendell, B. Penner, &amp; I. Borden (Eds.), Gender space architecture: An interdisciplinary introduction (pp. 127-140). London and New York: Routledge.</w:t>
      </w:r>
    </w:p>
    <w:p w14:paraId="66E55E68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Friedman, A. (2000). Architecture, authority and the female gaze: Planning and representation in the early modern country house. In I. Borden, B. Penner, &amp; J. Rendell (Eds.), Gender space architecture: An interdisciplinary introduction (pp. 332-341). London and New York: Routledge.</w:t>
      </w:r>
    </w:p>
    <w:p w14:paraId="0863B70B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Gehl, J. (1996). Life Between Buildings. Copenhagen: Arkitektens Forlag.</w:t>
      </w:r>
    </w:p>
    <w:p w14:paraId="7471CCC0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Gieryn, T. F. (2002). A Space for Place in Sociology. Annual Review of Sociology, 26(1), 463–496.</w:t>
      </w:r>
    </w:p>
    <w:p w14:paraId="4CC8E4F3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Goffman, E. (1973). The presentation of self in everyday life. Woodstock, N.Y.: Overlook Press.</w:t>
      </w:r>
    </w:p>
    <w:p w14:paraId="52041A37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Goffman, E. (2014). Stigma. New York: Touchstone.</w:t>
      </w:r>
    </w:p>
    <w:p w14:paraId="026E84F4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Goldberg, D. T. (1993). Polluting the body politic; Race and urban location. In Racist culture; Philosophy and the politics of meaning (pp. 20-31). London: Blackwell Publishing.</w:t>
      </w:r>
    </w:p>
    <w:p w14:paraId="64EF375D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lastRenderedPageBreak/>
        <w:t>Gonsalkorale, K., &amp; Williams, K. D. (2007). The KKK won’t let me play: ostracism even by a despised outgroup hurts. European Journal of Social Psychology, 37(6), 1176–1186.</w:t>
      </w:r>
    </w:p>
    <w:p w14:paraId="482BE9DE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Gorny, R., &amp; van den Heuvel, D. (2017). Introduction: New figurations in architecture theory: From queer performance to becoming trans. Footprint, 21, 1-10.</w:t>
      </w:r>
    </w:p>
    <w:p w14:paraId="57B7B686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Groat, L., &amp; Wang, D. (2013). Architectural research methods. Hoboken: Wiley.</w:t>
      </w:r>
    </w:p>
    <w:p w14:paraId="3DE21A75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Hamraie, A. (2013). Designing collective access: A feminist disability theory of universal design. Disability Studies Quarterly, 33(4).</w:t>
      </w:r>
    </w:p>
    <w:p w14:paraId="261DC3EF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Hamraie, A. (2017). Building access: Universal design and the politics of disability. Minneapolis: University of Minnesota Press.</w:t>
      </w:r>
    </w:p>
    <w:p w14:paraId="5EF281F6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Han, S., Ye, Y., Song, Y., Yan, S., Shi, F., Zhang, Y., Liu, X., Du, H., &amp; Song, D. (2022). A systematic review of objective factors influencing behavior in public open spaces. Frontiers in Public Health, 10, 898136.</w:t>
      </w:r>
    </w:p>
    <w:p w14:paraId="1870A7EA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Harvey, D. (2008). The Right to the City. New Left Review, 53, 23-40.</w:t>
      </w:r>
    </w:p>
    <w:p w14:paraId="34E684EA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Imrie, R. (2011). Universalism, universal design and equitable access to the built environment. Disability and Rehabilitation, 34(10), 873-882.</w:t>
      </w:r>
    </w:p>
    <w:p w14:paraId="0A85D4BC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Jalalkamali, A., &amp; Doratli, N. (2022). Public Space Behaviors and Intentions: The Role of Gender through the Window of Culture, Case of Kerman. Behavioral Sciences, 12(10).</w:t>
      </w:r>
    </w:p>
    <w:p w14:paraId="4B3EEDF6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Jaskot, P. (2000). The architecture of oppression: The SS, forced labor and the Nazi monumental building economy. London: Routledge.</w:t>
      </w:r>
    </w:p>
    <w:p w14:paraId="483BE303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Johnson, F. (2019). Making Civic Space: A Comparative Study of Civic Space Design in the Contemporary Settler Societies of Australia and New Zealand [Doctoral dissertation, The University of Melbourne] Faculty of Architecture, Building and Planning / Melbourne School of Design.</w:t>
      </w:r>
    </w:p>
    <w:p w14:paraId="3C80D277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Kim, Y. S., Jeong, J. Y., Kim, M. K., Lee, S. W., &amp; Kim, M. (2007). Affordances in Interior Design: A case study of affordances in interior design of conference room using enhanced function and task interaction. In Volume 3: 19th International Conference on Design Theory and Methodology; 1st International Conference on Micro- and Nanosystems; and 9th International Conference on Advanced Vehicle Tire Technologies, Parts A and B, 319–328.</w:t>
      </w:r>
    </w:p>
    <w:p w14:paraId="3516FA0B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Lefebvre, H. (1991). The Production of Space. Oxford: Blackwell.</w:t>
      </w:r>
    </w:p>
    <w:p w14:paraId="4D835787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Lewis, S., Thomas, S., Blood, R., Castle, D., Hyde, J., &amp; Komesaroff, P. (2011). How do obese individuals perceive and respond to the different types of obesity stigma that they encounter in their daily lives? A qualitative study. Social Science &amp; Medicine, 73(9), 1349-1356.</w:t>
      </w:r>
    </w:p>
    <w:p w14:paraId="42C1C696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Lid, I. M. (2012). Developing the theoretical content in universal design. Scandinavian Journal of Disability Research, 15(3), 203-215. doi:10.1080/15017419.2012.724445.</w:t>
      </w:r>
    </w:p>
    <w:p w14:paraId="1EEC3B97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Long, Y., &amp; Baran, P. (2011). Does intelligibility affect place legibility? Understanding the relationship between objective and subjective evaluations of the urban environment. Environment and Behavior, 44(5), 616-640.</w:t>
      </w:r>
    </w:p>
    <w:p w14:paraId="67B6D430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Manning, J. (2004). Racism in three dimensions: South African architecture and the ideology of white superiority. Social Identities, 10(4), 527-536. doi:10.1080/1350463042000258944.</w:t>
      </w:r>
    </w:p>
    <w:p w14:paraId="6BF72873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Mitchell, D. (2003). The Right to the City: Social Justice and the Fight for Public Space. New York: Guilford Press.</w:t>
      </w:r>
    </w:p>
    <w:p w14:paraId="03D7BD04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Montgomery, J. (1998). Making a city: Urbanity, vitality and urban design. Journal of Urban Design, 3(1), 93–116.</w:t>
      </w:r>
    </w:p>
    <w:p w14:paraId="067AF209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Raluca, N. (2012). Gender issues in architectural education: Feminine paradigm. Review of Applied Socio-Economic Research, 3(1), 144-152.</w:t>
      </w:r>
    </w:p>
    <w:p w14:paraId="35A403DC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Raluca, N. (2014). Gender Analogies in Architecture. Journal of Research in Gender Studies, 1, 474-490.</w:t>
      </w:r>
    </w:p>
    <w:p w14:paraId="7034D86D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Reed, C. (2003). We’re from Oz: Marking ethnic and sexual identity in Chicago. Environment and Planning D: Society and Space, 21(4), 425-440. doi:10.1068/d372.</w:t>
      </w:r>
    </w:p>
    <w:p w14:paraId="365FAEB5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Ryan, J. (2006). A Ragged Edge Online: Disability Discrimination -- Alive and Well in NYC. Available at: http://www.raggededgemagazine.com/departments/reflections/000910.html</w:t>
      </w:r>
    </w:p>
    <w:p w14:paraId="0FBE18D1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Sanders, J. (2017). From stud to stalled! Architecture in transition. JSTOR Log, 41, 145-154. Retrieved 14 May 2020, from http://joelsandersarchitect.com/from-stud-to-stalled-architecture-in-transition/</w:t>
      </w:r>
    </w:p>
    <w:p w14:paraId="0ACAD336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Serlin, D. (2017). Pissing without pity: Disability, gender, and the public toilet. In J. Boys (Ed.), Disability, Space, Architecture: A Reader (pp. 213-308). London: Routledge.</w:t>
      </w:r>
    </w:p>
    <w:p w14:paraId="22156475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Shaftoe, H. (2015). Convivial Urban Spaces: Creating Effective Public Places. Abingdon, Oxfordshire: Routledge.</w:t>
      </w:r>
    </w:p>
    <w:p w14:paraId="29BBABEE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lastRenderedPageBreak/>
        <w:t>Sibley, D. (1995). Geographies of Exclusion: Society and Difference in the West. London: Routledge.</w:t>
      </w:r>
    </w:p>
    <w:p w14:paraId="1FBF919F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Smith, D. (2014). Interiors can address social justice: Fact or fiction?. In Perspectives on social sustainability and interior architecture. Singapore: Springer.</w:t>
      </w:r>
    </w:p>
    <w:p w14:paraId="1342312B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Smith, R. W., &amp; Bugni, V. (2006). Symbolic Interaction Theory and Architecture. Symbolic Interaction, 29(2), 123–155.</w:t>
      </w:r>
    </w:p>
    <w:p w14:paraId="6D64FF22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Soja, E. W. (2010). Seeking Spatial Justice. Minneapolis: University of Minnesota Press.</w:t>
      </w:r>
    </w:p>
    <w:p w14:paraId="569CA440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 xml:space="preserve">Spain, D. (2014). Gender and urban space. Annual Review of Sociology, 40(1), 581-598. </w:t>
      </w:r>
    </w:p>
    <w:p w14:paraId="5256107A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Steckler, C. M., &amp; Tracy, J. L. (2014). The Emotional Underpinnings of Social Status. In J. T. Cheng, J. L. Tracy, &amp; C. Anderson (Eds.), The Psychology of Social Status (pp. 201–224). Springer Science and Business Media.</w:t>
      </w:r>
    </w:p>
    <w:p w14:paraId="4AC3015F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 xml:space="preserve">Thomsen, B. (2008). Performative environments: Architecture acting with flows. Architectural Theory Review, 13, 320-336. </w:t>
      </w:r>
    </w:p>
    <w:p w14:paraId="36186650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Tonkiss, F. (2005). Space, the City and Social Theory: Social Relations and Urban Forms. Cambridge: Polity Press.</w:t>
      </w:r>
    </w:p>
    <w:p w14:paraId="6119EBDE" w14:textId="77777777" w:rsid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Tooley, J. (2021). How space affects social value judgments at zero acquaintance with particular reference to civic transitory space [doctoral dissertation]. Curtin University.</w:t>
      </w:r>
    </w:p>
    <w:p w14:paraId="2E3EE77E" w14:textId="2839F1B7" w:rsidR="000E65E4" w:rsidRPr="000E65E4" w:rsidRDefault="000E65E4" w:rsidP="000E65E4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Tooley, J. (2024). Spatial influences on first impressions: A case study on how stranger behavior is judged in urban transitional spaces. Cogent Social Sciences, 10(1).</w:t>
      </w:r>
    </w:p>
    <w:p w14:paraId="3A7A9790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Urbach, H. (2003). Closets, clothes, disClosure. In I. Borden, B. Penner &amp; J. Rendell (eds.), Gender space architecture: An interdisciplinary introduction. London and New York: Routledge.</w:t>
      </w:r>
    </w:p>
    <w:p w14:paraId="0C154915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Vidal, D. G., Teixeira, C. P., Fernandes, C. O., Olszewska-Guizzo, A., Dias, R. C., Vilaça, H., Barros, N., &amp; Maia, R. L. (2022). Patterns of human behaviour in public urban green spaces: On the influence of users' profiles, surrounding environment, and space design. Urban Forestry and Urban Greening, 84, 127668.</w:t>
      </w:r>
    </w:p>
    <w:p w14:paraId="27A14EF9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Weisman, L. (1994). Discrimination by design. Urban: University of Illinois Press.</w:t>
      </w:r>
    </w:p>
    <w:p w14:paraId="725F5D9A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Wekerle, G. R., &amp; Whitzman, C. (1995). Safe Cities: Guidelines for Planning, Design, and Management. New York: Van Nostrand Reinhold.</w:t>
      </w:r>
    </w:p>
    <w:p w14:paraId="4F96D129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Weyeneth, R. R. (2005). The architecture of racial segregation: The challenges of preserving the problematical past. The Public Historian, 27(4), 11-44.</w:t>
      </w:r>
    </w:p>
    <w:p w14:paraId="67E2E13E" w14:textId="77777777" w:rsidR="001F6372" w:rsidRPr="001F6372" w:rsidRDefault="001F6372" w:rsidP="001F637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1F6372">
        <w:rPr>
          <w:rFonts w:ascii="Arial" w:hAnsi="Arial" w:cs="Arial"/>
          <w:sz w:val="20"/>
          <w:szCs w:val="20"/>
        </w:rPr>
        <w:t>Wilkins, C. L. (2016). Diversity among architects: from margin to center. New York: Routledge.</w:t>
      </w:r>
    </w:p>
    <w:p w14:paraId="12F99F87" w14:textId="77777777" w:rsidR="001F6372" w:rsidRPr="001F6372" w:rsidRDefault="001F6372" w:rsidP="001F6372">
      <w:pPr>
        <w:spacing w:line="240" w:lineRule="auto"/>
        <w:ind w:left="360"/>
        <w:rPr>
          <w:rFonts w:ascii="Arial" w:hAnsi="Arial" w:cs="Arial"/>
          <w:sz w:val="20"/>
          <w:szCs w:val="20"/>
        </w:rPr>
      </w:pPr>
    </w:p>
    <w:sectPr w:rsidR="001F6372" w:rsidRPr="001F6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E1184"/>
    <w:multiLevelType w:val="hybridMultilevel"/>
    <w:tmpl w:val="5338015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40ADF"/>
    <w:multiLevelType w:val="hybridMultilevel"/>
    <w:tmpl w:val="861AFF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92D1B"/>
    <w:multiLevelType w:val="hybridMultilevel"/>
    <w:tmpl w:val="4ECE9D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298789">
    <w:abstractNumId w:val="2"/>
  </w:num>
  <w:num w:numId="2" w16cid:durableId="518156098">
    <w:abstractNumId w:val="0"/>
  </w:num>
  <w:num w:numId="3" w16cid:durableId="322586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FD5"/>
    <w:rsid w:val="000E65E4"/>
    <w:rsid w:val="001F6372"/>
    <w:rsid w:val="00427FD5"/>
    <w:rsid w:val="005073C8"/>
    <w:rsid w:val="00731B8A"/>
    <w:rsid w:val="00896420"/>
    <w:rsid w:val="00B3143C"/>
    <w:rsid w:val="00D556B4"/>
    <w:rsid w:val="00DB275C"/>
    <w:rsid w:val="00E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521B"/>
  <w15:chartTrackingRefBased/>
  <w15:docId w15:val="{BCC054A8-7DBE-4769-9E38-5C4E7DAB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Australia</Company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Tooley</dc:creator>
  <cp:keywords/>
  <dc:description/>
  <cp:lastModifiedBy>Jack Tooley</cp:lastModifiedBy>
  <cp:revision>3</cp:revision>
  <dcterms:created xsi:type="dcterms:W3CDTF">2024-07-27T08:57:00Z</dcterms:created>
  <dcterms:modified xsi:type="dcterms:W3CDTF">2024-07-30T09:12:00Z</dcterms:modified>
</cp:coreProperties>
</file>