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w:cs="Times" w:eastAsia="Times" w:hAnsi="Times"/>
          <w:b w:val="1"/>
          <w:sz w:val="20"/>
          <w:szCs w:val="20"/>
        </w:rPr>
      </w:pPr>
      <w:r w:rsidDel="00000000" w:rsidR="00000000" w:rsidRPr="00000000">
        <w:rPr>
          <w:rFonts w:ascii="Times" w:cs="Times" w:eastAsia="Times" w:hAnsi="Times"/>
          <w:b w:val="1"/>
          <w:sz w:val="20"/>
          <w:szCs w:val="20"/>
          <w:rtl w:val="0"/>
        </w:rPr>
        <w:t xml:space="preserve">Appendices: </w:t>
      </w:r>
    </w:p>
    <w:p w:rsidR="00000000" w:rsidDel="00000000" w:rsidP="00000000" w:rsidRDefault="00000000" w:rsidRPr="00000000" w14:paraId="00000002">
      <w:pPr>
        <w:spacing w:line="480" w:lineRule="auto"/>
        <w:rPr>
          <w:rFonts w:ascii="Times New Roman" w:cs="Times New Roman" w:eastAsia="Times New Roman" w:hAnsi="Times New Roman"/>
          <w:b w:val="1"/>
          <w:i w:val="1"/>
          <w:sz w:val="20"/>
          <w:szCs w:val="20"/>
        </w:rPr>
      </w:pPr>
      <w:r w:rsidDel="00000000" w:rsidR="00000000" w:rsidRPr="00000000">
        <w:rPr>
          <w:rFonts w:ascii="Times" w:cs="Times" w:eastAsia="Times" w:hAnsi="Times"/>
          <w:b w:val="1"/>
          <w:sz w:val="20"/>
          <w:szCs w:val="20"/>
          <w:rtl w:val="0"/>
        </w:rPr>
        <w:t xml:space="preserve">Appendix A: Previous Literature</w:t>
      </w:r>
      <w:r w:rsidDel="00000000" w:rsidR="00000000" w:rsidRPr="00000000">
        <w:rPr>
          <w:rtl w:val="0"/>
        </w:rPr>
      </w:r>
    </w:p>
    <w:p w:rsidR="00000000" w:rsidDel="00000000" w:rsidP="00000000" w:rsidRDefault="00000000" w:rsidRPr="00000000" w14:paraId="00000003">
      <w:pPr>
        <w:spacing w:line="48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Demographic Explanations</w:t>
      </w:r>
    </w:p>
    <w:p w:rsidR="00000000" w:rsidDel="00000000" w:rsidP="00000000" w:rsidRDefault="00000000" w:rsidRPr="00000000" w14:paraId="00000004">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Many scholars have researched the association between the level of ethnic diversity and the level of dominant and subordinate national pride (Masella, 2013; </w:t>
      </w:r>
      <w:r w:rsidDel="00000000" w:rsidR="00000000" w:rsidRPr="00000000">
        <w:rPr>
          <w:rFonts w:ascii="Times" w:cs="Times" w:eastAsia="Times" w:hAnsi="Times"/>
          <w:sz w:val="20"/>
          <w:szCs w:val="20"/>
          <w:rtl w:val="0"/>
        </w:rPr>
        <w:t xml:space="preserve">Staerklé</w:t>
      </w:r>
      <w:r w:rsidDel="00000000" w:rsidR="00000000" w:rsidRPr="00000000">
        <w:rPr>
          <w:rFonts w:ascii="Times New Roman" w:cs="Times New Roman" w:eastAsia="Times New Roman" w:hAnsi="Times New Roman"/>
          <w:sz w:val="20"/>
          <w:szCs w:val="20"/>
          <w:rtl w:val="0"/>
        </w:rPr>
        <w:t xml:space="preserve"> et al., 2010). However, there is no consensus on the impact of ethnic diversity on the strength of national pride. Masella (2013) has proposed that ethnic minorities can be less or more proud of their national identity depending on the level of ethnic diversity in a country. The hypothesis is that in more diverse countries, ethnic minorities are less proud of their national identity and vice versa. However, in their multilevel analysis, </w:t>
      </w:r>
      <w:r w:rsidDel="00000000" w:rsidR="00000000" w:rsidRPr="00000000">
        <w:rPr>
          <w:rFonts w:ascii="Times" w:cs="Times" w:eastAsia="Times" w:hAnsi="Times"/>
          <w:sz w:val="20"/>
          <w:szCs w:val="20"/>
          <w:rtl w:val="0"/>
        </w:rPr>
        <w:t xml:space="preserve">Staerklé</w:t>
      </w:r>
      <w:r w:rsidDel="00000000" w:rsidR="00000000" w:rsidRPr="00000000">
        <w:rPr>
          <w:rFonts w:ascii="Times New Roman" w:cs="Times New Roman" w:eastAsia="Times New Roman" w:hAnsi="Times New Roman"/>
          <w:sz w:val="20"/>
          <w:szCs w:val="20"/>
          <w:rtl w:val="0"/>
        </w:rPr>
        <w:t xml:space="preserve"> et al. (2010) have shown that majorities are more proud than ethnic minorities, and the magnitude of the difference depends on country-level characteristics. They have concluded that ethnic diversity and low levels of inequality can increase the difference between national pride of ethnicities.</w:t>
      </w:r>
    </w:p>
    <w:p w:rsidR="00000000" w:rsidDel="00000000" w:rsidP="00000000" w:rsidRDefault="00000000" w:rsidRPr="00000000" w14:paraId="00000005">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These contradictory findings suggest that other important variables must be included in the analysis. Although it is widely accepted that majorities are prouder than minorities, the definitions of majority and minority are inconsistent in all studies. In some countries, it is possible to be demographically in the minority but socio-politically dominant (Wimmer, 2017).  Contrary to most socio-demographic explanations, the level of national pride among dominant and subordinate ethnicities is very similar in Iran, despite its diversity and the dominance of its leading ethnic group (Persians). </w:t>
      </w:r>
    </w:p>
    <w:p w:rsidR="00000000" w:rsidDel="00000000" w:rsidP="00000000" w:rsidRDefault="00000000" w:rsidRPr="00000000" w14:paraId="00000006">
      <w:pPr>
        <w:spacing w:line="48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spacing w:line="48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The Double-edged Impact of Modernization </w:t>
      </w:r>
    </w:p>
    <w:p w:rsidR="00000000" w:rsidDel="00000000" w:rsidP="00000000" w:rsidRDefault="00000000" w:rsidRPr="00000000" w14:paraId="00000008">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Scholars have examined the impact of the modernization process and have written extensively on the mechanisms that lead to the emergence of national identity and its political salience. The research ranges on the role of factors such as the role of war in state-making, tax collection, mass printing, universal schooling, economic modernization, and so on (Gellner, 1983; Tilly, 1996; Hechter, 2000; Anderson, 2006). Most of these theories have one thing in common: all of them discuss the mechanisms that putatively create a network of people, whether through mass printing or newspapers, which allows the diffusion of national identity to literate people in a network or “shared field” or through universal schooling which provides the state the opportunity to promote an “imagined community” (Anderson, 2006), with the case of the state turning “peasants into Frenchmen” being the most famous (Weber, 1976). </w:t>
      </w:r>
    </w:p>
    <w:p w:rsidR="00000000" w:rsidDel="00000000" w:rsidP="00000000" w:rsidRDefault="00000000" w:rsidRPr="00000000" w14:paraId="00000009">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While it is generally agreed that modernization processes create a “shared field,” modernization, particularly economic modernization, can also lead to competition and conflict in the context of ethnic heterogeneity (Nagel, 1995). In their studies, Hechter (2000) and Olzak (1983) have demonstrated how economic modernization can result in interethnic competition and conflict. Olzak (1983) has asserted that increasing intergroup interaction under conditions where groups compete over scarce economic opportunities can lead to more identification with the subgroup identity. </w:t>
      </w:r>
    </w:p>
    <w:p w:rsidR="00000000" w:rsidDel="00000000" w:rsidP="00000000" w:rsidRDefault="00000000" w:rsidRPr="00000000" w14:paraId="0000000A">
      <w:pPr>
        <w:spacing w:line="48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setting in which a cultural division of labor obtains, Hechter (2000) has drawn our attention to the position of “culturally marked individuals” (belonging to ethnic, racial, or religious groups) and their distribution in occupational structure. He asserts that the cultural division of labor has two dimensions: hierarchy, which is “variance in average occupational prestige of culturally distinct groups” (Hechter, 2000:100), and segmentation, “which is variance in groups’ corresponding occupational specialization” (Hechter, 2000:261). Hechter maintains that “strong social identities are by-products of hierarchy and segmentation” (2000:106). Although economic factors and inequality are important, the model neglects the influence of cultural factors that may moderate inequality and political subordination in ethnically diverse societies. </w:t>
      </w:r>
    </w:p>
    <w:p w:rsidR="00000000" w:rsidDel="00000000" w:rsidP="00000000" w:rsidRDefault="00000000" w:rsidRPr="00000000" w14:paraId="0000000B">
      <w:pPr>
        <w:spacing w:line="48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Modernization processes may have a double-edged effect on the national pride of ethnic majorities and minorities. On the one hand, modernization can lead to the emergence of an “imagined community” and the promotion of national identity. On the other hand, development in a cultural division of labor can result in inter-group conflict and a widening gap between dominant and subordinate ethnicities. However persuasive such models may be, because they assume that modernization decreases the salience of religion through pervasive secularization, it is bound to neglect the importance of religion as an independent cultural factor in many cases (Gorski &amp; Altinordu, 2008; Brubaker, 2012). </w:t>
      </w:r>
    </w:p>
    <w:p w:rsidR="00000000" w:rsidDel="00000000" w:rsidP="00000000" w:rsidRDefault="00000000" w:rsidRPr="00000000" w14:paraId="0000000C">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3">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References</w:t>
      </w:r>
    </w:p>
    <w:p w:rsidR="00000000" w:rsidDel="00000000" w:rsidP="00000000" w:rsidRDefault="00000000" w:rsidRPr="00000000" w14:paraId="00000014">
      <w:pPr>
        <w:spacing w:line="48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spacing w:line="480" w:lineRule="auto"/>
        <w:ind w:left="720" w:hanging="720"/>
        <w:rPr>
          <w:rFonts w:ascii="Times" w:cs="Times" w:eastAsia="Times" w:hAnsi="Times"/>
          <w:sz w:val="20"/>
          <w:szCs w:val="20"/>
        </w:rPr>
      </w:pPr>
      <w:r w:rsidDel="00000000" w:rsidR="00000000" w:rsidRPr="00000000">
        <w:rPr>
          <w:rFonts w:ascii="Times" w:cs="Times" w:eastAsia="Times" w:hAnsi="Times"/>
          <w:sz w:val="20"/>
          <w:szCs w:val="20"/>
          <w:rtl w:val="0"/>
        </w:rPr>
        <w:t xml:space="preserve">Anderson, Benedict. 2006. </w:t>
      </w:r>
      <w:r w:rsidDel="00000000" w:rsidR="00000000" w:rsidRPr="00000000">
        <w:rPr>
          <w:rFonts w:ascii="Times" w:cs="Times" w:eastAsia="Times" w:hAnsi="Times"/>
          <w:i w:val="1"/>
          <w:sz w:val="20"/>
          <w:szCs w:val="20"/>
          <w:rtl w:val="0"/>
        </w:rPr>
        <w:t xml:space="preserve">Imagined Communities: Reflections on the Origin and Spread of Nationalism</w:t>
      </w:r>
      <w:r w:rsidDel="00000000" w:rsidR="00000000" w:rsidRPr="00000000">
        <w:rPr>
          <w:rFonts w:ascii="Times" w:cs="Times" w:eastAsia="Times" w:hAnsi="Times"/>
          <w:sz w:val="20"/>
          <w:szCs w:val="20"/>
          <w:rtl w:val="0"/>
        </w:rPr>
        <w:t xml:space="preserve">. London, UK: Verso.</w:t>
      </w:r>
    </w:p>
    <w:p w:rsidR="00000000" w:rsidDel="00000000" w:rsidP="00000000" w:rsidRDefault="00000000" w:rsidRPr="00000000" w14:paraId="00000016">
      <w:pPr>
        <w:spacing w:line="480" w:lineRule="auto"/>
        <w:ind w:left="720" w:hanging="720"/>
        <w:rPr>
          <w:rFonts w:ascii="Times" w:cs="Times" w:eastAsia="Times" w:hAnsi="Times"/>
          <w:sz w:val="20"/>
          <w:szCs w:val="20"/>
        </w:rPr>
      </w:pPr>
      <w:r w:rsidDel="00000000" w:rsidR="00000000" w:rsidRPr="00000000">
        <w:rPr>
          <w:rFonts w:ascii="Times" w:cs="Times" w:eastAsia="Times" w:hAnsi="Times"/>
          <w:sz w:val="20"/>
          <w:szCs w:val="20"/>
          <w:rtl w:val="0"/>
        </w:rPr>
        <w:t xml:space="preserve">Brubaker, Rogers. 2012. “Religion and Nationalism: Four Approaches.” </w:t>
      </w:r>
      <w:r w:rsidDel="00000000" w:rsidR="00000000" w:rsidRPr="00000000">
        <w:rPr>
          <w:rFonts w:ascii="Times" w:cs="Times" w:eastAsia="Times" w:hAnsi="Times"/>
          <w:i w:val="1"/>
          <w:sz w:val="20"/>
          <w:szCs w:val="20"/>
          <w:rtl w:val="0"/>
        </w:rPr>
        <w:t xml:space="preserve">Nations and Nationalism</w:t>
      </w:r>
      <w:r w:rsidDel="00000000" w:rsidR="00000000" w:rsidRPr="00000000">
        <w:rPr>
          <w:rFonts w:ascii="Times" w:cs="Times" w:eastAsia="Times" w:hAnsi="Times"/>
          <w:sz w:val="20"/>
          <w:szCs w:val="20"/>
          <w:rtl w:val="0"/>
        </w:rPr>
        <w:t xml:space="preserve">. 18(1):2-20.</w:t>
      </w:r>
    </w:p>
    <w:p w:rsidR="00000000" w:rsidDel="00000000" w:rsidP="00000000" w:rsidRDefault="00000000" w:rsidRPr="00000000" w14:paraId="00000017">
      <w:pPr>
        <w:spacing w:line="480" w:lineRule="auto"/>
        <w:ind w:left="720" w:hanging="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Gellner, Ernest. 1983. </w:t>
      </w:r>
      <w:r w:rsidDel="00000000" w:rsidR="00000000" w:rsidRPr="00000000">
        <w:rPr>
          <w:rFonts w:ascii="Times New Roman" w:cs="Times New Roman" w:eastAsia="Times New Roman" w:hAnsi="Times New Roman"/>
          <w:i w:val="1"/>
          <w:sz w:val="20"/>
          <w:szCs w:val="20"/>
          <w:rtl w:val="0"/>
        </w:rPr>
        <w:t xml:space="preserve">Nations and Nationalism.</w:t>
      </w:r>
      <w:r w:rsidDel="00000000" w:rsidR="00000000" w:rsidRPr="00000000">
        <w:rPr>
          <w:rFonts w:ascii="Times New Roman" w:cs="Times New Roman" w:eastAsia="Times New Roman" w:hAnsi="Times New Roman"/>
          <w:sz w:val="20"/>
          <w:szCs w:val="20"/>
          <w:rtl w:val="0"/>
        </w:rPr>
        <w:t xml:space="preserve"> Ithaca, NY: Cornell University Press.</w:t>
      </w:r>
    </w:p>
    <w:p w:rsidR="00000000" w:rsidDel="00000000" w:rsidP="00000000" w:rsidRDefault="00000000" w:rsidRPr="00000000" w14:paraId="00000018">
      <w:pPr>
        <w:spacing w:line="480" w:lineRule="auto"/>
        <w:ind w:left="720" w:hanging="720"/>
        <w:rPr>
          <w:rFonts w:ascii="Times" w:cs="Times" w:eastAsia="Times" w:hAnsi="Times"/>
          <w:sz w:val="20"/>
          <w:szCs w:val="20"/>
        </w:rPr>
      </w:pPr>
      <w:r w:rsidDel="00000000" w:rsidR="00000000" w:rsidRPr="00000000">
        <w:rPr>
          <w:rFonts w:ascii="Times New Roman" w:cs="Times New Roman" w:eastAsia="Times New Roman" w:hAnsi="Times New Roman"/>
          <w:sz w:val="20"/>
          <w:szCs w:val="20"/>
          <w:rtl w:val="0"/>
        </w:rPr>
        <w:t xml:space="preserve">Gorski, Philip S., and Ateş Altinordu. 2008. “After Secularization?” </w:t>
      </w:r>
      <w:r w:rsidDel="00000000" w:rsidR="00000000" w:rsidRPr="00000000">
        <w:rPr>
          <w:rFonts w:ascii="Times New Roman" w:cs="Times New Roman" w:eastAsia="Times New Roman" w:hAnsi="Times New Roman"/>
          <w:i w:val="1"/>
          <w:sz w:val="20"/>
          <w:szCs w:val="20"/>
          <w:rtl w:val="0"/>
        </w:rPr>
        <w:t xml:space="preserve">Annual Review of Sociology</w:t>
      </w:r>
      <w:r w:rsidDel="00000000" w:rsidR="00000000" w:rsidRPr="00000000">
        <w:rPr>
          <w:rFonts w:ascii="Times New Roman" w:cs="Times New Roman" w:eastAsia="Times New Roman" w:hAnsi="Times New Roman"/>
          <w:sz w:val="20"/>
          <w:szCs w:val="20"/>
          <w:rtl w:val="0"/>
        </w:rPr>
        <w:t xml:space="preserve"> 34 (1):55-85.</w:t>
      </w:r>
      <w:r w:rsidDel="00000000" w:rsidR="00000000" w:rsidRPr="00000000">
        <w:rPr>
          <w:rtl w:val="0"/>
        </w:rPr>
      </w:r>
    </w:p>
    <w:p w:rsidR="00000000" w:rsidDel="00000000" w:rsidP="00000000" w:rsidRDefault="00000000" w:rsidRPr="00000000" w14:paraId="00000019">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Hechter, Michael. 2000. </w:t>
      </w:r>
      <w:r w:rsidDel="00000000" w:rsidR="00000000" w:rsidRPr="00000000">
        <w:rPr>
          <w:rFonts w:ascii="Times New Roman" w:cs="Times New Roman" w:eastAsia="Times New Roman" w:hAnsi="Times New Roman"/>
          <w:i w:val="1"/>
          <w:sz w:val="20"/>
          <w:szCs w:val="20"/>
          <w:rtl w:val="0"/>
        </w:rPr>
        <w:t xml:space="preserve">Containing Nationalism</w:t>
      </w:r>
      <w:r w:rsidDel="00000000" w:rsidR="00000000" w:rsidRPr="00000000">
        <w:rPr>
          <w:rFonts w:ascii="Times New Roman" w:cs="Times New Roman" w:eastAsia="Times New Roman" w:hAnsi="Times New Roman"/>
          <w:sz w:val="20"/>
          <w:szCs w:val="20"/>
          <w:rtl w:val="0"/>
        </w:rPr>
        <w:t xml:space="preserve">. Oxford, UK: Oxford University Press. </w:t>
      </w:r>
    </w:p>
    <w:p w:rsidR="00000000" w:rsidDel="00000000" w:rsidP="00000000" w:rsidRDefault="00000000" w:rsidRPr="00000000" w14:paraId="0000001A">
      <w:pPr>
        <w:spacing w:line="480" w:lineRule="auto"/>
        <w:ind w:left="720" w:hanging="720"/>
        <w:rPr>
          <w:rFonts w:ascii="Times" w:cs="Times" w:eastAsia="Times" w:hAnsi="Times"/>
          <w:sz w:val="20"/>
          <w:szCs w:val="20"/>
        </w:rPr>
      </w:pPr>
      <w:r w:rsidDel="00000000" w:rsidR="00000000" w:rsidRPr="00000000">
        <w:rPr>
          <w:rFonts w:ascii="Times" w:cs="Times" w:eastAsia="Times" w:hAnsi="Times"/>
          <w:sz w:val="20"/>
          <w:szCs w:val="20"/>
          <w:rtl w:val="0"/>
        </w:rPr>
        <w:t xml:space="preserve">Masella, Paolo. 2013. “National Identity and Ethnic Diversity.” </w:t>
      </w:r>
      <w:r w:rsidDel="00000000" w:rsidR="00000000" w:rsidRPr="00000000">
        <w:rPr>
          <w:rFonts w:ascii="Times" w:cs="Times" w:eastAsia="Times" w:hAnsi="Times"/>
          <w:i w:val="1"/>
          <w:sz w:val="20"/>
          <w:szCs w:val="20"/>
          <w:rtl w:val="0"/>
        </w:rPr>
        <w:t xml:space="preserve">Journal of Population Economics</w:t>
      </w:r>
      <w:r w:rsidDel="00000000" w:rsidR="00000000" w:rsidRPr="00000000">
        <w:rPr>
          <w:rFonts w:ascii="Times" w:cs="Times" w:eastAsia="Times" w:hAnsi="Times"/>
          <w:sz w:val="20"/>
          <w:szCs w:val="20"/>
          <w:rtl w:val="0"/>
        </w:rPr>
        <w:t xml:space="preserve"> 26(2):437-54. </w:t>
      </w:r>
    </w:p>
    <w:p w:rsidR="00000000" w:rsidDel="00000000" w:rsidP="00000000" w:rsidRDefault="00000000" w:rsidRPr="00000000" w14:paraId="0000001B">
      <w:pPr>
        <w:spacing w:line="480" w:lineRule="auto"/>
        <w:ind w:left="720" w:hanging="720"/>
        <w:rPr>
          <w:rFonts w:ascii="Times" w:cs="Times" w:eastAsia="Times" w:hAnsi="Times"/>
          <w:sz w:val="20"/>
          <w:szCs w:val="20"/>
        </w:rPr>
      </w:pPr>
      <w:r w:rsidDel="00000000" w:rsidR="00000000" w:rsidRPr="00000000">
        <w:rPr>
          <w:rFonts w:ascii="Times" w:cs="Times" w:eastAsia="Times" w:hAnsi="Times"/>
          <w:sz w:val="20"/>
          <w:szCs w:val="20"/>
          <w:rtl w:val="0"/>
        </w:rPr>
        <w:t xml:space="preserve">Nagel, Joane. 1995. “American Indian ethnic renewal: Politics and the resurgence of identity.” </w:t>
      </w:r>
      <w:r w:rsidDel="00000000" w:rsidR="00000000" w:rsidRPr="00000000">
        <w:rPr>
          <w:rFonts w:ascii="Times" w:cs="Times" w:eastAsia="Times" w:hAnsi="Times"/>
          <w:i w:val="1"/>
          <w:sz w:val="20"/>
          <w:szCs w:val="20"/>
          <w:rtl w:val="0"/>
        </w:rPr>
        <w:t xml:space="preserve">American Sociological Review</w:t>
      </w:r>
      <w:r w:rsidDel="00000000" w:rsidR="00000000" w:rsidRPr="00000000">
        <w:rPr>
          <w:rFonts w:ascii="Times" w:cs="Times" w:eastAsia="Times" w:hAnsi="Times"/>
          <w:sz w:val="20"/>
          <w:szCs w:val="20"/>
          <w:rtl w:val="0"/>
        </w:rPr>
        <w:t xml:space="preserve"> 60(6):947-965.</w:t>
      </w:r>
    </w:p>
    <w:p w:rsidR="00000000" w:rsidDel="00000000" w:rsidP="00000000" w:rsidRDefault="00000000" w:rsidRPr="00000000" w14:paraId="0000001C">
      <w:pPr>
        <w:spacing w:line="480" w:lineRule="auto"/>
        <w:ind w:left="720" w:hanging="720"/>
        <w:rPr>
          <w:rFonts w:ascii="Times" w:cs="Times" w:eastAsia="Times" w:hAnsi="Times"/>
          <w:sz w:val="20"/>
          <w:szCs w:val="20"/>
        </w:rPr>
      </w:pPr>
      <w:r w:rsidDel="00000000" w:rsidR="00000000" w:rsidRPr="00000000">
        <w:rPr>
          <w:rFonts w:ascii="Times" w:cs="Times" w:eastAsia="Times" w:hAnsi="Times"/>
          <w:sz w:val="20"/>
          <w:szCs w:val="20"/>
          <w:rtl w:val="0"/>
        </w:rPr>
        <w:t xml:space="preserve">Olzak, Susan. 1983 “Contemporary Ethnic Mobilization.” </w:t>
      </w:r>
      <w:r w:rsidDel="00000000" w:rsidR="00000000" w:rsidRPr="00000000">
        <w:rPr>
          <w:rFonts w:ascii="Times" w:cs="Times" w:eastAsia="Times" w:hAnsi="Times"/>
          <w:i w:val="1"/>
          <w:sz w:val="20"/>
          <w:szCs w:val="20"/>
          <w:rtl w:val="0"/>
        </w:rPr>
        <w:t xml:space="preserve">Annual Review of Sociology</w:t>
      </w:r>
      <w:r w:rsidDel="00000000" w:rsidR="00000000" w:rsidRPr="00000000">
        <w:rPr>
          <w:rFonts w:ascii="Times" w:cs="Times" w:eastAsia="Times" w:hAnsi="Times"/>
          <w:sz w:val="20"/>
          <w:szCs w:val="20"/>
          <w:rtl w:val="0"/>
        </w:rPr>
        <w:t xml:space="preserve"> 9(1):355-374. </w:t>
      </w:r>
    </w:p>
    <w:p w:rsidR="00000000" w:rsidDel="00000000" w:rsidP="00000000" w:rsidRDefault="00000000" w:rsidRPr="00000000" w14:paraId="0000001D">
      <w:pPr>
        <w:spacing w:line="480" w:lineRule="auto"/>
        <w:ind w:left="720" w:hanging="720"/>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Staerklé, Christian, Jim Sidanius, Eva G. T. Green, and Ludwin E. Molina. 2010. “Ethnic Minority-Majority Asymmetry in National Attitudes around the World: A Multilevel Analysis.” </w:t>
      </w:r>
      <w:r w:rsidDel="00000000" w:rsidR="00000000" w:rsidRPr="00000000">
        <w:rPr>
          <w:rFonts w:ascii="Times" w:cs="Times" w:eastAsia="Times" w:hAnsi="Times"/>
          <w:i w:val="1"/>
          <w:sz w:val="20"/>
          <w:szCs w:val="20"/>
          <w:rtl w:val="0"/>
        </w:rPr>
        <w:t xml:space="preserve">Political Psychology</w:t>
      </w:r>
      <w:r w:rsidDel="00000000" w:rsidR="00000000" w:rsidRPr="00000000">
        <w:rPr>
          <w:rFonts w:ascii="Times" w:cs="Times" w:eastAsia="Times" w:hAnsi="Times"/>
          <w:sz w:val="20"/>
          <w:szCs w:val="20"/>
          <w:rtl w:val="0"/>
        </w:rPr>
        <w:t xml:space="preserve"> 31(4):491–519.</w:t>
      </w:r>
    </w:p>
    <w:p w:rsidR="00000000" w:rsidDel="00000000" w:rsidP="00000000" w:rsidRDefault="00000000" w:rsidRPr="00000000" w14:paraId="0000001E">
      <w:pPr>
        <w:spacing w:line="480" w:lineRule="auto"/>
        <w:ind w:left="720" w:hanging="720"/>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Tilly, Charles. 1996. “The State of Nationalism.” </w:t>
      </w:r>
      <w:r w:rsidDel="00000000" w:rsidR="00000000" w:rsidRPr="00000000">
        <w:rPr>
          <w:rFonts w:ascii="Times" w:cs="Times" w:eastAsia="Times" w:hAnsi="Times"/>
          <w:i w:val="1"/>
          <w:sz w:val="20"/>
          <w:szCs w:val="20"/>
          <w:rtl w:val="0"/>
        </w:rPr>
        <w:t xml:space="preserve">Critical Review</w:t>
      </w:r>
      <w:r w:rsidDel="00000000" w:rsidR="00000000" w:rsidRPr="00000000">
        <w:rPr>
          <w:rFonts w:ascii="Times" w:cs="Times" w:eastAsia="Times" w:hAnsi="Times"/>
          <w:sz w:val="20"/>
          <w:szCs w:val="20"/>
          <w:rtl w:val="0"/>
        </w:rPr>
        <w:t xml:space="preserve"> 10(2):299-306.</w:t>
      </w:r>
    </w:p>
    <w:p w:rsidR="00000000" w:rsidDel="00000000" w:rsidP="00000000" w:rsidRDefault="00000000" w:rsidRPr="00000000" w14:paraId="0000001F">
      <w:pPr>
        <w:spacing w:line="480" w:lineRule="auto"/>
        <w:ind w:left="720" w:hanging="720"/>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Weber, Eugen. 1976. </w:t>
      </w:r>
      <w:r w:rsidDel="00000000" w:rsidR="00000000" w:rsidRPr="00000000">
        <w:rPr>
          <w:rFonts w:ascii="Times" w:cs="Times" w:eastAsia="Times" w:hAnsi="Times"/>
          <w:i w:val="1"/>
          <w:sz w:val="20"/>
          <w:szCs w:val="20"/>
          <w:rtl w:val="0"/>
        </w:rPr>
        <w:t xml:space="preserve">Peasants into Frenchmen: The Modernization of Rural France, 1870-1914. </w:t>
      </w:r>
      <w:r w:rsidDel="00000000" w:rsidR="00000000" w:rsidRPr="00000000">
        <w:rPr>
          <w:rFonts w:ascii="Times" w:cs="Times" w:eastAsia="Times" w:hAnsi="Times"/>
          <w:sz w:val="20"/>
          <w:szCs w:val="20"/>
          <w:rtl w:val="0"/>
        </w:rPr>
        <w:t xml:space="preserve">Stanford, CA: Stanford University Press.</w:t>
      </w:r>
    </w:p>
    <w:p w:rsidR="00000000" w:rsidDel="00000000" w:rsidP="00000000" w:rsidRDefault="00000000" w:rsidRPr="00000000" w14:paraId="00000020">
      <w:pPr>
        <w:spacing w:line="480" w:lineRule="auto"/>
        <w:ind w:left="720" w:hanging="720"/>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Wimmer, Andreas. 2017. “Power and Pride: National Identity and Ethnopolitical Inequality Around the World” </w:t>
      </w:r>
      <w:r w:rsidDel="00000000" w:rsidR="00000000" w:rsidRPr="00000000">
        <w:rPr>
          <w:rFonts w:ascii="Times" w:cs="Times" w:eastAsia="Times" w:hAnsi="Times"/>
          <w:i w:val="1"/>
          <w:sz w:val="20"/>
          <w:szCs w:val="20"/>
          <w:rtl w:val="0"/>
        </w:rPr>
        <w:t xml:space="preserve">World Politics</w:t>
      </w:r>
      <w:r w:rsidDel="00000000" w:rsidR="00000000" w:rsidRPr="00000000">
        <w:rPr>
          <w:rFonts w:ascii="Times" w:cs="Times" w:eastAsia="Times" w:hAnsi="Times"/>
          <w:sz w:val="20"/>
          <w:szCs w:val="20"/>
          <w:rtl w:val="0"/>
        </w:rPr>
        <w:t xml:space="preserve"> 69(4):605–39. </w:t>
      </w:r>
    </w:p>
    <w:p w:rsidR="00000000" w:rsidDel="00000000" w:rsidP="00000000" w:rsidRDefault="00000000" w:rsidRPr="00000000" w14:paraId="00000021">
      <w:pPr>
        <w:spacing w:line="48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2">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4">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5">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6">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7">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spacing w:line="48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9">
      <w:pPr>
        <w:spacing w:line="480" w:lineRule="auto"/>
        <w:rPr>
          <w:rFonts w:ascii="Times" w:cs="Times" w:eastAsia="Times" w:hAnsi="Times"/>
          <w:sz w:val="20"/>
          <w:szCs w:val="20"/>
        </w:rPr>
      </w:pPr>
      <w:r w:rsidDel="00000000" w:rsidR="00000000" w:rsidRPr="00000000">
        <w:rPr>
          <w:rFonts w:ascii="Times" w:cs="Times" w:eastAsia="Times" w:hAnsi="Times"/>
          <w:b w:val="1"/>
          <w:sz w:val="20"/>
          <w:szCs w:val="20"/>
          <w:rtl w:val="0"/>
        </w:rPr>
        <w:t xml:space="preserve">Appendix B: Description of Common and Shia Rituals and Shia Calendar</w:t>
        <w:br w:type="textWrapping"/>
      </w:r>
      <w:r w:rsidDel="00000000" w:rsidR="00000000" w:rsidRPr="00000000">
        <w:rPr>
          <w:rFonts w:ascii="Times New Roman" w:cs="Times New Roman" w:eastAsia="Times New Roman" w:hAnsi="Times New Roman"/>
          <w:i w:val="1"/>
          <w:sz w:val="20"/>
          <w:szCs w:val="20"/>
          <w:rtl w:val="0"/>
        </w:rPr>
        <w:t xml:space="preserve">Common Rituals</w:t>
      </w:r>
      <w:r w:rsidDel="00000000" w:rsidR="00000000" w:rsidRPr="00000000">
        <w:rPr>
          <w:rtl w:val="0"/>
        </w:rPr>
      </w:r>
    </w:p>
    <w:p w:rsidR="00000000" w:rsidDel="00000000" w:rsidP="00000000" w:rsidRDefault="00000000" w:rsidRPr="00000000" w14:paraId="0000002A">
      <w:pPr>
        <w:widowControl w:val="0"/>
        <w:spacing w:line="48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makes the most sense to begin the comparison with the likenesses between Sunni and Shia Muslim observances.  Some of the common rituals are obligatory for all Muslims who are financially and physically able to practice them. The obligatory rituals are called “five pillars” in Islam. These rituals are faith (Shahadat), daily prayer (salat or namaz), fasting during the holy month of Ramadan (sawm), annual almsgiving to assist the poor or needy (zakat), and participation in the annual pilgrimage to Mecca at least once during one’s lifetime (Hajj). However, some common rituals are not obligatory from a theological standpoint. </w:t>
      </w:r>
    </w:p>
    <w:p w:rsidR="00000000" w:rsidDel="00000000" w:rsidP="00000000" w:rsidRDefault="00000000" w:rsidRPr="00000000" w14:paraId="0000002B">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Daily prayer</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i w:val="1"/>
          <w:sz w:val="20"/>
          <w:szCs w:val="20"/>
          <w:rtl w:val="0"/>
        </w:rPr>
        <w:t xml:space="preserve">(Salat or Namaz):</w:t>
      </w:r>
      <w:r w:rsidDel="00000000" w:rsidR="00000000" w:rsidRPr="00000000">
        <w:rPr>
          <w:rFonts w:ascii="Times New Roman" w:cs="Times New Roman" w:eastAsia="Times New Roman" w:hAnsi="Times New Roman"/>
          <w:sz w:val="20"/>
          <w:szCs w:val="20"/>
          <w:rtl w:val="0"/>
        </w:rPr>
        <w:t xml:space="preserve"> Daily prayer, known as Salat or Namaz, is an obligatory practice for all Muslims, requiring five daily sessions at sunrise, noon, afternoon, evening, and night. Notably, slight variations exist between the preparation and content of these prayers of the Sunni and Shia traditions. For example, Sunni Muslims observe daily prayers individually at these five distinct times, whereas Shia Muslims may combine the noon and aft and the evening and night prayers (Momen, 1985). </w:t>
      </w:r>
    </w:p>
    <w:p w:rsidR="00000000" w:rsidDel="00000000" w:rsidP="00000000" w:rsidRDefault="00000000" w:rsidRPr="00000000" w14:paraId="0000002C">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Friday Prayer:</w:t>
      </w:r>
      <w:r w:rsidDel="00000000" w:rsidR="00000000" w:rsidRPr="00000000">
        <w:rPr>
          <w:rFonts w:ascii="Times New Roman" w:cs="Times New Roman" w:eastAsia="Times New Roman" w:hAnsi="Times New Roman"/>
          <w:sz w:val="20"/>
          <w:szCs w:val="20"/>
          <w:rtl w:val="0"/>
        </w:rPr>
        <w:t xml:space="preserve"> Friday prayer, or Jama’ah, involves a congregation gathering at a mosque or place of worship every Friday. It holds greater significance for Sunni Muslims than for Shia Muslims. A minimum of five individuals must be present to conduct a Friday prayer. </w:t>
      </w:r>
    </w:p>
    <w:p w:rsidR="00000000" w:rsidDel="00000000" w:rsidP="00000000" w:rsidRDefault="00000000" w:rsidRPr="00000000" w14:paraId="0000002D">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Fasting:</w:t>
      </w:r>
      <w:r w:rsidDel="00000000" w:rsidR="00000000" w:rsidRPr="00000000">
        <w:rPr>
          <w:rFonts w:ascii="Times New Roman" w:cs="Times New Roman" w:eastAsia="Times New Roman" w:hAnsi="Times New Roman"/>
          <w:sz w:val="20"/>
          <w:szCs w:val="20"/>
          <w:rtl w:val="0"/>
        </w:rPr>
        <w:t xml:space="preserve"> All physically capable Muslims are obliged to fast during the entire holy month of Ramadan, refraining from consuming food, drinking, smoking, and engaging in sexual intercourse from dawn to sunset. This physical abstinence symbolizes inner character purification. Notably, the Shia fast extends slightly beyond the Sunni fast as they wait until the sun has fully set (Momen, 1985). Fasting during Ramadan is influenced by both solid cultural and religious norms. According to the PEW Research Center (2020), 82% of Iranian Muslims and 84% of Turkish Muslims observe this ritual.</w:t>
      </w:r>
    </w:p>
    <w:p w:rsidR="00000000" w:rsidDel="00000000" w:rsidP="00000000" w:rsidRDefault="00000000" w:rsidRPr="00000000" w14:paraId="0000002E">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Annual Almsgiving (Zakat):</w:t>
      </w:r>
      <w:r w:rsidDel="00000000" w:rsidR="00000000" w:rsidRPr="00000000">
        <w:rPr>
          <w:rFonts w:ascii="Times New Roman" w:cs="Times New Roman" w:eastAsia="Times New Roman" w:hAnsi="Times New Roman"/>
          <w:sz w:val="20"/>
          <w:szCs w:val="20"/>
          <w:rtl w:val="0"/>
        </w:rPr>
        <w:t xml:space="preserve"> Annual almsgiving, known as Zakat, is practiced during Ramadan. It applies to assets such as crops, livestock, gold, silver, and cash. Individuals with debts exceeding assets are exempt. Calculating the amount is complex, particularly for livestock and grain, but for gold, silver, and cash, it's around two-and-a-half percent after surpassing a minimum asset threshold (Momen, 1985). The aim is to assist those in need, travelers, and ransom captives of war. Sunnis pay these taxes to the state, supervised by the state, while Shias pay it to their grand Ayatollah or Marja taqlid, the highest Shia clerical authority.</w:t>
      </w:r>
    </w:p>
    <w:p w:rsidR="00000000" w:rsidDel="00000000" w:rsidP="00000000" w:rsidRDefault="00000000" w:rsidRPr="00000000" w14:paraId="0000002F">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The One-Fifth Tax (Khums):</w:t>
      </w:r>
      <w:r w:rsidDel="00000000" w:rsidR="00000000" w:rsidRPr="00000000">
        <w:rPr>
          <w:rFonts w:ascii="Times New Roman" w:cs="Times New Roman" w:eastAsia="Times New Roman" w:hAnsi="Times New Roman"/>
          <w:sz w:val="20"/>
          <w:szCs w:val="20"/>
          <w:rtl w:val="0"/>
        </w:rPr>
        <w:t xml:space="preserve"> Historically, both Shia and Sunni communities practiced Khums, a one-fifth annual tax, now mainly observed by Shias. Shias levy Khums on various sources, supporting the Prophet's family, orphans, the needy, and travelers. Believers pay this share to their marja'at-taqlid, representing the Imam (Momen, 1985). In contrast, Sunni Khums is a 20% tax on ghanayam, covering property, war spoils, and resources from land, sea, or mines, excluding net income.</w:t>
      </w:r>
    </w:p>
    <w:p w:rsidR="00000000" w:rsidDel="00000000" w:rsidP="00000000" w:rsidRDefault="00000000" w:rsidRPr="00000000" w14:paraId="00000030">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Pilgrimage (Hajj):</w:t>
      </w:r>
      <w:r w:rsidDel="00000000" w:rsidR="00000000" w:rsidRPr="00000000">
        <w:rPr>
          <w:rFonts w:ascii="Times New Roman" w:cs="Times New Roman" w:eastAsia="Times New Roman" w:hAnsi="Times New Roman"/>
          <w:sz w:val="20"/>
          <w:szCs w:val="20"/>
          <w:rtl w:val="0"/>
        </w:rPr>
        <w:t xml:space="preserve"> Hajj or pilgrimage is a ritual once in a lifetime for Muslims who are financially able to afford it. People who perform this ritual can add an honorific </w:t>
      </w:r>
      <w:r w:rsidDel="00000000" w:rsidR="00000000" w:rsidRPr="00000000">
        <w:rPr>
          <w:rFonts w:ascii="Times New Roman" w:cs="Times New Roman" w:eastAsia="Times New Roman" w:hAnsi="Times New Roman"/>
          <w:i w:val="1"/>
          <w:sz w:val="20"/>
          <w:szCs w:val="20"/>
          <w:rtl w:val="0"/>
        </w:rPr>
        <w:t xml:space="preserve">Haji </w:t>
      </w:r>
      <w:r w:rsidDel="00000000" w:rsidR="00000000" w:rsidRPr="00000000">
        <w:rPr>
          <w:rFonts w:ascii="Times New Roman" w:cs="Times New Roman" w:eastAsia="Times New Roman" w:hAnsi="Times New Roman"/>
          <w:sz w:val="20"/>
          <w:szCs w:val="20"/>
          <w:rtl w:val="0"/>
        </w:rPr>
        <w:t xml:space="preserve">to their names.</w:t>
      </w:r>
    </w:p>
    <w:p w:rsidR="00000000" w:rsidDel="00000000" w:rsidP="00000000" w:rsidRDefault="00000000" w:rsidRPr="00000000" w14:paraId="00000031">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Kandil(</w:t>
      </w:r>
      <w:r w:rsidDel="00000000" w:rsidR="00000000" w:rsidRPr="00000000">
        <w:rPr>
          <w:rFonts w:ascii="Times New Roman" w:cs="Times New Roman" w:eastAsia="Times New Roman" w:hAnsi="Times New Roman"/>
          <w:b w:val="1"/>
          <w:i w:val="1"/>
          <w:sz w:val="20"/>
          <w:szCs w:val="20"/>
          <w:highlight w:val="white"/>
          <w:rtl w:val="0"/>
        </w:rPr>
        <w:t xml:space="preserve">candle</w:t>
      </w:r>
      <w:r w:rsidDel="00000000" w:rsidR="00000000" w:rsidRPr="00000000">
        <w:rPr>
          <w:rFonts w:ascii="Times New Roman" w:cs="Times New Roman" w:eastAsia="Times New Roman" w:hAnsi="Times New Roman"/>
          <w:b w:val="1"/>
          <w:i w:val="1"/>
          <w:sz w:val="20"/>
          <w:szCs w:val="20"/>
          <w:rtl w:val="0"/>
        </w:rPr>
        <w:t xml:space="preserve">)/Milad:</w:t>
      </w:r>
      <w:r w:rsidDel="00000000" w:rsidR="00000000" w:rsidRPr="00000000">
        <w:rPr>
          <w:rFonts w:ascii="Times New Roman" w:cs="Times New Roman" w:eastAsia="Times New Roman" w:hAnsi="Times New Roman"/>
          <w:sz w:val="20"/>
          <w:szCs w:val="20"/>
          <w:rtl w:val="0"/>
        </w:rPr>
        <w:t xml:space="preserve"> This ritual, with varying names and frequencies, is practiced in Turkey and Iran. In Turkey, Kandils marks five special nights related to Prophet Mohammad's life. On these nights, Muslims recite special prayers, worship, and sing the Mevlit, an epic poem praising the Prophet. Shias in Iran practice similar rituals for the birthdays of all Fourteen Shia infallibles, including Muhammad, his daughter Fatima Zahra, and the Twelve Imams in Twelver Shia Islam.</w:t>
      </w:r>
    </w:p>
    <w:p w:rsidR="00000000" w:rsidDel="00000000" w:rsidP="00000000" w:rsidRDefault="00000000" w:rsidRPr="00000000" w14:paraId="00000032">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Qurban:</w:t>
      </w:r>
      <w:r w:rsidDel="00000000" w:rsidR="00000000" w:rsidRPr="00000000">
        <w:rPr>
          <w:rFonts w:ascii="Times New Roman" w:cs="Times New Roman" w:eastAsia="Times New Roman" w:hAnsi="Times New Roman"/>
          <w:sz w:val="20"/>
          <w:szCs w:val="20"/>
          <w:rtl w:val="0"/>
        </w:rPr>
        <w:t xml:space="preserve"> Qurban is one of the most important common rituals in the Islamic world, practiced by those financially able to do so. Sacrificing an animal has been recognized as a form of worship during the three days of Zul Hijjah, the 10th, 11th, and 12</w:t>
      </w:r>
      <w:r w:rsidDel="00000000" w:rsidR="00000000" w:rsidRPr="00000000">
        <w:rPr>
          <w:rFonts w:ascii="Times New Roman" w:cs="Times New Roman" w:eastAsia="Times New Roman" w:hAnsi="Times New Roman"/>
          <w:sz w:val="20"/>
          <w:szCs w:val="20"/>
          <w:vertAlign w:val="superscript"/>
          <w:rtl w:val="0"/>
        </w:rPr>
        <w:t xml:space="preserve">th</w:t>
      </w:r>
      <w:r w:rsidDel="00000000" w:rsidR="00000000" w:rsidRPr="00000000">
        <w:rPr>
          <w:rFonts w:ascii="Times New Roman" w:cs="Times New Roman" w:eastAsia="Times New Roman" w:hAnsi="Times New Roman"/>
          <w:sz w:val="20"/>
          <w:szCs w:val="20"/>
          <w:rtl w:val="0"/>
        </w:rPr>
        <w:t xml:space="preserve">. Iranian Muslims practice it in one day. </w:t>
      </w:r>
    </w:p>
    <w:p w:rsidR="00000000" w:rsidDel="00000000" w:rsidP="00000000" w:rsidRDefault="00000000" w:rsidRPr="00000000" w14:paraId="00000033">
      <w:pPr>
        <w:widowControl w:val="0"/>
        <w:spacing w:line="48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Shia-Specific Rituals </w:t>
      </w:r>
    </w:p>
    <w:p w:rsidR="00000000" w:rsidDel="00000000" w:rsidP="00000000" w:rsidRDefault="00000000" w:rsidRPr="00000000" w14:paraId="00000034">
      <w:pPr>
        <w:widowControl w:val="0"/>
        <w:spacing w:line="480" w:lineRule="auto"/>
        <w:ind w:firstLine="720"/>
        <w:jc w:val="both"/>
        <w:rPr>
          <w:rFonts w:ascii="Times" w:cs="Times" w:eastAsia="Times" w:hAnsi="Times"/>
          <w:sz w:val="20"/>
          <w:szCs w:val="20"/>
        </w:rPr>
      </w:pPr>
      <w:r w:rsidDel="00000000" w:rsidR="00000000" w:rsidRPr="00000000">
        <w:rPr>
          <w:rFonts w:ascii="Times New Roman" w:cs="Times New Roman" w:eastAsia="Times New Roman" w:hAnsi="Times New Roman"/>
          <w:sz w:val="20"/>
          <w:szCs w:val="20"/>
          <w:rtl w:val="0"/>
        </w:rPr>
        <w:t xml:space="preserve">In addition to the common rituals, Shia Muslims, including Iranian Shias, practice Shia-specific rituals. Indeed, after the division, Shia Muslims adopted and developed specific rituals associated with the battle of Karbala.</w:t>
      </w:r>
      <w:r w:rsidDel="00000000" w:rsidR="00000000" w:rsidRPr="00000000">
        <w:rPr>
          <w:rtl w:val="0"/>
        </w:rPr>
      </w:r>
    </w:p>
    <w:p w:rsidR="00000000" w:rsidDel="00000000" w:rsidP="00000000" w:rsidRDefault="00000000" w:rsidRPr="00000000" w14:paraId="00000035">
      <w:pPr>
        <w:widowControl w:val="0"/>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Mourning Procession (Persian: Dasteh-ye Azadari):</w:t>
      </w:r>
      <w:r w:rsidDel="00000000" w:rsidR="00000000" w:rsidRPr="00000000">
        <w:rPr>
          <w:rFonts w:ascii="Times New Roman" w:cs="Times New Roman" w:eastAsia="Times New Roman" w:hAnsi="Times New Roman"/>
          <w:sz w:val="20"/>
          <w:szCs w:val="20"/>
          <w:rtl w:val="0"/>
        </w:rPr>
        <w:t xml:space="preserve"> The mourning procession is a ritual where mourners gather in public spaces to express sorrow for Shia Imams, especially the victims of the Karbala tragedy during Muharram. Practiced since at least the 10th century (Aghaie, 2004), this ritual involves reciting elegies, self-flagellation, chest-beating, carrying banners, distributing food, moving the Alam, tying the palm, carrying torches, performing Sangzani, and staging parades with horses or camels to symbolize Karbala events. This highly inclusive practice welcomes individuals of all backgrounds to wear black attire and commemorate Karbala. The Sinehzani, a male ritual of self-flagellation, occurs during the ten days of Muharram, with participants marching through streets led by a symbolic coffin or shrouded effigy representing Imam Hussein. Men recite eulogies and strike their chests and backs, symbolizing acknowledgment of sin and shared responsibility for the historical tragedy (Momen, 1985).</w:t>
      </w:r>
    </w:p>
    <w:p w:rsidR="00000000" w:rsidDel="00000000" w:rsidP="00000000" w:rsidRDefault="00000000" w:rsidRPr="00000000" w14:paraId="00000036">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Visiting Shrines (Ziyarat):</w:t>
      </w:r>
      <w:r w:rsidDel="00000000" w:rsidR="00000000" w:rsidRPr="00000000">
        <w:rPr>
          <w:rFonts w:ascii="Times New Roman" w:cs="Times New Roman" w:eastAsia="Times New Roman" w:hAnsi="Times New Roman"/>
          <w:sz w:val="20"/>
          <w:szCs w:val="20"/>
          <w:rtl w:val="0"/>
        </w:rPr>
        <w:t xml:space="preserve"> Similar to other Shia rituals, this practice is highly inclusive, with people from diverse backgrounds and religious standings wearing black attire to commemorate the Karbala events. A striking part of this is the public Sinehzani, mostly involving men who engage in self-flagellation and mourning over the ten days of Muharram. They march through streets and markets, led by a symbolic coffin or shrouded effigy representing Imam Hussein, the martyr. While marching, they recite eulogies and rhythmically strike their chests and backs, often using chains, sticks, or swords to symbolize their acknowledgment of sin and shared responsibility for the historical tragedy (Momen 1985). Pfaff and Corcoran (2012) also highlight a similar role played by the cult of saints in fostering attachment to the Catholic social order during the Reformation era in Europe. </w:t>
      </w:r>
    </w:p>
    <w:p w:rsidR="00000000" w:rsidDel="00000000" w:rsidP="00000000" w:rsidRDefault="00000000" w:rsidRPr="00000000" w14:paraId="00000037">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Annually, as reported by Iranian officials, around 30 million people visit the shrine in Mashhad. Among these, 25 million are domestic visitors, and 5 million come from 20 foreign countries (Hawzah, 2022). In comparison, the number of pilgrims in Mecca in 2019 totaled about 2.49 million, with 1.86 million foreign pilgrims and 0.63 million domestic pilgrims (General Authority for Statistics, 2019). The sheer volume of visitors to the Mashhad shrine is approximately 12 times greater than the annual pilgrimage to Mecca. Since Shias comprise 10-15% of the global Muslim population, this substantial number represents a significant proportion of all Shia Muslims. The frequency of this ritual has implications for the prominence of identity, including ethnic and national identities among various social groups.</w:t>
      </w:r>
    </w:p>
    <w:p w:rsidR="00000000" w:rsidDel="00000000" w:rsidP="00000000" w:rsidRDefault="00000000" w:rsidRPr="00000000" w14:paraId="00000038">
      <w:pPr>
        <w:spacing w:line="48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Visiting Hussein’s tomb in Karbala, especially on the 10th day of Muharram (ziyarat Ashura) and the 40th day after the battle (ziyarat Arbaeen), are also highly observed rituals within Shia Muslim communities. The 40th-day visitation is a sacred collective mourning ritual in which millions of Shia Muslims participate to commemorate Hussein's martyrdom.</w:t>
      </w:r>
    </w:p>
    <w:p w:rsidR="00000000" w:rsidDel="00000000" w:rsidP="00000000" w:rsidRDefault="00000000" w:rsidRPr="00000000" w14:paraId="00000039">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Rowzeh khani:</w:t>
      </w:r>
      <w:r w:rsidDel="00000000" w:rsidR="00000000" w:rsidRPr="00000000">
        <w:rPr>
          <w:rFonts w:ascii="Times New Roman" w:cs="Times New Roman" w:eastAsia="Times New Roman" w:hAnsi="Times New Roman"/>
          <w:sz w:val="20"/>
          <w:szCs w:val="20"/>
          <w:rtl w:val="0"/>
        </w:rPr>
        <w:t xml:space="preserve"> In Shia Islam, communal narration of saints' lives and suffering, called Rowzeh khani, involves gatherings in homes or gardens. A mullah or female mullah baji recites the tragedy of Hussein from a sixteenth-century text. The audience laments for Ali and Hussein, with the host serving tea, coffee, and sometimes water, concluding with a generous feast (Momen, 1985). These inclusive gatherings, stemming from a desire for status but often involving those who can afford it, bring people from diverse backgrounds together, fostering cross-class and cross-ethnic bonds, akin to medieval Catholic culture (Pfaff &amp; Corcoran, 2012).</w:t>
      </w:r>
    </w:p>
    <w:p w:rsidR="00000000" w:rsidDel="00000000" w:rsidP="00000000" w:rsidRDefault="00000000" w:rsidRPr="00000000" w14:paraId="0000003A">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Ta'ziyeh performance:</w:t>
      </w:r>
      <w:r w:rsidDel="00000000" w:rsidR="00000000" w:rsidRPr="00000000">
        <w:rPr>
          <w:rFonts w:ascii="Times New Roman" w:cs="Times New Roman" w:eastAsia="Times New Roman" w:hAnsi="Times New Roman"/>
          <w:sz w:val="20"/>
          <w:szCs w:val="20"/>
          <w:rtl w:val="0"/>
        </w:rPr>
        <w:t xml:space="preserve"> Ta’ziyeh, influenced by Christian passion plays, dramatically reenacts Karbala events, blending Shia traditions with European theatrical elements. One of the oldest theater forms in the region, it is eagerly awaited by ordinary citizens and performed by local groups across Shia nations. This emotive performance spotlights the suffering of Hussein's companions on Ashura, especially women and children, moving the audience to tears in the final scenes. Reflecting on the failure of the Kufan community to support Hussein, these Muharram rituals define Shia communities (Momen, 1985; Fischer, 2003). Tracing back to the sixteenth-century Safavid dynasty, these religious-theatrical performances evolved into their present-day form by the mid-eighteenth century (Chelkowski, 2010).</w:t>
      </w:r>
    </w:p>
    <w:p w:rsidR="00000000" w:rsidDel="00000000" w:rsidP="00000000" w:rsidRDefault="00000000" w:rsidRPr="00000000" w14:paraId="0000003B">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Chest Beating (Persian: Sinehzani):</w:t>
      </w:r>
      <w:r w:rsidDel="00000000" w:rsidR="00000000" w:rsidRPr="00000000">
        <w:rPr>
          <w:rFonts w:ascii="Times New Roman" w:cs="Times New Roman" w:eastAsia="Times New Roman" w:hAnsi="Times New Roman"/>
          <w:sz w:val="20"/>
          <w:szCs w:val="20"/>
          <w:rtl w:val="0"/>
        </w:rPr>
        <w:t xml:space="preserve"> Chest beating is a prevalent mourning ritual, particularly in Shia Imams' commemorative ceremonies, focusing on Imam Hussein. This collective expression involves people rhythmically striking their chests. It is the most common mourning practice among Shia Muslims in Hussainiyah in Iran and elsewhere.</w:t>
      </w:r>
    </w:p>
    <w:p w:rsidR="00000000" w:rsidDel="00000000" w:rsidP="00000000" w:rsidRDefault="00000000" w:rsidRPr="00000000" w14:paraId="0000003C">
      <w:pPr>
        <w:spacing w:line="48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Chest-beating rituals encompass various rhythms, including Wahid (single) with slow, powerful beats spaced seconds apart, Sangin (heavy) with a moderate rhythm, Shur (passionate) featuring rapid, gentle beats without intervals, and variations with double, triple, or four beats—two, three, or four continuous quick beats separated by brief pauses. The choice of chest-beating style depends on the specific ceremony and can occur while standing, sitting, or moving in circles around the Nawha Khan, the person reciting elegies.</w:t>
      </w:r>
    </w:p>
    <w:p w:rsidR="00000000" w:rsidDel="00000000" w:rsidP="00000000" w:rsidRDefault="00000000" w:rsidRPr="00000000" w14:paraId="0000003D">
      <w:pPr>
        <w:widowControl w:val="0"/>
        <w:spacing w:line="480" w:lineRule="auto"/>
        <w:ind w:left="60" w:firstLine="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Self-flagellation (Zanjirzani):</w:t>
      </w:r>
      <w:r w:rsidDel="00000000" w:rsidR="00000000" w:rsidRPr="00000000">
        <w:rPr>
          <w:rFonts w:ascii="Times New Roman" w:cs="Times New Roman" w:eastAsia="Times New Roman" w:hAnsi="Times New Roman"/>
          <w:sz w:val="20"/>
          <w:szCs w:val="20"/>
          <w:rtl w:val="0"/>
        </w:rPr>
        <w:t xml:space="preserve"> Self-flagellation, or zanjirzani, is a collective Shia ritual where Muslims rhythmically strike their backs with a metal chain, aiming to replicate the pain of their Imam during the Battle of Karbala. Integrated into the Mourning Procession, Taziyeh performances, and shrine visits, this mourning ritual involves chest-beating (Sinezani), recitation, and rhythm. Actions are synchronized with drum beats and recitation rhythm, with regional variations but a common emphasis on rhythm and collective practice (Momen, 1985; Aghaie, 2004; Chelkowski, 2010).</w:t>
      </w:r>
    </w:p>
    <w:p w:rsidR="00000000" w:rsidDel="00000000" w:rsidP="00000000" w:rsidRDefault="00000000" w:rsidRPr="00000000" w14:paraId="0000003E">
      <w:pPr>
        <w:widowControl w:val="0"/>
        <w:spacing w:line="480" w:lineRule="auto"/>
        <w:ind w:left="60" w:firstLine="36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F">
      <w:pPr>
        <w:widowControl w:val="0"/>
        <w:spacing w:line="480" w:lineRule="auto"/>
        <w:ind w:left="60" w:firstLine="36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0">
      <w:pPr>
        <w:spacing w:line="48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041">
      <w:pPr>
        <w:widowControl w:val="0"/>
        <w:spacing w:line="48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2">
      <w:pPr>
        <w:widowControl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311245" cy="7087493"/>
            <wp:effectExtent b="0" l="0" r="0" t="0"/>
            <wp:docPr descr="Screen%20Shot%202018-05-21%20at%208" id="15" name="image2.png"/>
            <a:graphic>
              <a:graphicData uri="http://schemas.openxmlformats.org/drawingml/2006/picture">
                <pic:pic>
                  <pic:nvPicPr>
                    <pic:cNvPr descr="Screen%20Shot%202018-05-21%20at%208" id="0" name="image2.png"/>
                    <pic:cNvPicPr preferRelativeResize="0"/>
                  </pic:nvPicPr>
                  <pic:blipFill>
                    <a:blip r:embed="rId7"/>
                    <a:srcRect b="0" l="0" r="0" t="0"/>
                    <a:stretch>
                      <a:fillRect/>
                    </a:stretch>
                  </pic:blipFill>
                  <pic:spPr>
                    <a:xfrm>
                      <a:off x="0" y="0"/>
                      <a:ext cx="5311245" cy="7087493"/>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widowControl w:val="0"/>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widowControl w:val="0"/>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widowControl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922020"/>
            <wp:effectExtent b="0" l="0" r="0" t="0"/>
            <wp:docPr descr="Screen%20Shot%202018-05-21%20at%208" id="16" name="image1.png"/>
            <a:graphic>
              <a:graphicData uri="http://schemas.openxmlformats.org/drawingml/2006/picture">
                <pic:pic>
                  <pic:nvPicPr>
                    <pic:cNvPr descr="Screen%20Shot%202018-05-21%20at%208" id="0" name="image1.png"/>
                    <pic:cNvPicPr preferRelativeResize="0"/>
                  </pic:nvPicPr>
                  <pic:blipFill>
                    <a:blip r:embed="rId8"/>
                    <a:srcRect b="0" l="0" r="0" t="0"/>
                    <a:stretch>
                      <a:fillRect/>
                    </a:stretch>
                  </pic:blipFill>
                  <pic:spPr>
                    <a:xfrm>
                      <a:off x="0" y="0"/>
                      <a:ext cx="5943600" cy="92202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Fig. 1</w:t>
      </w:r>
      <w:r w:rsidDel="00000000" w:rsidR="00000000" w:rsidRPr="00000000">
        <w:rPr>
          <w:rFonts w:ascii="Times New Roman" w:cs="Times New Roman" w:eastAsia="Times New Roman" w:hAnsi="Times New Roman"/>
          <w:sz w:val="20"/>
          <w:szCs w:val="20"/>
          <w:rtl w:val="0"/>
        </w:rPr>
        <w:t xml:space="preserve"> Calendar of Shia Religious Commemorations </w:t>
      </w:r>
    </w:p>
    <w:p w:rsidR="00000000" w:rsidDel="00000000" w:rsidP="00000000" w:rsidRDefault="00000000" w:rsidRPr="00000000" w14:paraId="00000047">
      <w:pPr>
        <w:widowControl w:val="0"/>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sz w:val="20"/>
          <w:szCs w:val="20"/>
          <w:rtl w:val="0"/>
        </w:rPr>
        <w:t xml:space="preserve">Source: </w:t>
      </w:r>
      <w:r w:rsidDel="00000000" w:rsidR="00000000" w:rsidRPr="00000000">
        <w:rPr>
          <w:rFonts w:ascii="Times" w:cs="Times" w:eastAsia="Times" w:hAnsi="Times"/>
          <w:sz w:val="20"/>
          <w:szCs w:val="20"/>
          <w:rtl w:val="0"/>
        </w:rPr>
        <w:t xml:space="preserve">Momen, Moojan. 1985. </w:t>
      </w:r>
      <w:r w:rsidDel="00000000" w:rsidR="00000000" w:rsidRPr="00000000">
        <w:rPr>
          <w:rFonts w:ascii="Times" w:cs="Times" w:eastAsia="Times" w:hAnsi="Times"/>
          <w:i w:val="1"/>
          <w:sz w:val="20"/>
          <w:szCs w:val="20"/>
          <w:rtl w:val="0"/>
        </w:rPr>
        <w:t xml:space="preserve">An Introduction to Shi’i Islam: The History and Doctrines of Twelver Shi’ism.</w:t>
      </w:r>
      <w:r w:rsidDel="00000000" w:rsidR="00000000" w:rsidRPr="00000000">
        <w:rPr>
          <w:rFonts w:ascii="Times" w:cs="Times" w:eastAsia="Times" w:hAnsi="Times"/>
          <w:sz w:val="20"/>
          <w:szCs w:val="20"/>
          <w:rtl w:val="0"/>
        </w:rPr>
        <w:t xml:space="preserve"> Oxford, UK: George Ronald Publisher.  </w:t>
      </w:r>
      <w:r w:rsidDel="00000000" w:rsidR="00000000" w:rsidRPr="00000000">
        <w:rPr>
          <w:rFonts w:ascii="Times New Roman" w:cs="Times New Roman" w:eastAsia="Times New Roman" w:hAnsi="Times New Roman"/>
          <w:i w:val="1"/>
          <w:sz w:val="20"/>
          <w:szCs w:val="20"/>
          <w:rtl w:val="0"/>
        </w:rPr>
        <w:t xml:space="preserve"> </w:t>
      </w:r>
    </w:p>
    <w:p w:rsidR="00000000" w:rsidDel="00000000" w:rsidP="00000000" w:rsidRDefault="00000000" w:rsidRPr="00000000" w14:paraId="00000048">
      <w:pPr>
        <w:widowControl w:val="0"/>
        <w:spacing w:line="48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9">
      <w:pPr>
        <w:widowControl w:val="0"/>
        <w:spacing w:line="48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A">
      <w:pPr>
        <w:widowControl w:val="0"/>
        <w:spacing w:line="48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4C">
      <w:pPr>
        <w:spacing w:line="480" w:lineRule="auto"/>
        <w:ind w:left="720" w:hanging="720"/>
        <w:rPr>
          <w:rFonts w:ascii="Times" w:cs="Times" w:eastAsia="Times" w:hAnsi="Times"/>
          <w:sz w:val="20"/>
          <w:szCs w:val="20"/>
        </w:rPr>
      </w:pPr>
      <w:r w:rsidDel="00000000" w:rsidR="00000000" w:rsidRPr="00000000">
        <w:rPr>
          <w:rFonts w:ascii="Times New Roman" w:cs="Times New Roman" w:eastAsia="Times New Roman" w:hAnsi="Times New Roman"/>
          <w:sz w:val="20"/>
          <w:szCs w:val="20"/>
          <w:rtl w:val="0"/>
        </w:rPr>
        <w:t xml:space="preserve">Fischer, Michael M. J. 2003.</w:t>
      </w:r>
      <w:r w:rsidDel="00000000" w:rsidR="00000000" w:rsidRPr="00000000">
        <w:rPr>
          <w:rFonts w:ascii="Times New Roman" w:cs="Times New Roman" w:eastAsia="Times New Roman" w:hAnsi="Times New Roman"/>
          <w:i w:val="1"/>
          <w:sz w:val="20"/>
          <w:szCs w:val="20"/>
          <w:rtl w:val="0"/>
        </w:rPr>
        <w:t xml:space="preserve"> Iran: From Religious Dispute to Revolution.</w:t>
      </w:r>
      <w:r w:rsidDel="00000000" w:rsidR="00000000" w:rsidRPr="00000000">
        <w:rPr>
          <w:rFonts w:ascii="Times New Roman" w:cs="Times New Roman" w:eastAsia="Times New Roman" w:hAnsi="Times New Roman"/>
          <w:sz w:val="20"/>
          <w:szCs w:val="20"/>
          <w:rtl w:val="0"/>
        </w:rPr>
        <w:t xml:space="preserve"> Madison, WI: University of Wisconsin Press.</w:t>
      </w:r>
      <w:r w:rsidDel="00000000" w:rsidR="00000000" w:rsidRPr="00000000">
        <w:rPr>
          <w:rtl w:val="0"/>
        </w:rPr>
      </w:r>
    </w:p>
    <w:p w:rsidR="00000000" w:rsidDel="00000000" w:rsidP="00000000" w:rsidRDefault="00000000" w:rsidRPr="00000000" w14:paraId="0000004D">
      <w:pPr>
        <w:spacing w:line="480" w:lineRule="auto"/>
        <w:ind w:left="720" w:hanging="720"/>
        <w:rPr>
          <w:rFonts w:ascii="Times" w:cs="Times" w:eastAsia="Times" w:hAnsi="Times"/>
          <w:sz w:val="20"/>
          <w:szCs w:val="20"/>
        </w:rPr>
      </w:pPr>
      <w:r w:rsidDel="00000000" w:rsidR="00000000" w:rsidRPr="00000000">
        <w:rPr>
          <w:rFonts w:ascii="Times New Roman" w:cs="Times New Roman" w:eastAsia="Times New Roman" w:hAnsi="Times New Roman"/>
          <w:sz w:val="20"/>
          <w:szCs w:val="20"/>
          <w:highlight w:val="white"/>
          <w:rtl w:val="0"/>
        </w:rPr>
        <w:t xml:space="preserve">General Authority for Statistics. 2019. "Hajj Statistics." Retrieved Jan. 18. 2024 (</w:t>
      </w:r>
      <w:hyperlink r:id="rId9">
        <w:r w:rsidDel="00000000" w:rsidR="00000000" w:rsidRPr="00000000">
          <w:rPr>
            <w:rFonts w:ascii="Times New Roman" w:cs="Times New Roman" w:eastAsia="Times New Roman" w:hAnsi="Times New Roman"/>
            <w:color w:val="0000ff"/>
            <w:sz w:val="20"/>
            <w:szCs w:val="20"/>
            <w:highlight w:val="white"/>
            <w:u w:val="single"/>
            <w:rtl w:val="0"/>
          </w:rPr>
          <w:t xml:space="preserve">https://www.stats.gov.sa/sites/default/files/haj_40_en.pdf</w:t>
        </w:r>
      </w:hyperlink>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tl w:val="0"/>
        </w:rPr>
      </w:r>
    </w:p>
    <w:p w:rsidR="00000000" w:rsidDel="00000000" w:rsidP="00000000" w:rsidRDefault="00000000" w:rsidRPr="00000000" w14:paraId="0000004E">
      <w:pPr>
        <w:spacing w:line="480" w:lineRule="auto"/>
        <w:ind w:left="720" w:hanging="720"/>
        <w:rPr>
          <w:rFonts w:ascii="Times" w:cs="Times" w:eastAsia="Times" w:hAnsi="Times"/>
          <w:sz w:val="20"/>
          <w:szCs w:val="20"/>
        </w:rPr>
      </w:pPr>
      <w:r w:rsidDel="00000000" w:rsidR="00000000" w:rsidRPr="00000000">
        <w:rPr>
          <w:rFonts w:ascii="Times" w:cs="Times" w:eastAsia="Times" w:hAnsi="Times"/>
          <w:sz w:val="20"/>
          <w:szCs w:val="20"/>
          <w:rtl w:val="0"/>
        </w:rPr>
        <w:t xml:space="preserve">Momen, Moojan. 1985. </w:t>
      </w:r>
      <w:r w:rsidDel="00000000" w:rsidR="00000000" w:rsidRPr="00000000">
        <w:rPr>
          <w:rFonts w:ascii="Times" w:cs="Times" w:eastAsia="Times" w:hAnsi="Times"/>
          <w:i w:val="1"/>
          <w:sz w:val="20"/>
          <w:szCs w:val="20"/>
          <w:rtl w:val="0"/>
        </w:rPr>
        <w:t xml:space="preserve">An Introduction to Shi’i Islam: The History and Doctrines of Twelver Shi’ism.</w:t>
      </w:r>
      <w:r w:rsidDel="00000000" w:rsidR="00000000" w:rsidRPr="00000000">
        <w:rPr>
          <w:rFonts w:ascii="Times" w:cs="Times" w:eastAsia="Times" w:hAnsi="Times"/>
          <w:sz w:val="20"/>
          <w:szCs w:val="20"/>
          <w:rtl w:val="0"/>
        </w:rPr>
        <w:t xml:space="preserve"> Oxford, UK: George Ronald Publisher.  </w:t>
      </w:r>
    </w:p>
    <w:p w:rsidR="00000000" w:rsidDel="00000000" w:rsidP="00000000" w:rsidRDefault="00000000" w:rsidRPr="00000000" w14:paraId="0000004F">
      <w:pPr>
        <w:spacing w:line="480" w:lineRule="auto"/>
        <w:ind w:left="720" w:hanging="720"/>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Pfaff, Steven, and Katie E. Corcoran. 2012. “Piety, Power, and the Purse: Religious Economies Theory and Urban Reform in the Holy Roman Empire.” </w:t>
      </w:r>
      <w:r w:rsidDel="00000000" w:rsidR="00000000" w:rsidRPr="00000000">
        <w:rPr>
          <w:rFonts w:ascii="Times" w:cs="Times" w:eastAsia="Times" w:hAnsi="Times"/>
          <w:i w:val="1"/>
          <w:sz w:val="20"/>
          <w:szCs w:val="20"/>
          <w:rtl w:val="0"/>
        </w:rPr>
        <w:t xml:space="preserve">Journal for the Scientific Study of Religion</w:t>
      </w:r>
      <w:r w:rsidDel="00000000" w:rsidR="00000000" w:rsidRPr="00000000">
        <w:rPr>
          <w:rFonts w:ascii="Times" w:cs="Times" w:eastAsia="Times" w:hAnsi="Times"/>
          <w:sz w:val="20"/>
          <w:szCs w:val="20"/>
          <w:rtl w:val="0"/>
        </w:rPr>
        <w:t xml:space="preserve"> 51(4):757-76.</w:t>
      </w:r>
    </w:p>
    <w:p w:rsidR="00000000" w:rsidDel="00000000" w:rsidP="00000000" w:rsidRDefault="00000000" w:rsidRPr="00000000" w14:paraId="00000050">
      <w:pPr>
        <w:spacing w:line="480" w:lineRule="auto"/>
        <w:ind w:left="720" w:hanging="720"/>
        <w:rPr>
          <w:rFonts w:ascii="Times" w:cs="Times" w:eastAsia="Times" w:hAnsi="Times"/>
          <w:sz w:val="20"/>
          <w:szCs w:val="20"/>
        </w:rPr>
      </w:pPr>
      <w:r w:rsidDel="00000000" w:rsidR="00000000" w:rsidRPr="00000000">
        <w:rPr>
          <w:rFonts w:ascii="Times" w:cs="Times" w:eastAsia="Times" w:hAnsi="Times"/>
          <w:sz w:val="20"/>
          <w:szCs w:val="20"/>
          <w:rtl w:val="0"/>
        </w:rPr>
        <w:t xml:space="preserve">Chelkowski, Peter J. 2010. </w:t>
      </w:r>
      <w:r w:rsidDel="00000000" w:rsidR="00000000" w:rsidRPr="00000000">
        <w:rPr>
          <w:rFonts w:ascii="Times" w:cs="Times" w:eastAsia="Times" w:hAnsi="Times"/>
          <w:i w:val="1"/>
          <w:sz w:val="20"/>
          <w:szCs w:val="20"/>
          <w:rtl w:val="0"/>
        </w:rPr>
        <w:t xml:space="preserve">Eternal Performance: Ta’ziyeh and Other Shiite Rituals.</w:t>
      </w:r>
      <w:r w:rsidDel="00000000" w:rsidR="00000000" w:rsidRPr="00000000">
        <w:rPr>
          <w:rFonts w:ascii="Times" w:cs="Times" w:eastAsia="Times" w:hAnsi="Times"/>
          <w:sz w:val="20"/>
          <w:szCs w:val="20"/>
          <w:rtl w:val="0"/>
        </w:rPr>
        <w:t xml:space="preserve"> New York: Seagull.</w:t>
      </w:r>
    </w:p>
    <w:p w:rsidR="00000000" w:rsidDel="00000000" w:rsidP="00000000" w:rsidRDefault="00000000" w:rsidRPr="00000000" w14:paraId="00000051">
      <w:pPr>
        <w:spacing w:line="480" w:lineRule="auto"/>
        <w:ind w:left="720" w:hanging="720"/>
        <w:rPr>
          <w:rFonts w:ascii="Times" w:cs="Times" w:eastAsia="Times" w:hAnsi="Times"/>
          <w:sz w:val="20"/>
          <w:szCs w:val="20"/>
        </w:rPr>
      </w:pPr>
      <w:r w:rsidDel="00000000" w:rsidR="00000000" w:rsidRPr="00000000">
        <w:rPr>
          <w:rFonts w:ascii="Times" w:cs="Times" w:eastAsia="Times" w:hAnsi="Times"/>
          <w:sz w:val="20"/>
          <w:szCs w:val="20"/>
          <w:rtl w:val="0"/>
        </w:rPr>
        <w:t xml:space="preserve">Aghaie, Kamran S. 2004. </w:t>
      </w:r>
      <w:r w:rsidDel="00000000" w:rsidR="00000000" w:rsidRPr="00000000">
        <w:rPr>
          <w:rFonts w:ascii="Times" w:cs="Times" w:eastAsia="Times" w:hAnsi="Times"/>
          <w:i w:val="1"/>
          <w:sz w:val="20"/>
          <w:szCs w:val="20"/>
          <w:rtl w:val="0"/>
        </w:rPr>
        <w:t xml:space="preserve">The Martyrs of Karbala: Shi’i Symbols and Rituals in Modern Iran</w:t>
      </w:r>
      <w:r w:rsidDel="00000000" w:rsidR="00000000" w:rsidRPr="00000000">
        <w:rPr>
          <w:rFonts w:ascii="Times" w:cs="Times" w:eastAsia="Times" w:hAnsi="Times"/>
          <w:sz w:val="20"/>
          <w:szCs w:val="20"/>
          <w:rtl w:val="0"/>
        </w:rPr>
        <w:t xml:space="preserve">. Seattle, WA: University of Washington Press. </w:t>
      </w:r>
    </w:p>
    <w:p w:rsidR="00000000" w:rsidDel="00000000" w:rsidP="00000000" w:rsidRDefault="00000000" w:rsidRPr="00000000" w14:paraId="00000052">
      <w:pPr>
        <w:widowControl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widowControl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widowControl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383DBF"/>
    <w:rPr>
      <w:color w:val="0000ff" w:themeColor="hyperlink"/>
      <w:u w:val="single"/>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tats.gov.sa/sites/default/files/haj_40_en.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DDRySzxSleHTGeCP+3TbGyVf3Q==">CgMxLjA4AHIhMXRqSTFhbi1ucVJmVGh3NWxfYnlORzJuZE4wOVJWNFFl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2024-05-29T17:14:00Z</dcterms:created>
</cp:coreProperties>
</file>