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D98C6D" w14:textId="61ECE645" w:rsidR="00A8467B" w:rsidRPr="00A8467B" w:rsidRDefault="00000000" w:rsidP="00A8467B">
      <w:pPr>
        <w:pStyle w:val="Title"/>
      </w:pPr>
      <w:r w:rsidRPr="00A8467B">
        <w:t>Supplement S</w:t>
      </w:r>
      <w:r w:rsidR="00A8467B" w:rsidRPr="00A8467B">
        <w:t>1</w:t>
      </w:r>
    </w:p>
    <w:p w14:paraId="4C4064A2" w14:textId="57812E49" w:rsidR="0075428F" w:rsidRPr="00A8467B" w:rsidRDefault="00000000" w:rsidP="00A8467B">
      <w:pPr>
        <w:pStyle w:val="Title"/>
      </w:pPr>
      <w:r w:rsidRPr="00A8467B">
        <w:t>Model Extensions and Robustness Analyses</w:t>
      </w:r>
    </w:p>
    <w:p w14:paraId="5D617A89" w14:textId="77777777" w:rsidR="0075428F" w:rsidRPr="00A8467B" w:rsidRDefault="00000000" w:rsidP="00A8467B">
      <w:pPr>
        <w:pStyle w:val="Heading1"/>
      </w:pPr>
      <w:bookmarkStart w:id="0" w:name="X2e545534b1806e736e9bc9b4a6727a2bc6e9ccf"/>
      <w:r w:rsidRPr="00A8467B">
        <w:t>Supplement S1 — Model Extensions and Robustness Analyses</w:t>
      </w:r>
    </w:p>
    <w:p w14:paraId="7FA6B1E2" w14:textId="7EF5D417" w:rsidR="0075428F" w:rsidRPr="00A8467B" w:rsidRDefault="00000000" w:rsidP="00DF14F3">
      <w:pPr>
        <w:jc w:val="both"/>
        <w:rPr>
          <w:rFonts w:cs="Times New Roman"/>
        </w:rPr>
      </w:pPr>
      <w:r w:rsidRPr="00A8467B">
        <w:rPr>
          <w:rFonts w:cs="Times New Roman"/>
        </w:rPr>
        <w:t xml:space="preserve">The primary model (main text §3.3) uses a single latent-risk term, a two-component additive lethality (λ_any + λ_viol·r_i), and a single behavioral-attenuation scalar ψ. The sensitivity extensions summarized in §4.4 of the main text generalize each of these; their full setup and results are reported here. Each extension reduces to the primary specification at identity parameter values. The three extensions answering </w:t>
      </w:r>
      <w:r w:rsidR="00A8467B">
        <w:rPr>
          <w:rFonts w:cs="Times New Roman"/>
        </w:rPr>
        <w:t xml:space="preserve">concerns on </w:t>
      </w:r>
      <w:r w:rsidRPr="00A8467B">
        <w:rPr>
          <w:rFonts w:cs="Times New Roman"/>
        </w:rPr>
        <w:t xml:space="preserve">decomposed risk, institutional lethality, </w:t>
      </w:r>
      <w:r w:rsidR="00A8467B">
        <w:rPr>
          <w:rFonts w:cs="Times New Roman"/>
        </w:rPr>
        <w:t xml:space="preserve">and </w:t>
      </w:r>
      <w:r w:rsidRPr="00A8467B">
        <w:rPr>
          <w:rFonts w:cs="Times New Roman"/>
        </w:rPr>
        <w:t>decomposed offsets are summarized graphically in Figure S1.</w:t>
      </w:r>
    </w:p>
    <w:p w14:paraId="47623AF3" w14:textId="77777777" w:rsidR="0075428F" w:rsidRPr="00A8467B" w:rsidRDefault="00000000" w:rsidP="00A8467B">
      <w:pPr>
        <w:pStyle w:val="Heading2"/>
      </w:pPr>
      <w:bookmarkStart w:id="1" w:name="X964592712ce71c6be6374de3440f6c17221fe8c"/>
      <w:r w:rsidRPr="00A8467B">
        <w:t>S1.1 Decomposed risk vector (</w:t>
      </w:r>
      <w:proofErr w:type="spellStart"/>
      <w:r w:rsidRPr="00A8467B">
        <w:t>r_sel</w:t>
      </w:r>
      <w:proofErr w:type="spellEnd"/>
      <w:r w:rsidRPr="00A8467B">
        <w:t xml:space="preserve">, </w:t>
      </w:r>
      <w:proofErr w:type="spellStart"/>
      <w:r w:rsidRPr="00A8467B">
        <w:t>r_enc</w:t>
      </w:r>
      <w:proofErr w:type="spellEnd"/>
      <w:r w:rsidRPr="00A8467B">
        <w:t xml:space="preserve">, </w:t>
      </w:r>
      <w:proofErr w:type="spellStart"/>
      <w:r w:rsidRPr="00A8467B">
        <w:t>r_leth</w:t>
      </w:r>
      <w:proofErr w:type="spellEnd"/>
      <w:r w:rsidRPr="00A8467B">
        <w:t>)</w:t>
      </w:r>
    </w:p>
    <w:p w14:paraId="1E7C48DB" w14:textId="77777777" w:rsidR="0075428F" w:rsidRPr="00A8467B" w:rsidRDefault="00000000">
      <w:pPr>
        <w:rPr>
          <w:rFonts w:cs="Times New Roman"/>
        </w:rPr>
      </w:pPr>
      <w:r w:rsidRPr="00A8467B">
        <w:rPr>
          <w:rFonts w:cs="Times New Roman"/>
        </w:rPr>
        <w:t>To assess whether the avertogenic effect depends on the assumption that selection, encounter, and lethality risks share a common latent factor, we re-implement the model with a three-dimensional risk vector (</w:t>
      </w:r>
      <w:r w:rsidRPr="00A8467B">
        <w:rPr>
          <w:rFonts w:cs="Times New Roman"/>
          <w:i/>
          <w:iCs/>
        </w:rPr>
        <w:t>rsel,i</w:t>
      </w:r>
      <w:r w:rsidRPr="00A8467B">
        <w:rPr>
          <w:rFonts w:cs="Times New Roman"/>
        </w:rPr>
        <w:t xml:space="preserve">, </w:t>
      </w:r>
      <w:r w:rsidRPr="00A8467B">
        <w:rPr>
          <w:rFonts w:cs="Times New Roman"/>
          <w:i/>
          <w:iCs/>
        </w:rPr>
        <w:t>renc,i</w:t>
      </w:r>
      <w:r w:rsidRPr="00A8467B">
        <w:rPr>
          <w:rFonts w:cs="Times New Roman"/>
        </w:rPr>
        <w:t xml:space="preserve">, </w:t>
      </w:r>
      <w:r w:rsidRPr="00A8467B">
        <w:rPr>
          <w:rFonts w:cs="Times New Roman"/>
          <w:i/>
          <w:iCs/>
        </w:rPr>
        <w:t>rleth,i</w:t>
      </w:r>
      <w:r w:rsidRPr="00A8467B">
        <w:rPr>
          <w:rFonts w:cs="Times New Roman"/>
        </w:rPr>
        <w:t xml:space="preserve">) governing selection, encounter intensity, and per-encounter lethality, respectively, with a Gaussian copula on the standard-normal latent scale specifying the pairwise dependence among the three components. Each component preserves the same marginal mixture distribution defined in §3.3.1, so the calibration of </w:t>
      </w:r>
      <w:r w:rsidRPr="00A8467B">
        <w:rPr>
          <w:rFonts w:cs="Times New Roman"/>
          <w:i/>
          <w:iCs/>
        </w:rPr>
        <w:t>α</w:t>
      </w:r>
      <w:r w:rsidRPr="00A8467B">
        <w:rPr>
          <w:rFonts w:cs="Times New Roman"/>
        </w:rPr>
        <w:t xml:space="preserve"> is unchanged. The central specification corresponds to perfect correlation (</w:t>
      </w:r>
      <w:r w:rsidRPr="00A8467B">
        <w:rPr>
          <w:rFonts w:cs="Times New Roman"/>
          <w:i/>
          <w:iCs/>
        </w:rPr>
        <w:t>rsel,i</w:t>
      </w:r>
      <w:r w:rsidRPr="00A8467B">
        <w:rPr>
          <w:rFonts w:cs="Times New Roman"/>
        </w:rPr>
        <w:t xml:space="preserve"> = </w:t>
      </w:r>
      <w:r w:rsidRPr="00A8467B">
        <w:rPr>
          <w:rFonts w:cs="Times New Roman"/>
          <w:i/>
          <w:iCs/>
        </w:rPr>
        <w:t>renc,i</w:t>
      </w:r>
      <w:r w:rsidRPr="00A8467B">
        <w:rPr>
          <w:rFonts w:cs="Times New Roman"/>
        </w:rPr>
        <w:t xml:space="preserve"> = </w:t>
      </w:r>
      <w:r w:rsidRPr="00A8467B">
        <w:rPr>
          <w:rFonts w:cs="Times New Roman"/>
          <w:i/>
          <w:iCs/>
        </w:rPr>
        <w:t>rleth,i</w:t>
      </w:r>
      <w:r w:rsidRPr="00A8467B">
        <w:rPr>
          <w:rFonts w:cs="Times New Roman"/>
        </w:rPr>
        <w:t>), reducing to the single-</w:t>
      </w:r>
      <w:r w:rsidRPr="00A8467B">
        <w:rPr>
          <w:rFonts w:cs="Times New Roman"/>
          <w:i/>
          <w:iCs/>
        </w:rPr>
        <w:t>r</w:t>
      </w:r>
      <w:r w:rsidRPr="00A8467B">
        <w:rPr>
          <w:rFonts w:cs="Times New Roman"/>
        </w:rPr>
        <w:t xml:space="preserve"> model used throughout the primary results.</w:t>
      </w:r>
    </w:p>
    <w:p w14:paraId="2103C577" w14:textId="77777777" w:rsidR="0075428F" w:rsidRPr="00A8467B" w:rsidRDefault="00000000">
      <w:pPr>
        <w:pStyle w:val="BodyText"/>
        <w:rPr>
          <w:rFonts w:cs="Times New Roman"/>
        </w:rPr>
      </w:pPr>
      <w:r w:rsidRPr="00A8467B">
        <w:rPr>
          <w:rFonts w:cs="Times New Roman"/>
        </w:rPr>
        <w:t>We consider four alternative dependence structures alongside the central perfect-correlation case: weakening only the selection–lethality coupling (</w:t>
      </w:r>
      <w:r w:rsidRPr="00A8467B">
        <w:rPr>
          <w:rFonts w:cs="Times New Roman"/>
          <w:i/>
          <w:iCs/>
        </w:rPr>
        <w:t>ρsel,leth</w:t>
      </w:r>
      <w:r w:rsidRPr="00A8467B">
        <w:rPr>
          <w:rFonts w:cs="Times New Roman"/>
        </w:rPr>
        <w:t xml:space="preserve"> = 0.3, </w:t>
      </w:r>
      <w:r w:rsidRPr="00A8467B">
        <w:rPr>
          <w:rFonts w:cs="Times New Roman"/>
          <w:i/>
          <w:iCs/>
        </w:rPr>
        <w:t>ρsel,enc</w:t>
      </w:r>
      <w:r w:rsidRPr="00A8467B">
        <w:rPr>
          <w:rFonts w:cs="Times New Roman"/>
        </w:rPr>
        <w:t xml:space="preserve"> = </w:t>
      </w:r>
      <w:r w:rsidRPr="00A8467B">
        <w:rPr>
          <w:rFonts w:cs="Times New Roman"/>
          <w:i/>
          <w:iCs/>
        </w:rPr>
        <w:t>ρenc,leth</w:t>
      </w:r>
      <w:r w:rsidRPr="00A8467B">
        <w:rPr>
          <w:rFonts w:cs="Times New Roman"/>
        </w:rPr>
        <w:t xml:space="preserve"> = 0.7); weakening only selection–encounter (</w:t>
      </w:r>
      <w:r w:rsidRPr="00A8467B">
        <w:rPr>
          <w:rFonts w:cs="Times New Roman"/>
          <w:i/>
          <w:iCs/>
        </w:rPr>
        <w:t>ρsel,enc</w:t>
      </w:r>
      <w:r w:rsidRPr="00A8467B">
        <w:rPr>
          <w:rFonts w:cs="Times New Roman"/>
        </w:rPr>
        <w:t xml:space="preserve"> = 0.3, others = 0.7); weakening only encounter–lethality (</w:t>
      </w:r>
      <w:r w:rsidRPr="00A8467B">
        <w:rPr>
          <w:rFonts w:cs="Times New Roman"/>
          <w:i/>
          <w:iCs/>
        </w:rPr>
        <w:t>ρenc,leth</w:t>
      </w:r>
      <w:r w:rsidRPr="00A8467B">
        <w:rPr>
          <w:rFonts w:cs="Times New Roman"/>
        </w:rPr>
        <w:t xml:space="preserve"> = 0.3, others = 0.7); and all weak (all </w:t>
      </w:r>
      <w:r w:rsidRPr="00A8467B">
        <w:rPr>
          <w:rFonts w:cs="Times New Roman"/>
          <w:i/>
          <w:iCs/>
        </w:rPr>
        <w:t>ρ</w:t>
      </w:r>
      <w:r w:rsidRPr="00A8467B">
        <w:rPr>
          <w:rFonts w:cs="Times New Roman"/>
        </w:rPr>
        <w:t xml:space="preserve"> = 0.3). At Δ</w:t>
      </w:r>
      <w:r w:rsidRPr="00A8467B">
        <w:rPr>
          <w:rFonts w:ascii="Cambria Math" w:hAnsi="Cambria Math" w:cs="Cambria Math"/>
        </w:rPr>
        <w:t>𝛼</w:t>
      </w:r>
      <w:r w:rsidRPr="00A8467B">
        <w:rPr>
          <w:rFonts w:cs="Times New Roman"/>
        </w:rPr>
        <w:t xml:space="preserve"> = 0.5, mean avertogenic deaths range from 36.7 (weak </w:t>
      </w:r>
      <w:r w:rsidRPr="00A8467B">
        <w:rPr>
          <w:rFonts w:cs="Times New Roman"/>
          <w:i/>
          <w:iCs/>
        </w:rPr>
        <w:t>ρenc,leth</w:t>
      </w:r>
      <w:r w:rsidRPr="00A8467B">
        <w:rPr>
          <w:rFonts w:cs="Times New Roman"/>
        </w:rPr>
        <w:t xml:space="preserve">) to 42.0 (weak </w:t>
      </w:r>
      <w:r w:rsidRPr="00A8467B">
        <w:rPr>
          <w:rFonts w:cs="Times New Roman"/>
          <w:i/>
          <w:iCs/>
        </w:rPr>
        <w:t>ρsel,leth</w:t>
      </w:r>
      <w:r w:rsidRPr="00A8467B">
        <w:rPr>
          <w:rFonts w:cs="Times New Roman"/>
        </w:rPr>
        <w:t xml:space="preserve">), compared to </w:t>
      </w:r>
      <w:r w:rsidRPr="00A8467B">
        <w:rPr>
          <w:rFonts w:cs="Times New Roman"/>
        </w:rPr>
        <w:lastRenderedPageBreak/>
        <w:t xml:space="preserve">35.5 in the central specification. Weakening any cross-correlation modestly </w:t>
      </w:r>
      <w:r w:rsidRPr="00A8467B">
        <w:rPr>
          <w:rFonts w:cs="Times New Roman"/>
          <w:i/>
          <w:iCs/>
        </w:rPr>
        <w:t>increases</w:t>
      </w:r>
      <w:r w:rsidRPr="00A8467B">
        <w:rPr>
          <w:rFonts w:cs="Times New Roman"/>
        </w:rPr>
        <w:t xml:space="preserve"> the estimate. The mechanism is that the marginal-released cohort under the central </w:t>
      </w:r>
      <w:r w:rsidRPr="00A8467B">
        <w:rPr>
          <w:rFonts w:cs="Times New Roman"/>
          <w:i/>
          <w:iCs/>
        </w:rPr>
        <w:t>α</w:t>
      </w:r>
      <w:r w:rsidRPr="00A8467B">
        <w:rPr>
          <w:rFonts w:cs="Times New Roman"/>
        </w:rPr>
        <w:t xml:space="preserve">-calibration is concentrated near </w:t>
      </w:r>
      <w:r w:rsidRPr="00A8467B">
        <w:rPr>
          <w:rFonts w:cs="Times New Roman"/>
          <w:i/>
          <w:iCs/>
        </w:rPr>
        <w:t>rsel</w:t>
      </w:r>
      <w:r w:rsidRPr="00A8467B">
        <w:rPr>
          <w:rFonts w:cs="Times New Roman"/>
        </w:rPr>
        <w:t xml:space="preserve"> ≈ 0.2 (the low-class peak of the mixture); under decoupling, those individuals’ </w:t>
      </w:r>
      <w:r w:rsidRPr="00A8467B">
        <w:rPr>
          <w:rFonts w:cs="Times New Roman"/>
          <w:i/>
          <w:iCs/>
        </w:rPr>
        <w:t>rleth</w:t>
      </w:r>
      <w:r w:rsidRPr="00A8467B">
        <w:rPr>
          <w:rFonts w:cs="Times New Roman"/>
        </w:rPr>
        <w:t xml:space="preserve"> is drawn from the full marginal distribution rather than co-varying with their low </w:t>
      </w:r>
      <w:r w:rsidRPr="00A8467B">
        <w:rPr>
          <w:rFonts w:cs="Times New Roman"/>
          <w:i/>
          <w:iCs/>
        </w:rPr>
        <w:t>rsel</w:t>
      </w:r>
      <w:r w:rsidRPr="00A8467B">
        <w:rPr>
          <w:rFonts w:cs="Times New Roman"/>
        </w:rPr>
        <w:t xml:space="preserve">, so a fraction inherit high-class </w:t>
      </w:r>
      <w:r w:rsidRPr="00A8467B">
        <w:rPr>
          <w:rFonts w:cs="Times New Roman"/>
          <w:i/>
          <w:iCs/>
        </w:rPr>
        <w:t>rleth</w:t>
      </w:r>
      <w:r w:rsidRPr="00A8467B">
        <w:rPr>
          <w:rFonts w:cs="Times New Roman"/>
        </w:rPr>
        <w:t xml:space="preserve"> and contribute disproportionately to lethality. The single-</w:t>
      </w:r>
      <w:r w:rsidRPr="00A8467B">
        <w:rPr>
          <w:rFonts w:cs="Times New Roman"/>
          <w:i/>
          <w:iCs/>
        </w:rPr>
        <w:t>r</w:t>
      </w:r>
      <w:r w:rsidRPr="00A8467B">
        <w:rPr>
          <w:rFonts w:cs="Times New Roman"/>
        </w:rPr>
        <w:t xml:space="preserve"> specification is therefore conservative with respect to this dimension of model uncertainty.</w:t>
      </w:r>
    </w:p>
    <w:p w14:paraId="28BB19C8" w14:textId="77777777" w:rsidR="0075428F" w:rsidRPr="00A8467B" w:rsidRDefault="00000000">
      <w:pPr>
        <w:pStyle w:val="BodyText"/>
        <w:ind w:firstLine="0"/>
        <w:rPr>
          <w:rFonts w:cs="Times New Roman"/>
        </w:rPr>
      </w:pPr>
      <w:r w:rsidRPr="00A8467B">
        <w:rPr>
          <w:rFonts w:cs="Times New Roman"/>
          <w:noProof/>
        </w:rPr>
        <w:drawing>
          <wp:inline distT="0" distB="0" distL="0" distR="0" wp14:anchorId="46AEB678" wp14:editId="379AF2C2">
            <wp:extent cx="5943600" cy="1833767"/>
            <wp:effectExtent l="0" t="0" r="0" b="0"/>
            <wp:docPr id="10" name="Picture"/>
            <wp:cNvGraphicFramePr/>
            <a:graphic xmlns:a="http://schemas.openxmlformats.org/drawingml/2006/main">
              <a:graphicData uri="http://schemas.openxmlformats.org/drawingml/2006/picture">
                <pic:pic xmlns:pic="http://schemas.openxmlformats.org/drawingml/2006/picture">
                  <pic:nvPicPr>
                    <pic:cNvPr id="11" name="Picture" descr="figures/fig_model_extensions.png"/>
                    <pic:cNvPicPr>
                      <a:picLocks noChangeAspect="1" noChangeArrowheads="1"/>
                    </pic:cNvPicPr>
                  </pic:nvPicPr>
                  <pic:blipFill>
                    <a:blip r:embed="rId7"/>
                    <a:stretch>
                      <a:fillRect/>
                    </a:stretch>
                  </pic:blipFill>
                  <pic:spPr bwMode="auto">
                    <a:xfrm>
                      <a:off x="0" y="0"/>
                      <a:ext cx="5943600" cy="1833767"/>
                    </a:xfrm>
                    <a:prstGeom prst="rect">
                      <a:avLst/>
                    </a:prstGeom>
                    <a:noFill/>
                    <a:ln w="9525">
                      <a:noFill/>
                      <a:headEnd/>
                      <a:tailEnd/>
                    </a:ln>
                  </pic:spPr>
                </pic:pic>
              </a:graphicData>
            </a:graphic>
          </wp:inline>
        </w:drawing>
      </w:r>
    </w:p>
    <w:p w14:paraId="2CD8E64C" w14:textId="77777777" w:rsidR="0075428F" w:rsidRPr="00A8467B" w:rsidRDefault="00000000" w:rsidP="00A8467B">
      <w:pPr>
        <w:pStyle w:val="NoSpacing"/>
        <w:rPr>
          <w:rFonts w:ascii="Times New Roman" w:hAnsi="Times New Roman" w:cs="Times New Roman"/>
        </w:rPr>
      </w:pPr>
      <w:r w:rsidRPr="00A8467B">
        <w:rPr>
          <w:rFonts w:ascii="Times New Roman" w:hAnsi="Times New Roman" w:cs="Times New Roman"/>
          <w:b/>
          <w:bCs/>
        </w:rPr>
        <w:t>Figure S1.</w:t>
      </w:r>
      <w:r w:rsidRPr="00A8467B">
        <w:rPr>
          <w:rFonts w:ascii="Times New Roman" w:hAnsi="Times New Roman" w:cs="Times New Roman"/>
        </w:rPr>
        <w:t xml:space="preserve"> Model extensions used in the sensitivity analyses. Each panel depicts an extension of the primary specification that reduces to it at identity parameter values. </w:t>
      </w:r>
      <w:r w:rsidRPr="00A8467B">
        <w:rPr>
          <w:rFonts w:ascii="Times New Roman" w:hAnsi="Times New Roman" w:cs="Times New Roman"/>
          <w:b/>
          <w:bCs/>
        </w:rPr>
        <w:t>(a) Decomposed risk:</w:t>
      </w:r>
      <w:r w:rsidRPr="00A8467B">
        <w:rPr>
          <w:rFonts w:ascii="Times New Roman" w:hAnsi="Times New Roman" w:cs="Times New Roman"/>
        </w:rPr>
        <w:t xml:space="preserve"> latent risk r_i is split into three correlated components (r_sel, r_enc, and r_leth) governing incarceration selection, encounter intensity, and per-encounter lethality, respectively; dotted arcs denote latent correlations on the Gaussian-copula scale, and ρ → 1 recovers the single-r_i specification (S1.1). </w:t>
      </w:r>
      <w:r w:rsidRPr="00A8467B">
        <w:rPr>
          <w:rFonts w:ascii="Times New Roman" w:hAnsi="Times New Roman" w:cs="Times New Roman"/>
          <w:b/>
          <w:bCs/>
        </w:rPr>
        <w:t>(b) Institutional lethality:</w:t>
      </w:r>
      <w:r w:rsidRPr="00A8467B">
        <w:rPr>
          <w:rFonts w:ascii="Times New Roman" w:hAnsi="Times New Roman" w:cs="Times New Roman"/>
        </w:rPr>
        <w:t xml:space="preserve"> an additive per-encounter term λ_inst captures contributions to lethal force that are independent of suspect risk (e.g., the responding agency’s force ecology), so that λ_i = λ_any + λ_viol·r_leth + λ_inst; λ_inst = 0 recovers the primary model (S1.4). </w:t>
      </w:r>
      <w:r w:rsidRPr="00A8467B">
        <w:rPr>
          <w:rFonts w:ascii="Times New Roman" w:hAnsi="Times New Roman" w:cs="Times New Roman"/>
          <w:b/>
          <w:bCs/>
        </w:rPr>
        <w:t>(c) Decomposed offsets:</w:t>
      </w:r>
      <w:r w:rsidRPr="00A8467B">
        <w:rPr>
          <w:rFonts w:ascii="Times New Roman" w:hAnsi="Times New Roman" w:cs="Times New Roman"/>
        </w:rPr>
        <w:t xml:space="preserve"> the behavioral attenuation ψ is decomposed into three mechanistic scalars: displacement (φ_displ), criminogenic amplification (φ_crim), and surveillance-driven encounter amplification (φ_surv), acting on the marginal-released cohort; φ = identity recovers the primary model (S1.5).</w:t>
      </w:r>
    </w:p>
    <w:p w14:paraId="1807C6E1" w14:textId="77777777" w:rsidR="0075428F" w:rsidRPr="00A8467B" w:rsidRDefault="00000000" w:rsidP="00A8467B">
      <w:pPr>
        <w:pStyle w:val="Heading2"/>
      </w:pPr>
      <w:bookmarkStart w:id="2" w:name="s1.2-risk-targeted-decarceration-policy"/>
      <w:bookmarkEnd w:id="1"/>
      <w:r w:rsidRPr="00A8467B">
        <w:t>S1.2 Risk-targeted decarceration policy</w:t>
      </w:r>
    </w:p>
    <w:p w14:paraId="7D657456" w14:textId="6B67AD8E" w:rsidR="0075428F" w:rsidRPr="00A8467B" w:rsidRDefault="00000000">
      <w:pPr>
        <w:rPr>
          <w:rFonts w:cs="Times New Roman"/>
        </w:rPr>
      </w:pPr>
      <w:r w:rsidRPr="00A8467B">
        <w:rPr>
          <w:rFonts w:cs="Times New Roman"/>
        </w:rPr>
        <w:t>The risk-neutral logistic intercept shift used throughout the primary grid is one of several plausible models of how decarceration policies operate. Sentencing reform, diversion programs, and early-release initiatives in practice target individuals near sentencing thresholds, drawing the marginal released population from the lower tail of the risk distribution</w:t>
      </w:r>
      <w:r w:rsidR="007C6233">
        <w:rPr>
          <w:rFonts w:cs="Times New Roman"/>
        </w:rPr>
        <w:t xml:space="preserve"> (at least, in theory)</w:t>
      </w:r>
      <w:r w:rsidRPr="00A8467B">
        <w:rPr>
          <w:rFonts w:cs="Times New Roman"/>
        </w:rPr>
        <w:t xml:space="preserve">. We </w:t>
      </w:r>
      <w:r w:rsidRPr="00A8467B">
        <w:rPr>
          <w:rFonts w:cs="Times New Roman"/>
        </w:rPr>
        <w:lastRenderedPageBreak/>
        <w:t xml:space="preserve">implement two risk-targeted counterfactuals: (i) a continuous variant in which the policy shift is </w:t>
      </w:r>
      <w:r w:rsidRPr="00A8467B">
        <w:rPr>
          <w:rFonts w:cs="Times New Roman"/>
          <w:i/>
          <w:iCs/>
        </w:rPr>
        <w:t>δi</w:t>
      </w:r>
      <w:r w:rsidRPr="00A8467B">
        <w:rPr>
          <w:rFonts w:cs="Times New Roman"/>
        </w:rPr>
        <w:t xml:space="preserve"> = Δ</w:t>
      </w:r>
      <w:r w:rsidRPr="00A8467B">
        <w:rPr>
          <w:rFonts w:ascii="Cambria Math" w:hAnsi="Cambria Math" w:cs="Cambria Math"/>
        </w:rPr>
        <w:t>𝛼</w:t>
      </w:r>
      <w:r w:rsidRPr="00A8467B">
        <w:rPr>
          <w:rFonts w:cs="Times New Roman"/>
        </w:rPr>
        <w:t xml:space="preserve"> · </w:t>
      </w:r>
      <w:r w:rsidRPr="00A8467B">
        <w:rPr>
          <w:rFonts w:cs="Times New Roman"/>
          <w:i/>
          <w:iCs/>
        </w:rPr>
        <w:t>g</w:t>
      </w:r>
      <w:r w:rsidRPr="00A8467B">
        <w:rPr>
          <w:rFonts w:cs="Times New Roman"/>
        </w:rPr>
        <w:t>(</w:t>
      </w:r>
      <w:r w:rsidRPr="00A8467B">
        <w:rPr>
          <w:rFonts w:cs="Times New Roman"/>
          <w:i/>
          <w:iCs/>
        </w:rPr>
        <w:t>ri</w:t>
      </w:r>
      <w:r w:rsidRPr="00A8467B">
        <w:rPr>
          <w:rFonts w:cs="Times New Roman"/>
        </w:rPr>
        <w:t xml:space="preserve">) with </w:t>
      </w:r>
      <w:r w:rsidRPr="00A8467B">
        <w:rPr>
          <w:rFonts w:cs="Times New Roman"/>
          <w:i/>
          <w:iCs/>
        </w:rPr>
        <w:t>g</w:t>
      </w:r>
      <w:r w:rsidRPr="00A8467B">
        <w:rPr>
          <w:rFonts w:cs="Times New Roman"/>
        </w:rPr>
        <w:t>(</w:t>
      </w:r>
      <w:r w:rsidRPr="00A8467B">
        <w:rPr>
          <w:rFonts w:cs="Times New Roman"/>
          <w:i/>
          <w:iCs/>
        </w:rPr>
        <w:t>ri</w:t>
      </w:r>
      <w:r w:rsidRPr="00A8467B">
        <w:rPr>
          <w:rFonts w:cs="Times New Roman"/>
        </w:rPr>
        <w:t>) = exp(−</w:t>
      </w:r>
      <w:r w:rsidRPr="00A8467B">
        <w:rPr>
          <w:rFonts w:cs="Times New Roman"/>
          <w:i/>
          <w:iCs/>
        </w:rPr>
        <w:t>κ</w:t>
      </w:r>
      <w:r w:rsidRPr="00A8467B">
        <w:rPr>
          <w:rFonts w:cs="Times New Roman"/>
        </w:rPr>
        <w:t xml:space="preserve"> · </w:t>
      </w:r>
      <w:r w:rsidRPr="00A8467B">
        <w:rPr>
          <w:rFonts w:cs="Times New Roman"/>
          <w:i/>
          <w:iCs/>
        </w:rPr>
        <w:t>ri</w:t>
      </w:r>
      <w:r w:rsidRPr="00A8467B">
        <w:rPr>
          <w:rFonts w:cs="Times New Roman"/>
        </w:rPr>
        <w:t>), normalized so the cohort-average shift equals Δ</w:t>
      </w:r>
      <w:r w:rsidRPr="00A8467B">
        <w:rPr>
          <w:rFonts w:ascii="Cambria Math" w:hAnsi="Cambria Math" w:cs="Cambria Math"/>
        </w:rPr>
        <w:t>𝛼</w:t>
      </w:r>
      <w:r w:rsidRPr="00A8467B">
        <w:rPr>
          <w:rFonts w:cs="Times New Roman"/>
        </w:rPr>
        <w:t>; and (ii) a ranked-release variant that releases the lowest-</w:t>
      </w:r>
      <w:r w:rsidRPr="00A8467B">
        <w:rPr>
          <w:rFonts w:cs="Times New Roman"/>
          <w:i/>
          <w:iCs/>
        </w:rPr>
        <w:t>r</w:t>
      </w:r>
      <w:r w:rsidRPr="00A8467B">
        <w:rPr>
          <w:rFonts w:cs="Times New Roman"/>
        </w:rPr>
        <w:t xml:space="preserve"> individuals among those who would be incarcerated under baseline, matching the count of marginal-released under the risk-neutral policy at the same Δ</w:t>
      </w:r>
      <w:r w:rsidRPr="00A8467B">
        <w:rPr>
          <w:rFonts w:ascii="Cambria Math" w:hAnsi="Cambria Math" w:cs="Cambria Math"/>
        </w:rPr>
        <w:t>𝛼</w:t>
      </w:r>
      <w:r w:rsidRPr="00A8467B">
        <w:rPr>
          <w:rFonts w:cs="Times New Roman"/>
        </w:rPr>
        <w:t>. At Δ</w:t>
      </w:r>
      <w:r w:rsidRPr="00A8467B">
        <w:rPr>
          <w:rFonts w:ascii="Cambria Math" w:hAnsi="Cambria Math" w:cs="Cambria Math"/>
        </w:rPr>
        <w:t>𝛼</w:t>
      </w:r>
      <w:r w:rsidRPr="00A8467B">
        <w:rPr>
          <w:rFonts w:cs="Times New Roman"/>
        </w:rPr>
        <w:t xml:space="preserve"> = 0.5, mean avertogenic deaths fall from 35.5 (risk-neutral) to 28.1 (continuous targeting, </w:t>
      </w:r>
      <w:r w:rsidRPr="00A8467B">
        <w:rPr>
          <w:rFonts w:cs="Times New Roman"/>
          <w:i/>
          <w:iCs/>
        </w:rPr>
        <w:t>κ</w:t>
      </w:r>
      <w:r w:rsidRPr="00A8467B">
        <w:rPr>
          <w:rFonts w:cs="Times New Roman"/>
        </w:rPr>
        <w:t xml:space="preserve"> = 2.5) to 13.6 (ranked release). The pattern is monotonic with respect to </w:t>
      </w:r>
      <w:r w:rsidR="007C6233">
        <w:rPr>
          <w:rFonts w:cs="Times New Roman"/>
        </w:rPr>
        <w:t xml:space="preserve">(assumed accurate) </w:t>
      </w:r>
      <w:r w:rsidRPr="00A8467B">
        <w:rPr>
          <w:rFonts w:cs="Times New Roman"/>
        </w:rPr>
        <w:t>targeting strength. The avertogenic effect persists, but more aggressive low-risk targeting attenuates it because the marginally released cohort is progressively drawn from lower-risk subpopulations than under risk-neutral release.</w:t>
      </w:r>
    </w:p>
    <w:p w14:paraId="382CF5D6" w14:textId="77777777" w:rsidR="0075428F" w:rsidRPr="00A8467B" w:rsidRDefault="00000000" w:rsidP="00A8467B">
      <w:pPr>
        <w:pStyle w:val="Heading2"/>
      </w:pPr>
      <w:bookmarkStart w:id="3" w:name="s1.3-force-funnel-test-λ_viol-0"/>
      <w:bookmarkEnd w:id="2"/>
      <w:r w:rsidRPr="00A8467B">
        <w:t>S1.3 Force-funnel test: λ_viol = 0</w:t>
      </w:r>
    </w:p>
    <w:p w14:paraId="2FDFF07B" w14:textId="77777777" w:rsidR="0075428F" w:rsidRPr="00A8467B" w:rsidRDefault="00000000">
      <w:pPr>
        <w:rPr>
          <w:rFonts w:cs="Times New Roman"/>
        </w:rPr>
      </w:pPr>
      <w:r w:rsidRPr="00A8467B">
        <w:rPr>
          <w:rFonts w:cs="Times New Roman"/>
        </w:rPr>
        <w:t xml:space="preserve">We test whether the avertogenic effect depends on the assumption that per-encounter lethality is coupled to individual risk by setting </w:t>
      </w:r>
      <w:r w:rsidRPr="00A8467B">
        <w:rPr>
          <w:rFonts w:cs="Times New Roman"/>
          <w:i/>
          <w:iCs/>
        </w:rPr>
        <w:t>λviol</w:t>
      </w:r>
      <w:r w:rsidRPr="00A8467B">
        <w:rPr>
          <w:rFonts w:cs="Times New Roman"/>
        </w:rPr>
        <w:t xml:space="preserve"> = 0. Under this specification, per-encounter lethality is constant at </w:t>
      </w:r>
      <w:r w:rsidRPr="00A8467B">
        <w:rPr>
          <w:rFonts w:cs="Times New Roman"/>
          <w:i/>
          <w:iCs/>
        </w:rPr>
        <w:t>λany</w:t>
      </w:r>
      <w:r w:rsidRPr="00A8467B">
        <w:rPr>
          <w:rFonts w:cs="Times New Roman"/>
        </w:rPr>
        <w:t xml:space="preserve"> = 5 × 10−5 regardless of suspect characteristics, and the avertogenic mechanism operates entirely through differential time at risk and the elevated-encounter </w:t>
      </w:r>
      <w:r w:rsidRPr="00A8467B">
        <w:rPr>
          <w:rFonts w:cs="Times New Roman"/>
          <w:i/>
          <w:iCs/>
        </w:rPr>
        <w:t>V</w:t>
      </w:r>
      <w:r w:rsidRPr="00A8467B">
        <w:rPr>
          <w:rFonts w:cs="Times New Roman"/>
        </w:rPr>
        <w:t xml:space="preserve"> mechanism. At Δ</w:t>
      </w:r>
      <w:r w:rsidRPr="00A8467B">
        <w:rPr>
          <w:rFonts w:ascii="Cambria Math" w:hAnsi="Cambria Math" w:cs="Cambria Math"/>
        </w:rPr>
        <w:t>𝛼</w:t>
      </w:r>
      <w:r w:rsidRPr="00A8467B">
        <w:rPr>
          <w:rFonts w:cs="Times New Roman"/>
        </w:rPr>
        <w:t xml:space="preserve"> = 0.5, mean avertogenic deaths fall from 35.5 (central </w:t>
      </w:r>
      <w:r w:rsidRPr="00A8467B">
        <w:rPr>
          <w:rFonts w:cs="Times New Roman"/>
          <w:i/>
          <w:iCs/>
        </w:rPr>
        <w:t>λviol</w:t>
      </w:r>
      <w:r w:rsidRPr="00A8467B">
        <w:rPr>
          <w:rFonts w:cs="Times New Roman"/>
        </w:rPr>
        <w:t xml:space="preserve"> = 4 × 10−4) to 18.1 (</w:t>
      </w:r>
      <w:r w:rsidRPr="00A8467B">
        <w:rPr>
          <w:rFonts w:cs="Times New Roman"/>
          <w:i/>
          <w:iCs/>
        </w:rPr>
        <w:t>λviol</w:t>
      </w:r>
      <w:r w:rsidRPr="00A8467B">
        <w:rPr>
          <w:rFonts w:cs="Times New Roman"/>
        </w:rPr>
        <w:t xml:space="preserve"> = 1 × 10−4) to 11.9 (</w:t>
      </w:r>
      <w:r w:rsidRPr="00A8467B">
        <w:rPr>
          <w:rFonts w:cs="Times New Roman"/>
          <w:i/>
          <w:iCs/>
        </w:rPr>
        <w:t>λviol</w:t>
      </w:r>
      <w:r w:rsidRPr="00A8467B">
        <w:rPr>
          <w:rFonts w:cs="Times New Roman"/>
        </w:rPr>
        <w:t xml:space="preserve"> = 0). The effect persists even with no individual-risk lethality coupling, indicating that the encounter-rate channel alone supports the qualitative claim.</w:t>
      </w:r>
    </w:p>
    <w:p w14:paraId="3D195B14" w14:textId="77777777" w:rsidR="0075428F" w:rsidRPr="00A8467B" w:rsidRDefault="00000000" w:rsidP="00A8467B">
      <w:pPr>
        <w:pStyle w:val="Heading2"/>
      </w:pPr>
      <w:bookmarkStart w:id="4" w:name="X988ee3b3ed1e452628c0bf5783bfe5c23df8556"/>
      <w:bookmarkEnd w:id="3"/>
      <w:r w:rsidRPr="00A8467B">
        <w:t>S1.4 Institutional lethality and concurrent reform</w:t>
      </w:r>
    </w:p>
    <w:p w14:paraId="10C7D12E" w14:textId="77777777" w:rsidR="0075428F" w:rsidRPr="00A8467B" w:rsidRDefault="00000000">
      <w:pPr>
        <w:rPr>
          <w:rFonts w:cs="Times New Roman"/>
        </w:rPr>
      </w:pPr>
      <w:r w:rsidRPr="00A8467B">
        <w:rPr>
          <w:rFonts w:cs="Times New Roman"/>
        </w:rPr>
        <w:t xml:space="preserve">We add an institutional per-encounter lethality term </w:t>
      </w:r>
      <w:r w:rsidRPr="00A8467B">
        <w:rPr>
          <w:rFonts w:cs="Times New Roman"/>
          <w:i/>
          <w:iCs/>
        </w:rPr>
        <w:t>λinst</w:t>
      </w:r>
      <w:r w:rsidRPr="00A8467B">
        <w:rPr>
          <w:rFonts w:cs="Times New Roman"/>
        </w:rPr>
        <w:t xml:space="preserve"> that enters lethality additively,</w:t>
      </w:r>
    </w:p>
    <w:p w14:paraId="5CB08D0D" w14:textId="77777777" w:rsidR="0075428F" w:rsidRPr="00A8467B" w:rsidRDefault="00000000">
      <w:pPr>
        <w:pStyle w:val="BodyText"/>
        <w:rPr>
          <w:rFonts w:cs="Times New Roman"/>
        </w:rPr>
      </w:pPr>
      <m:oMathPara>
        <m:oMathParaPr>
          <m:jc m:val="center"/>
        </m:oMathParaPr>
        <m:oMath>
          <m:sSub>
            <m:sSubPr>
              <m:ctrlPr>
                <w:rPr>
                  <w:rFonts w:ascii="Cambria Math" w:hAnsi="Cambria Math" w:cs="Times New Roman"/>
                </w:rPr>
              </m:ctrlPr>
            </m:sSubPr>
            <m:e>
              <m:r>
                <w:rPr>
                  <w:rFonts w:ascii="Cambria Math" w:hAnsi="Cambria Math" w:cs="Times New Roman"/>
                </w:rPr>
                <m:t>λ</m:t>
              </m:r>
            </m:e>
            <m:sub>
              <m:r>
                <w:rPr>
                  <w:rFonts w:ascii="Cambria Math" w:hAnsi="Cambria Math" w:cs="Times New Roman"/>
                </w:rPr>
                <m:t>i</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λ</m:t>
              </m:r>
            </m:e>
            <m:sub>
              <m:r>
                <m:rPr>
                  <m:nor/>
                </m:rPr>
                <w:rPr>
                  <w:rFonts w:cs="Times New Roman"/>
                </w:rPr>
                <m:t>any</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λ</m:t>
              </m:r>
            </m:e>
            <m:sub>
              <m:r>
                <m:rPr>
                  <m:nor/>
                </m:rPr>
                <w:rPr>
                  <w:rFonts w:cs="Times New Roman"/>
                </w:rPr>
                <m:t>viol</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i</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λ</m:t>
              </m:r>
            </m:e>
            <m:sub>
              <m:r>
                <m:rPr>
                  <m:nor/>
                </m:rPr>
                <w:rPr>
                  <w:rFonts w:cs="Times New Roman"/>
                </w:rPr>
                <m:t>inst</m:t>
              </m:r>
            </m:sub>
          </m:sSub>
          <m:r>
            <m:rPr>
              <m:sty m:val="p"/>
            </m:rPr>
            <w:rPr>
              <w:rFonts w:ascii="Cambria Math" w:hAnsi="Cambria Math" w:cs="Times New Roman"/>
            </w:rPr>
            <m:t>,</m:t>
          </m:r>
        </m:oMath>
      </m:oMathPara>
    </w:p>
    <w:p w14:paraId="7C202687" w14:textId="2DE5DAA8" w:rsidR="0075428F" w:rsidRPr="00A8467B" w:rsidRDefault="00000000">
      <w:pPr>
        <w:rPr>
          <w:rFonts w:cs="Times New Roman"/>
        </w:rPr>
      </w:pPr>
      <w:r w:rsidRPr="00A8467B">
        <w:rPr>
          <w:rFonts w:cs="Times New Roman"/>
        </w:rPr>
        <w:t>constant across individuals, capturing contributions from force-toolkit availability, de-escalation training, and tactical posture</w:t>
      </w:r>
      <w:r w:rsidR="00DF14F3">
        <w:rPr>
          <w:rFonts w:cs="Times New Roman"/>
        </w:rPr>
        <w:t xml:space="preserve"> </w:t>
      </w:r>
      <w:r w:rsidR="00DF14F3">
        <w:rPr>
          <w:rFonts w:cs="Times New Roman"/>
        </w:rPr>
        <w:fldChar w:fldCharType="begin"/>
      </w:r>
      <w:r w:rsidR="00DF14F3">
        <w:rPr>
          <w:rFonts w:cs="Times New Roman"/>
        </w:rPr>
        <w:instrText xml:space="preserve"> ADDIN ZOTERO_ITEM CSL_CITATION {"citationID":"7xkwJ2Qt","properties":{"unsorted":false,"formattedCitation":"(Neil et al., 2025; Stoughton et al., 2021)","plainCitation":"(Neil et al., 2025; Stoughton et al., 2021)","noteIndex":0},"citationItems":[{"id":18279,"uris":["http://zotero.org/users/5075921/items/V9XBNWFM"],"itemData":{"id":18279,"type":"article-journal","abstract":"The rate of fatal shootings by officers is highly variable across American police agencies, yet the reasons for this variability remain unclear. This study uses Bayesian multilevel models to partition the variation in fatal police shooting rates across 2,727 police agencies between 2015 and 2020 into 3 sources of variability: randomness, differences in social context, and outlier agencies that have exceptionally higher or lower rates than is predicted by observed factors. The results indicate that variation in police shooting rates across agencies is far from random and is primarily associated with differences in social contexts, especially differences in crime rates, 911 call rates, officers per capita and the prevalence of guns. However, even after accounting for extensive differences in contexts, several police agencies consistently have lower or higher police shooting rates than predicted.","citation-key":"neilSourcesOrganizationalVariability2025","container-title":"Nature Human Behaviour","DOI":"10.1038/s41562-025-02169-7","ISSN":"2397-3374","issue":"6","journalAbbreviation":"Nat Hum Behav","language":"en","license":"2025 The Author(s), under exclusive licence to Springer Nature Limited","page":"1113-1121","publisher":"Nature Publishing Group","source":"www.nature.com","title":"Sources of organizational variability in fatal police shootings in the USA","volume":"9","author":[{"family":"Neil","given":"Roland"},{"family":"MacDonald","given":"John M."},{"family":"Braga","given":"Anthony A."}],"issued":{"date-parts":[["2025",6]]}}},{"id":616,"uris":["http://zotero.org/users/5075921/items/SQ5Z6DD6"],"itemData":{"id":616,"type":"book","abstract":"Provides a critical understanding and evaluation of police tactics and the use of forcePolice violence has historically played an important role in shaping public attitudes toward the government. Community trust and confidence in policing have been undermined by the perception that officers are using force unnecessarily, too frequently, or in problematic ways. The use of force, or harm suffered by a community as a result of such force, can also serve as a flashpoint, a spark that ignites long-simmering community hostility.In Evaluating Police Uses of Force, legal scholar Seth W. Stoughton, former deputy chief of police Jeffrey J. Noble, and distinguished criminologist Geoffrey P. Alpert explore a critical but largely overlooked facet of the difficult and controversial issues of police violence and accountability: how does society evaluate use-of-force incidents? By leading readers through answers to this question from four different perspectives—constitutional law, state law, administrative regulation, and community expectations—and by providing critical information about police tactics and force options that are implicated within those frameworks, Evaluating Police Uses of Force helps situate readers within broader conversations about governmental accountability, the role that police play in modern society, and how officers should go about fulfilling their duties.","citation-key":"stoughtonEvaluatingPoliceUses2021","ISBN":"978-1-4798-1016-1","language":"en","note":"Google-Books-ID: lWwDEAAAQBAJ","number-of-pages":"351","publisher":"NYU Press","publisher-place":"New York City, NY","source":"Google Books","title":"Evaluating Police Uses of Force","author":[{"family":"Stoughton","given":"Seth W."},{"family":"Noble","given":"Jeffrey J."},{"family":"Alpert","given":"Geoffrey P."}],"issued":{"date-parts":[["2021",2,1]]}}}],"schema":"https://github.com/citation-style-language/schema/raw/master/csl-citation.json"} </w:instrText>
      </w:r>
      <w:r w:rsidR="00DF14F3">
        <w:rPr>
          <w:rFonts w:cs="Times New Roman"/>
        </w:rPr>
        <w:fldChar w:fldCharType="separate"/>
      </w:r>
      <w:r w:rsidR="00DF14F3" w:rsidRPr="00DF14F3">
        <w:rPr>
          <w:rFonts w:cs="Times New Roman"/>
        </w:rPr>
        <w:t>(Neil et al., 2025; Stoughton et al., 2021)</w:t>
      </w:r>
      <w:r w:rsidR="00DF14F3">
        <w:rPr>
          <w:rFonts w:cs="Times New Roman"/>
        </w:rPr>
        <w:fldChar w:fldCharType="end"/>
      </w:r>
      <w:r w:rsidRPr="00A8467B">
        <w:rPr>
          <w:rFonts w:cs="Times New Roman"/>
        </w:rPr>
        <w:t xml:space="preserve">; it may differ </w:t>
      </w:r>
      <w:r w:rsidRPr="00A8467B">
        <w:rPr>
          <w:rFonts w:cs="Times New Roman"/>
        </w:rPr>
        <w:lastRenderedPageBreak/>
        <w:t xml:space="preserve">between baseline and policy regimes. We anchor </w:t>
      </w:r>
      <w:r w:rsidRPr="00A8467B">
        <w:rPr>
          <w:rFonts w:cs="Times New Roman"/>
          <w:i/>
          <w:iCs/>
        </w:rPr>
        <w:t>λinst,base</w:t>
      </w:r>
      <w:r w:rsidRPr="00A8467B">
        <w:rPr>
          <w:rFonts w:cs="Times New Roman"/>
        </w:rPr>
        <w:t xml:space="preserve"> = 7.5 × 10−6, exactly 15% of </w:t>
      </w:r>
      <w:r w:rsidRPr="00A8467B">
        <w:rPr>
          <w:rFonts w:cs="Times New Roman"/>
          <w:i/>
          <w:iCs/>
        </w:rPr>
        <w:t>λany</w:t>
      </w:r>
      <w:r w:rsidRPr="00A8467B">
        <w:rPr>
          <w:rFonts w:cs="Times New Roman"/>
        </w:rPr>
        <w:t xml:space="preserve"> = 5 × 10−5. The choice of fraction is exploratory rather than empirically derived: institutional contributions to per-encounter lethality cannot be cleanly separated from suspect and situational factors in available data. Under a concurrent reform scenario (e.g., revised force-toolkit availability, de-escalation training, tactical posture) in which </w:t>
      </w:r>
      <w:r w:rsidRPr="00A8467B">
        <w:rPr>
          <w:rFonts w:cs="Times New Roman"/>
          <w:i/>
          <w:iCs/>
        </w:rPr>
        <w:t>λinst</w:t>
      </w:r>
      <w:r w:rsidRPr="00A8467B">
        <w:rPr>
          <w:rFonts w:cs="Times New Roman"/>
        </w:rPr>
        <w:t xml:space="preserve"> falls by 30% under the policy regime, institutional reform offsets part of the avertogenic effect: at Δ</w:t>
      </w:r>
      <w:r w:rsidRPr="00A8467B">
        <w:rPr>
          <w:rFonts w:ascii="Cambria Math" w:hAnsi="Cambria Math" w:cs="Cambria Math"/>
        </w:rPr>
        <w:t>𝛼</w:t>
      </w:r>
      <w:r w:rsidRPr="00A8467B">
        <w:rPr>
          <w:rFonts w:cs="Times New Roman"/>
        </w:rPr>
        <w:t xml:space="preserve"> = 0.5 the net avertogenic effect falls from 35.5 to 20.2 deaths over the cohort horizon. Under a lower-offset scenario (15% reduction in </w:t>
      </w:r>
      <w:r w:rsidRPr="00A8467B">
        <w:rPr>
          <w:rFonts w:cs="Times New Roman"/>
          <w:i/>
          <w:iCs/>
        </w:rPr>
        <w:t>λinst</w:t>
      </w:r>
      <w:r w:rsidRPr="00A8467B">
        <w:rPr>
          <w:rFonts w:cs="Times New Roman"/>
        </w:rPr>
        <w:t>), the net effect at Δ</w:t>
      </w:r>
      <w:r w:rsidRPr="00A8467B">
        <w:rPr>
          <w:rFonts w:ascii="Cambria Math" w:hAnsi="Cambria Math" w:cs="Cambria Math"/>
        </w:rPr>
        <w:t>𝛼</w:t>
      </w:r>
      <w:r w:rsidRPr="00A8467B">
        <w:rPr>
          <w:rFonts w:cs="Times New Roman"/>
        </w:rPr>
        <w:t xml:space="preserve"> = 0.5 is 28.6. Institutional reform partially offsets the avertogenic effect of decarceration but does not reverse it under defensible parameter values.</w:t>
      </w:r>
    </w:p>
    <w:p w14:paraId="7872FE14" w14:textId="77777777" w:rsidR="0075428F" w:rsidRPr="00A8467B" w:rsidRDefault="00000000" w:rsidP="00A8467B">
      <w:pPr>
        <w:pStyle w:val="Heading2"/>
      </w:pPr>
      <w:bookmarkStart w:id="5" w:name="X820e5f73c222266de2af8ce94a683b8199babf5"/>
      <w:bookmarkEnd w:id="4"/>
      <w:r w:rsidRPr="00A8467B">
        <w:t>S1.5 Decomposed behavioral mechanisms (φ_displ, φ_crim, φ_surv)</w:t>
      </w:r>
    </w:p>
    <w:p w14:paraId="6E8A3AFA" w14:textId="77777777" w:rsidR="0075428F" w:rsidRPr="00A8467B" w:rsidRDefault="00000000">
      <w:pPr>
        <w:rPr>
          <w:rFonts w:cs="Times New Roman"/>
        </w:rPr>
      </w:pPr>
      <w:r w:rsidRPr="00A8467B">
        <w:rPr>
          <w:rFonts w:cs="Times New Roman"/>
        </w:rPr>
        <w:t>The behavioral attenuation parameter ψ aggregates distinct mechanisms that may push in different directions (§3.3.5). We decompose ψ into three mechanistic scalars, each calibrated so that its identity value reproduces the central specification:</w:t>
      </w:r>
    </w:p>
    <w:p w14:paraId="48057072" w14:textId="77777777" w:rsidR="0075428F" w:rsidRPr="00A8467B" w:rsidRDefault="00000000">
      <w:pPr>
        <w:numPr>
          <w:ilvl w:val="0"/>
          <w:numId w:val="11"/>
        </w:numPr>
        <w:rPr>
          <w:rFonts w:cs="Times New Roman"/>
        </w:rPr>
      </w:pPr>
      <w:r w:rsidRPr="00A8467B">
        <w:rPr>
          <w:rFonts w:cs="Times New Roman"/>
          <w:i/>
          <w:iCs/>
        </w:rPr>
        <w:t>φdispl</w:t>
      </w:r>
      <w:r w:rsidRPr="00A8467B">
        <w:rPr>
          <w:rFonts w:cs="Times New Roman"/>
        </w:rPr>
        <w:t xml:space="preserve"> </w:t>
      </w:r>
      <w:r w:rsidRPr="00A8467B">
        <w:rPr>
          <w:rFonts w:ascii="Cambria Math" w:hAnsi="Cambria Math" w:cs="Cambria Math"/>
        </w:rPr>
        <w:t>∈</w:t>
      </w:r>
      <w:r w:rsidRPr="00A8467B">
        <w:rPr>
          <w:rFonts w:cs="Times New Roman"/>
        </w:rPr>
        <w:t xml:space="preserve"> [0, 1] (displacement): the fraction of the marginal-released cohort’s encounters that occur in the community rather than being absorbed by other actors. </w:t>
      </w:r>
      <w:r w:rsidRPr="00A8467B">
        <w:rPr>
          <w:rFonts w:cs="Times New Roman"/>
          <w:i/>
          <w:iCs/>
        </w:rPr>
        <w:t>φdispl</w:t>
      </w:r>
      <w:r w:rsidRPr="00A8467B">
        <w:rPr>
          <w:rFonts w:cs="Times New Roman"/>
        </w:rPr>
        <w:t xml:space="preserve"> = 1 (identity) means no displacement; </w:t>
      </w:r>
      <w:r w:rsidRPr="00A8467B">
        <w:rPr>
          <w:rFonts w:cs="Times New Roman"/>
          <w:i/>
          <w:iCs/>
        </w:rPr>
        <w:t>φdispl</w:t>
      </w:r>
      <w:r w:rsidRPr="00A8467B">
        <w:rPr>
          <w:rFonts w:cs="Times New Roman"/>
        </w:rPr>
        <w:t xml:space="preserve"> = 0.85 corresponds to 15% displacement; </w:t>
      </w:r>
      <w:r w:rsidRPr="00A8467B">
        <w:rPr>
          <w:rFonts w:cs="Times New Roman"/>
          <w:i/>
          <w:iCs/>
        </w:rPr>
        <w:t>φdispl</w:t>
      </w:r>
      <w:r w:rsidRPr="00A8467B">
        <w:rPr>
          <w:rFonts w:cs="Times New Roman"/>
        </w:rPr>
        <w:t xml:space="preserve"> = 0.75 to 25%.</w:t>
      </w:r>
    </w:p>
    <w:p w14:paraId="13B7A759" w14:textId="77777777" w:rsidR="0075428F" w:rsidRPr="00A8467B" w:rsidRDefault="00000000">
      <w:pPr>
        <w:numPr>
          <w:ilvl w:val="0"/>
          <w:numId w:val="11"/>
        </w:numPr>
        <w:rPr>
          <w:rFonts w:cs="Times New Roman"/>
        </w:rPr>
      </w:pPr>
      <w:r w:rsidRPr="00A8467B">
        <w:rPr>
          <w:rFonts w:cs="Times New Roman"/>
          <w:i/>
          <w:iCs/>
        </w:rPr>
        <w:t>φcrim</w:t>
      </w:r>
      <w:r w:rsidRPr="00A8467B">
        <w:rPr>
          <w:rFonts w:cs="Times New Roman"/>
        </w:rPr>
        <w:t xml:space="preserve"> ≥ 0 (criminogenic amplification): the proportional increase in </w:t>
      </w:r>
      <w:r w:rsidRPr="00A8467B">
        <w:rPr>
          <w:rFonts w:cs="Times New Roman"/>
          <w:i/>
          <w:iCs/>
        </w:rPr>
        <w:t>rleth</w:t>
      </w:r>
      <w:r w:rsidRPr="00A8467B">
        <w:rPr>
          <w:rFonts w:cs="Times New Roman"/>
        </w:rPr>
        <w:t xml:space="preserve"> for currently-incarcerated individuals attributable to incarceration itself. </w:t>
      </w:r>
      <w:r w:rsidRPr="00A8467B">
        <w:rPr>
          <w:rFonts w:cs="Times New Roman"/>
          <w:i/>
          <w:iCs/>
        </w:rPr>
        <w:t>φcrim</w:t>
      </w:r>
      <w:r w:rsidRPr="00A8467B">
        <w:rPr>
          <w:rFonts w:cs="Times New Roman"/>
        </w:rPr>
        <w:t xml:space="preserve"> = 0 (identity) means no amplification; </w:t>
      </w:r>
      <w:r w:rsidRPr="00A8467B">
        <w:rPr>
          <w:rFonts w:cs="Times New Roman"/>
          <w:i/>
          <w:iCs/>
        </w:rPr>
        <w:t>φcrim</w:t>
      </w:r>
      <w:r w:rsidRPr="00A8467B">
        <w:rPr>
          <w:rFonts w:cs="Times New Roman"/>
        </w:rPr>
        <w:t xml:space="preserve"> = 0.30 means </w:t>
      </w:r>
      <w:r w:rsidRPr="00A8467B">
        <w:rPr>
          <w:rFonts w:cs="Times New Roman"/>
          <w:i/>
          <w:iCs/>
        </w:rPr>
        <w:t>rleth</w:t>
      </w:r>
      <w:r w:rsidRPr="00A8467B">
        <w:rPr>
          <w:rFonts w:cs="Times New Roman"/>
        </w:rPr>
        <w:t xml:space="preserve"> is 30% higher for that subset.</w:t>
      </w:r>
    </w:p>
    <w:p w14:paraId="079BC452" w14:textId="5128E279" w:rsidR="0075428F" w:rsidRPr="00A8467B" w:rsidRDefault="00000000">
      <w:pPr>
        <w:numPr>
          <w:ilvl w:val="0"/>
          <w:numId w:val="11"/>
        </w:numPr>
        <w:rPr>
          <w:rFonts w:cs="Times New Roman"/>
        </w:rPr>
      </w:pPr>
      <w:r w:rsidRPr="00A8467B">
        <w:rPr>
          <w:rFonts w:cs="Times New Roman"/>
          <w:i/>
          <w:iCs/>
        </w:rPr>
        <w:t>φsurv</w:t>
      </w:r>
      <w:r w:rsidRPr="00A8467B">
        <w:rPr>
          <w:rFonts w:cs="Times New Roman"/>
        </w:rPr>
        <w:t xml:space="preserve"> ≥ 0 (surveillance-driven encounter amplification): the proportional increase in encounter intensity for the marginal-released cohort under the policy regime relative to </w:t>
      </w:r>
      <w:r w:rsidRPr="00A8467B">
        <w:rPr>
          <w:rFonts w:cs="Times New Roman"/>
        </w:rPr>
        <w:lastRenderedPageBreak/>
        <w:t xml:space="preserve">baseline. </w:t>
      </w:r>
      <w:r w:rsidRPr="00A8467B">
        <w:rPr>
          <w:rFonts w:cs="Times New Roman"/>
          <w:i/>
          <w:iCs/>
        </w:rPr>
        <w:t>φsurv</w:t>
      </w:r>
      <w:r w:rsidRPr="00A8467B">
        <w:rPr>
          <w:rFonts w:cs="Times New Roman"/>
        </w:rPr>
        <w:t xml:space="preserve"> = 0 (identity) means no amplification; </w:t>
      </w:r>
      <w:r w:rsidRPr="00A8467B">
        <w:rPr>
          <w:rFonts w:cs="Times New Roman"/>
          <w:i/>
          <w:iCs/>
        </w:rPr>
        <w:t>φsurv</w:t>
      </w:r>
      <w:r w:rsidRPr="00A8467B">
        <w:rPr>
          <w:rFonts w:cs="Times New Roman"/>
        </w:rPr>
        <w:t xml:space="preserve"> = 0.30 corresponds to 30%; </w:t>
      </w:r>
      <w:r w:rsidRPr="00A8467B">
        <w:rPr>
          <w:rFonts w:cs="Times New Roman"/>
          <w:i/>
          <w:iCs/>
        </w:rPr>
        <w:t>φsurv</w:t>
      </w:r>
      <w:r w:rsidRPr="00A8467B">
        <w:rPr>
          <w:rFonts w:cs="Times New Roman"/>
        </w:rPr>
        <w:t xml:space="preserve"> = 0.50 to 50%.</w:t>
      </w:r>
    </w:p>
    <w:p w14:paraId="7DC74019" w14:textId="50E1A03D" w:rsidR="0075428F" w:rsidRPr="00A8467B" w:rsidRDefault="00000000">
      <w:pPr>
        <w:rPr>
          <w:rFonts w:cs="Times New Roman"/>
        </w:rPr>
      </w:pPr>
      <w:r w:rsidRPr="00A8467B">
        <w:rPr>
          <w:rFonts w:cs="Times New Roman"/>
        </w:rPr>
        <w:t>The central specification (</w:t>
      </w:r>
      <w:r w:rsidRPr="00A8467B">
        <w:rPr>
          <w:rFonts w:cs="Times New Roman"/>
          <w:i/>
          <w:iCs/>
        </w:rPr>
        <w:t>φdispl</w:t>
      </w:r>
      <w:r w:rsidRPr="00A8467B">
        <w:rPr>
          <w:rFonts w:cs="Times New Roman"/>
        </w:rPr>
        <w:t xml:space="preserve"> = 1, </w:t>
      </w:r>
      <w:r w:rsidRPr="00A8467B">
        <w:rPr>
          <w:rFonts w:cs="Times New Roman"/>
          <w:i/>
          <w:iCs/>
        </w:rPr>
        <w:t>φcrim</w:t>
      </w:r>
      <w:r w:rsidRPr="00A8467B">
        <w:rPr>
          <w:rFonts w:cs="Times New Roman"/>
        </w:rPr>
        <w:t xml:space="preserve"> = 0, </w:t>
      </w:r>
      <w:r w:rsidRPr="00A8467B">
        <w:rPr>
          <w:rFonts w:cs="Times New Roman"/>
          <w:i/>
          <w:iCs/>
        </w:rPr>
        <w:t>φsurv</w:t>
      </w:r>
      <w:r w:rsidRPr="00A8467B">
        <w:rPr>
          <w:rFonts w:cs="Times New Roman"/>
        </w:rPr>
        <w:t xml:space="preserve"> = 0) reproduces the primary results. Activating each mechanism individually at Δ</w:t>
      </w:r>
      <w:r w:rsidRPr="00A8467B">
        <w:rPr>
          <w:rFonts w:ascii="Cambria Math" w:hAnsi="Cambria Math" w:cs="Cambria Math"/>
        </w:rPr>
        <w:t>𝛼</w:t>
      </w:r>
      <w:r w:rsidRPr="00A8467B">
        <w:rPr>
          <w:rFonts w:cs="Times New Roman"/>
        </w:rPr>
        <w:t xml:space="preserve"> = 0.5 and otherwise central parameters yields, relative to the central 35.5 expected deaths: </w:t>
      </w:r>
      <w:r w:rsidRPr="00A8467B">
        <w:rPr>
          <w:rFonts w:cs="Times New Roman"/>
          <w:i/>
          <w:iCs/>
        </w:rPr>
        <w:t>φdispl</w:t>
      </w:r>
      <w:r w:rsidRPr="00A8467B">
        <w:rPr>
          <w:rFonts w:cs="Times New Roman"/>
        </w:rPr>
        <w:t xml:space="preserve"> = 0.85 → 15.1; </w:t>
      </w:r>
      <w:r w:rsidRPr="00A8467B">
        <w:rPr>
          <w:rFonts w:cs="Times New Roman"/>
          <w:i/>
          <w:iCs/>
        </w:rPr>
        <w:t>φdispl</w:t>
      </w:r>
      <w:r w:rsidRPr="00A8467B">
        <w:rPr>
          <w:rFonts w:cs="Times New Roman"/>
        </w:rPr>
        <w:t xml:space="preserve"> = 0.75 → 1.4; </w:t>
      </w:r>
      <w:r w:rsidRPr="00A8467B">
        <w:rPr>
          <w:rFonts w:cs="Times New Roman"/>
          <w:i/>
          <w:iCs/>
        </w:rPr>
        <w:t>φcrim</w:t>
      </w:r>
      <w:r w:rsidRPr="00A8467B">
        <w:rPr>
          <w:rFonts w:cs="Times New Roman"/>
        </w:rPr>
        <w:t xml:space="preserve"> = 0.30 → 15.6; </w:t>
      </w:r>
      <w:r w:rsidRPr="00A8467B">
        <w:rPr>
          <w:rFonts w:cs="Times New Roman"/>
          <w:i/>
          <w:iCs/>
        </w:rPr>
        <w:t>φsurv</w:t>
      </w:r>
      <w:r w:rsidRPr="00A8467B">
        <w:rPr>
          <w:rFonts w:cs="Times New Roman"/>
        </w:rPr>
        <w:t xml:space="preserve"> = 0.30 → 76.5; </w:t>
      </w:r>
      <w:r w:rsidRPr="00A8467B">
        <w:rPr>
          <w:rFonts w:cs="Times New Roman"/>
          <w:i/>
          <w:iCs/>
        </w:rPr>
        <w:t>φsurv</w:t>
      </w:r>
      <w:r w:rsidRPr="00A8467B">
        <w:rPr>
          <w:rFonts w:cs="Times New Roman"/>
        </w:rPr>
        <w:t xml:space="preserve"> = 0.50 → 104</w:t>
      </w:r>
      <w:r w:rsidR="00C11304">
        <w:rPr>
          <w:rFonts w:cs="Times New Roman"/>
        </w:rPr>
        <w:t>.1</w:t>
      </w:r>
      <w:r w:rsidRPr="00A8467B">
        <w:rPr>
          <w:rFonts w:cs="Times New Roman"/>
        </w:rPr>
        <w:t xml:space="preserve">. Displacement and </w:t>
      </w:r>
      <w:r w:rsidRPr="00175C26">
        <w:rPr>
          <w:rFonts w:cs="Times New Roman"/>
        </w:rPr>
        <w:t>criminogenic amplification reduce the avertogenic effect</w:t>
      </w:r>
      <w:r w:rsidRPr="00A8467B">
        <w:rPr>
          <w:rFonts w:cs="Times New Roman"/>
        </w:rPr>
        <w:t>; surveillance amplification raises it. Under simultaneous moderate values of all three (</w:t>
      </w:r>
      <w:r w:rsidRPr="00A8467B">
        <w:rPr>
          <w:rFonts w:cs="Times New Roman"/>
          <w:i/>
          <w:iCs/>
        </w:rPr>
        <w:t>φdispl</w:t>
      </w:r>
      <w:r w:rsidRPr="00A8467B">
        <w:rPr>
          <w:rFonts w:cs="Times New Roman"/>
        </w:rPr>
        <w:t xml:space="preserve"> = 0.85, </w:t>
      </w:r>
      <w:r w:rsidRPr="00A8467B">
        <w:rPr>
          <w:rFonts w:cs="Times New Roman"/>
          <w:i/>
          <w:iCs/>
        </w:rPr>
        <w:t>φcrim</w:t>
      </w:r>
      <w:r w:rsidRPr="00A8467B">
        <w:rPr>
          <w:rFonts w:cs="Times New Roman"/>
        </w:rPr>
        <w:t xml:space="preserve"> = 0.30, </w:t>
      </w:r>
      <w:r w:rsidRPr="00A8467B">
        <w:rPr>
          <w:rFonts w:cs="Times New Roman"/>
          <w:i/>
          <w:iCs/>
        </w:rPr>
        <w:t>φsurv</w:t>
      </w:r>
      <w:r w:rsidRPr="00A8467B">
        <w:rPr>
          <w:rFonts w:cs="Times New Roman"/>
        </w:rPr>
        <w:t xml:space="preserve"> = 0.30), the net effect at Δ</w:t>
      </w:r>
      <w:r w:rsidRPr="00A8467B">
        <w:rPr>
          <w:rFonts w:ascii="Cambria Math" w:hAnsi="Cambria Math" w:cs="Cambria Math"/>
        </w:rPr>
        <w:t>𝛼</w:t>
      </w:r>
      <w:r w:rsidRPr="00A8467B">
        <w:rPr>
          <w:rFonts w:cs="Times New Roman"/>
        </w:rPr>
        <w:t xml:space="preserve"> = 0.5 is 29.9, slightly below the central 35.5, indicating partial cancellation. The decomposition shows that the ψ scalar summarizes a balance of mechanisms with opposing directional contributions, none of which dominates at moderate parameter values.</w:t>
      </w:r>
    </w:p>
    <w:p w14:paraId="347664D7" w14:textId="66023ABE" w:rsidR="00A8467B" w:rsidRDefault="00A8467B">
      <w:pPr>
        <w:spacing w:after="200" w:line="276" w:lineRule="auto"/>
        <w:ind w:firstLine="0"/>
        <w:rPr>
          <w:rFonts w:eastAsiaTheme="majorEastAsia" w:cs="Times New Roman"/>
          <w:b/>
          <w:bCs/>
          <w:szCs w:val="28"/>
        </w:rPr>
      </w:pPr>
      <w:bookmarkStart w:id="6" w:name="references"/>
      <w:bookmarkEnd w:id="0"/>
      <w:bookmarkEnd w:id="5"/>
      <w:bookmarkEnd w:id="6"/>
    </w:p>
    <w:sectPr w:rsidR="00A8467B" w:rsidSect="00034616">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DEDFB" w14:textId="77777777" w:rsidR="00503236" w:rsidRDefault="00503236" w:rsidP="00DF14F3">
      <w:pPr>
        <w:spacing w:line="240" w:lineRule="auto"/>
      </w:pPr>
      <w:r>
        <w:separator/>
      </w:r>
    </w:p>
  </w:endnote>
  <w:endnote w:type="continuationSeparator" w:id="0">
    <w:p w14:paraId="391A9C15" w14:textId="77777777" w:rsidR="00503236" w:rsidRDefault="00503236" w:rsidP="00DF14F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6802540"/>
      <w:docPartObj>
        <w:docPartGallery w:val="Page Numbers (Bottom of Page)"/>
        <w:docPartUnique/>
      </w:docPartObj>
    </w:sdtPr>
    <w:sdtEndPr>
      <w:rPr>
        <w:noProof/>
      </w:rPr>
    </w:sdtEndPr>
    <w:sdtContent>
      <w:p w14:paraId="22D3E495" w14:textId="6BD34CBA" w:rsidR="00DF14F3" w:rsidRDefault="00DF14F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A2A6762" w14:textId="77777777" w:rsidR="00DF14F3" w:rsidRDefault="00DF14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710E8D" w14:textId="77777777" w:rsidR="00503236" w:rsidRDefault="00503236" w:rsidP="00DF14F3">
      <w:pPr>
        <w:spacing w:line="240" w:lineRule="auto"/>
      </w:pPr>
      <w:r>
        <w:separator/>
      </w:r>
    </w:p>
  </w:footnote>
  <w:footnote w:type="continuationSeparator" w:id="0">
    <w:p w14:paraId="622BB960" w14:textId="77777777" w:rsidR="00503236" w:rsidRDefault="00503236" w:rsidP="00DF14F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00A990"/>
    <w:multiLevelType w:val="multilevel"/>
    <w:tmpl w:val="AAE480D0"/>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0" w15:restartNumberingAfterBreak="0">
    <w:nsid w:val="0000A991"/>
    <w:multiLevelType w:val="multilevel"/>
    <w:tmpl w:val="AB848AB8"/>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16cid:durableId="12732587">
    <w:abstractNumId w:val="8"/>
  </w:num>
  <w:num w:numId="2" w16cid:durableId="1222836834">
    <w:abstractNumId w:val="6"/>
  </w:num>
  <w:num w:numId="3" w16cid:durableId="964312931">
    <w:abstractNumId w:val="5"/>
  </w:num>
  <w:num w:numId="4" w16cid:durableId="453712037">
    <w:abstractNumId w:val="4"/>
  </w:num>
  <w:num w:numId="5" w16cid:durableId="1821340793">
    <w:abstractNumId w:val="7"/>
  </w:num>
  <w:num w:numId="6" w16cid:durableId="666518016">
    <w:abstractNumId w:val="3"/>
  </w:num>
  <w:num w:numId="7" w16cid:durableId="1738817439">
    <w:abstractNumId w:val="2"/>
  </w:num>
  <w:num w:numId="8" w16cid:durableId="1195460929">
    <w:abstractNumId w:val="1"/>
  </w:num>
  <w:num w:numId="9" w16cid:durableId="1493789991">
    <w:abstractNumId w:val="0"/>
  </w:num>
  <w:num w:numId="10" w16cid:durableId="1615088011">
    <w:abstractNumId w:val="9"/>
  </w:num>
  <w:num w:numId="11" w16cid:durableId="125116395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5415"/>
    <w:rsid w:val="0010443C"/>
    <w:rsid w:val="0015074B"/>
    <w:rsid w:val="00175C26"/>
    <w:rsid w:val="0029639D"/>
    <w:rsid w:val="00326F90"/>
    <w:rsid w:val="00503236"/>
    <w:rsid w:val="006A6EEC"/>
    <w:rsid w:val="0075428F"/>
    <w:rsid w:val="007C6233"/>
    <w:rsid w:val="007F42B2"/>
    <w:rsid w:val="00A8467B"/>
    <w:rsid w:val="00AA1D8D"/>
    <w:rsid w:val="00B47730"/>
    <w:rsid w:val="00C11304"/>
    <w:rsid w:val="00CB0664"/>
    <w:rsid w:val="00DF14F3"/>
    <w:rsid w:val="00F07B9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7F2300"/>
  <w15:docId w15:val="{31DEF337-FBFD-4FC4-B627-49F99085F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480" w:lineRule="auto"/>
      <w:ind w:firstLine="720"/>
    </w:pPr>
    <w:rPr>
      <w:rFonts w:ascii="Times New Roman" w:hAnsi="Times New Roman"/>
      <w:sz w:val="24"/>
    </w:rPr>
  </w:style>
  <w:style w:type="paragraph" w:styleId="Heading1">
    <w:name w:val="heading 1"/>
    <w:basedOn w:val="Normal"/>
    <w:next w:val="Normal"/>
    <w:link w:val="Heading1Char"/>
    <w:uiPriority w:val="9"/>
    <w:qFormat/>
    <w:rsid w:val="00A8467B"/>
    <w:pPr>
      <w:keepNext/>
      <w:keepLines/>
      <w:spacing w:before="240"/>
      <w:ind w:firstLine="0"/>
      <w:outlineLvl w:val="0"/>
    </w:pPr>
    <w:rPr>
      <w:rFonts w:eastAsiaTheme="majorEastAsia" w:cs="Times New Roman"/>
      <w:b/>
      <w:bCs/>
      <w:szCs w:val="28"/>
    </w:rPr>
  </w:style>
  <w:style w:type="paragraph" w:styleId="Heading2">
    <w:name w:val="heading 2"/>
    <w:basedOn w:val="Normal"/>
    <w:next w:val="Normal"/>
    <w:link w:val="Heading2Char"/>
    <w:uiPriority w:val="9"/>
    <w:unhideWhenUsed/>
    <w:qFormat/>
    <w:rsid w:val="00A8467B"/>
    <w:pPr>
      <w:keepNext/>
      <w:keepLines/>
      <w:spacing w:before="240"/>
      <w:ind w:firstLine="0"/>
      <w:outlineLvl w:val="1"/>
    </w:pPr>
    <w:rPr>
      <w:rFonts w:eastAsiaTheme="majorEastAsia" w:cs="Times New Roman"/>
      <w:b/>
      <w:bCs/>
      <w:szCs w:val="26"/>
    </w:rPr>
  </w:style>
  <w:style w:type="paragraph" w:styleId="Heading3">
    <w:name w:val="heading 3"/>
    <w:basedOn w:val="Normal"/>
    <w:next w:val="Normal"/>
    <w:link w:val="Heading3Char"/>
    <w:uiPriority w:val="9"/>
    <w:unhideWhenUsed/>
    <w:qFormat/>
    <w:rsid w:val="00FC693F"/>
    <w:pPr>
      <w:keepNext/>
      <w:keepLines/>
      <w:spacing w:before="240"/>
      <w:ind w:firstLine="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40"/>
      <w:ind w:firstLine="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A8467B"/>
    <w:rPr>
      <w:rFonts w:ascii="Times New Roman" w:eastAsiaTheme="majorEastAsia" w:hAnsi="Times New Roman" w:cs="Times New Roman"/>
      <w:b/>
      <w:bCs/>
      <w:sz w:val="24"/>
      <w:szCs w:val="28"/>
    </w:rPr>
  </w:style>
  <w:style w:type="character" w:customStyle="1" w:styleId="Heading2Char">
    <w:name w:val="Heading 2 Char"/>
    <w:basedOn w:val="DefaultParagraphFont"/>
    <w:link w:val="Heading2"/>
    <w:uiPriority w:val="9"/>
    <w:rsid w:val="00A8467B"/>
    <w:rPr>
      <w:rFonts w:ascii="Times New Roman" w:eastAsiaTheme="majorEastAsia" w:hAnsi="Times New Roman" w:cs="Times New Roman"/>
      <w:b/>
      <w:bCs/>
      <w:sz w:val="24"/>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A8467B"/>
    <w:pPr>
      <w:spacing w:after="300" w:line="240" w:lineRule="auto"/>
      <w:ind w:firstLine="0"/>
      <w:contextualSpacing/>
      <w:jc w:val="center"/>
    </w:pPr>
    <w:rPr>
      <w:rFonts w:eastAsiaTheme="majorEastAsia" w:cs="Times New Roman"/>
      <w:spacing w:val="5"/>
      <w:kern w:val="28"/>
      <w:sz w:val="40"/>
      <w:szCs w:val="40"/>
    </w:rPr>
  </w:style>
  <w:style w:type="character" w:customStyle="1" w:styleId="TitleChar">
    <w:name w:val="Title Char"/>
    <w:basedOn w:val="DefaultParagraphFont"/>
    <w:link w:val="Title"/>
    <w:uiPriority w:val="10"/>
    <w:rsid w:val="00A8467B"/>
    <w:rPr>
      <w:rFonts w:ascii="Times New Roman" w:eastAsiaTheme="majorEastAsia" w:hAnsi="Times New Roman" w:cs="Times New Roman"/>
      <w:spacing w:val="5"/>
      <w:kern w:val="28"/>
      <w:sz w:val="40"/>
      <w:szCs w:val="40"/>
    </w:rPr>
  </w:style>
  <w:style w:type="paragraph" w:styleId="Subtitle">
    <w:name w:val="Subtitle"/>
    <w:basedOn w:val="Normal"/>
    <w:next w:val="Normal"/>
    <w:link w:val="SubtitleChar"/>
    <w:uiPriority w:val="11"/>
    <w:qFormat/>
    <w:rsid w:val="00FC693F"/>
    <w:pPr>
      <w:numPr>
        <w:ilvl w:val="1"/>
      </w:numPr>
      <w:ind w:firstLine="720"/>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Code">
    <w:name w:val="Source Code"/>
    <w:basedOn w:val="Normal"/>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rPr>
      <w:b/>
      <w:color w:val="008000"/>
    </w:rPr>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rPr>
      <w:color w:val="008000"/>
    </w:rPr>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 w:type="character" w:customStyle="1" w:styleId="KeywordTok0">
    <w:name w:val="KeywordTok"/>
    <w:rPr>
      <w:b/>
      <w:color w:val="007020"/>
    </w:rPr>
  </w:style>
  <w:style w:type="character" w:customStyle="1" w:styleId="DataTypeTok0">
    <w:name w:val="DataTypeTok"/>
    <w:rPr>
      <w:color w:val="902000"/>
    </w:rPr>
  </w:style>
  <w:style w:type="character" w:customStyle="1" w:styleId="DecValTok0">
    <w:name w:val="DecValTok"/>
    <w:rPr>
      <w:color w:val="40A070"/>
    </w:rPr>
  </w:style>
  <w:style w:type="character" w:customStyle="1" w:styleId="BaseNTok0">
    <w:name w:val="BaseNTok"/>
    <w:rPr>
      <w:color w:val="40A070"/>
    </w:rPr>
  </w:style>
  <w:style w:type="character" w:customStyle="1" w:styleId="FloatTok0">
    <w:name w:val="FloatTok"/>
    <w:rPr>
      <w:color w:val="40A070"/>
    </w:rPr>
  </w:style>
  <w:style w:type="character" w:customStyle="1" w:styleId="ConstantTok0">
    <w:name w:val="ConstantTok"/>
    <w:rPr>
      <w:color w:val="880000"/>
    </w:rPr>
  </w:style>
  <w:style w:type="character" w:customStyle="1" w:styleId="CharTok0">
    <w:name w:val="CharTok"/>
    <w:rPr>
      <w:color w:val="4070A0"/>
    </w:rPr>
  </w:style>
  <w:style w:type="character" w:customStyle="1" w:styleId="SpecialCharTok0">
    <w:name w:val="SpecialCharTok"/>
    <w:rPr>
      <w:color w:val="4070A0"/>
    </w:rPr>
  </w:style>
  <w:style w:type="character" w:customStyle="1" w:styleId="StringTok0">
    <w:name w:val="StringTok"/>
    <w:rPr>
      <w:color w:val="4070A0"/>
    </w:rPr>
  </w:style>
  <w:style w:type="character" w:customStyle="1" w:styleId="VerbatimStringTok0">
    <w:name w:val="VerbatimStringTok"/>
    <w:rPr>
      <w:color w:val="4070A0"/>
    </w:rPr>
  </w:style>
  <w:style w:type="character" w:customStyle="1" w:styleId="SpecialStringTok0">
    <w:name w:val="SpecialStringTok"/>
    <w:rPr>
      <w:color w:val="BB6688"/>
    </w:rPr>
  </w:style>
  <w:style w:type="character" w:customStyle="1" w:styleId="ImportTok0">
    <w:name w:val="ImportTok"/>
    <w:rPr>
      <w:b/>
      <w:color w:val="008000"/>
    </w:rPr>
  </w:style>
  <w:style w:type="character" w:customStyle="1" w:styleId="CommentTok0">
    <w:name w:val="CommentTok"/>
    <w:rPr>
      <w:i/>
      <w:color w:val="60A0B0"/>
    </w:rPr>
  </w:style>
  <w:style w:type="character" w:customStyle="1" w:styleId="DocumentationTok0">
    <w:name w:val="DocumentationTok"/>
    <w:rPr>
      <w:i/>
      <w:color w:val="BA2121"/>
    </w:rPr>
  </w:style>
  <w:style w:type="character" w:customStyle="1" w:styleId="AnnotationTok0">
    <w:name w:val="AnnotationTok"/>
    <w:rPr>
      <w:b/>
      <w:i/>
      <w:color w:val="60A0B0"/>
    </w:rPr>
  </w:style>
  <w:style w:type="character" w:customStyle="1" w:styleId="CommentVarTok0">
    <w:name w:val="CommentVarTok"/>
    <w:rPr>
      <w:b/>
      <w:i/>
      <w:color w:val="60A0B0"/>
    </w:rPr>
  </w:style>
  <w:style w:type="character" w:customStyle="1" w:styleId="OtherTok0">
    <w:name w:val="OtherTok"/>
    <w:rPr>
      <w:color w:val="007020"/>
    </w:rPr>
  </w:style>
  <w:style w:type="character" w:customStyle="1" w:styleId="FunctionTok0">
    <w:name w:val="FunctionTok"/>
    <w:rPr>
      <w:color w:val="06287E"/>
    </w:rPr>
  </w:style>
  <w:style w:type="character" w:customStyle="1" w:styleId="VariableTok0">
    <w:name w:val="VariableTok"/>
    <w:rPr>
      <w:color w:val="19177C"/>
    </w:rPr>
  </w:style>
  <w:style w:type="character" w:customStyle="1" w:styleId="ControlFlowTok0">
    <w:name w:val="ControlFlowTok"/>
    <w:rPr>
      <w:b/>
      <w:color w:val="007020"/>
    </w:rPr>
  </w:style>
  <w:style w:type="character" w:customStyle="1" w:styleId="OperatorTok0">
    <w:name w:val="OperatorTok"/>
    <w:rPr>
      <w:color w:val="666666"/>
    </w:rPr>
  </w:style>
  <w:style w:type="character" w:customStyle="1" w:styleId="BuiltInTok0">
    <w:name w:val="BuiltInTok"/>
    <w:rPr>
      <w:color w:val="008000"/>
    </w:rPr>
  </w:style>
  <w:style w:type="character" w:customStyle="1" w:styleId="ExtensionTok0">
    <w:name w:val="ExtensionTok"/>
  </w:style>
  <w:style w:type="character" w:customStyle="1" w:styleId="PreprocessorTok0">
    <w:name w:val="PreprocessorTok"/>
    <w:rPr>
      <w:color w:val="BC7A00"/>
    </w:rPr>
  </w:style>
  <w:style w:type="character" w:customStyle="1" w:styleId="AttributeTok0">
    <w:name w:val="AttributeTok"/>
    <w:rPr>
      <w:color w:val="7D9029"/>
    </w:rPr>
  </w:style>
  <w:style w:type="character" w:customStyle="1" w:styleId="RegionMarkerTok0">
    <w:name w:val="RegionMarkerTok"/>
  </w:style>
  <w:style w:type="character" w:customStyle="1" w:styleId="InformationTok0">
    <w:name w:val="InformationTok"/>
    <w:rPr>
      <w:b/>
      <w:i/>
      <w:color w:val="60A0B0"/>
    </w:rPr>
  </w:style>
  <w:style w:type="character" w:customStyle="1" w:styleId="WarningTok0">
    <w:name w:val="WarningTok"/>
    <w:rPr>
      <w:b/>
      <w:i/>
      <w:color w:val="60A0B0"/>
    </w:rPr>
  </w:style>
  <w:style w:type="character" w:customStyle="1" w:styleId="AlertTok0">
    <w:name w:val="AlertTok"/>
    <w:rPr>
      <w:b/>
      <w:color w:val="FF0000"/>
    </w:rPr>
  </w:style>
  <w:style w:type="character" w:customStyle="1" w:styleId="ErrorTok0">
    <w:name w:val="ErrorTok"/>
    <w:rPr>
      <w:b/>
      <w:color w:val="FF0000"/>
    </w:rPr>
  </w:style>
  <w:style w:type="character" w:customStyle="1" w:styleId="NormalTok0">
    <w:name w:val="NormalTok"/>
  </w:style>
  <w:style w:type="paragraph" w:styleId="Revision">
    <w:name w:val="Revision"/>
    <w:hidden/>
    <w:uiPriority w:val="99"/>
    <w:semiHidden/>
    <w:rsid w:val="007C6233"/>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1818</Words>
  <Characters>10896</Characters>
  <Application>Microsoft Office Word</Application>
  <DocSecurity>0</DocSecurity>
  <Lines>155</Lines>
  <Paragraphs>42</Paragraphs>
  <ScaleCrop>false</ScaleCrop>
  <HeadingPairs>
    <vt:vector size="2" baseType="variant">
      <vt:variant>
        <vt:lpstr>Title</vt:lpstr>
      </vt:variant>
      <vt:variant>
        <vt:i4>1</vt:i4>
      </vt:variant>
    </vt:vector>
  </HeadingPairs>
  <TitlesOfParts>
    <vt:vector size="1" baseType="lpstr">
      <vt:lpstr>Supplement S1 — Model Extensions and Robustness Analyses</vt:lpstr>
    </vt:vector>
  </TitlesOfParts>
  <Manager/>
  <Company/>
  <LinksUpToDate>false</LinksUpToDate>
  <CharactersWithSpaces>12672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 S1 — Model Extensions and Robustness Analyses</dc:title>
  <dc:creator>Scott Mourtgos</dc:creator>
  <cp:keywords/>
  <cp:lastModifiedBy>Ian Adams</cp:lastModifiedBy>
  <cp:revision>3</cp:revision>
  <dcterms:created xsi:type="dcterms:W3CDTF">2026-06-19T13:43:00Z</dcterms:created>
  <dcterms:modified xsi:type="dcterms:W3CDTF">2026-06-19T14:55:00Z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graphy">
    <vt:lpwstr>C:/Users/adams/dev/research/avertogenic-claude/Bibliography.bib</vt:lpwstr>
  </property>
  <property fmtid="{D5CDD505-2E9C-101B-9397-08002B2CF9AE}" pid="3" name="csl">
    <vt:lpwstr>C:/Users/adams/dev/research/avertogenic-claude/_rr_work/build/apa.csl</vt:lpwstr>
  </property>
  <property fmtid="{D5CDD505-2E9C-101B-9397-08002B2CF9AE}" pid="4" name="ZOTERO_PREF_1">
    <vt:lpwstr>&lt;data data-version="3" zotero-version="9.0.5"&gt;&lt;session id="DZr3gyf8"/&gt;&lt;style id="http://www.zotero.org/styles/apa-single-spaced" locale="en-US" hasBibliography="1" bibliographyStyleHasBeenSet="0"/&gt;&lt;prefs&gt;&lt;pref name="fieldType" value="Field"/&gt;&lt;/prefs&gt;&lt;/dat</vt:lpwstr>
  </property>
  <property fmtid="{D5CDD505-2E9C-101B-9397-08002B2CF9AE}" pid="5" name="ZOTERO_PREF_2">
    <vt:lpwstr>a&gt;</vt:lpwstr>
  </property>
</Properties>
</file>