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C66E6" w14:textId="77777777" w:rsidR="00A9370B" w:rsidRDefault="00A9370B" w:rsidP="00A9370B">
      <w:pPr>
        <w:spacing w:line="240" w:lineRule="auto"/>
      </w:pPr>
      <w:bookmarkStart w:id="0" w:name="_GoBack"/>
      <w:bookmarkEnd w:id="0"/>
    </w:p>
    <w:p w14:paraId="4D343A01" w14:textId="77777777" w:rsidR="00A9370B" w:rsidRDefault="00A9370B" w:rsidP="00A9370B">
      <w:pPr>
        <w:spacing w:line="240" w:lineRule="auto"/>
      </w:pPr>
    </w:p>
    <w:p w14:paraId="689E1B0F" w14:textId="3C5DF7D4" w:rsidR="00A9370B" w:rsidRDefault="00A9370B" w:rsidP="00A9370B">
      <w:pPr>
        <w:jc w:val="center"/>
        <w:rPr>
          <w:b/>
          <w:sz w:val="24"/>
        </w:rPr>
      </w:pPr>
      <w:r>
        <w:rPr>
          <w:b/>
          <w:sz w:val="24"/>
        </w:rPr>
        <w:t xml:space="preserve">ELECTRONIC </w:t>
      </w:r>
      <w:r w:rsidRPr="00557446">
        <w:rPr>
          <w:b/>
          <w:sz w:val="24"/>
        </w:rPr>
        <w:t>APPENDIX</w:t>
      </w:r>
      <w:r>
        <w:rPr>
          <w:b/>
          <w:sz w:val="24"/>
        </w:rPr>
        <w:t>ES</w:t>
      </w:r>
    </w:p>
    <w:p w14:paraId="14810DD5" w14:textId="77777777" w:rsidR="00A9370B" w:rsidRDefault="00A9370B" w:rsidP="00A9370B">
      <w:pPr>
        <w:jc w:val="both"/>
        <w:rPr>
          <w:b/>
          <w:sz w:val="24"/>
        </w:rPr>
      </w:pPr>
    </w:p>
    <w:p w14:paraId="35FC4FC3" w14:textId="77777777" w:rsidR="00A9370B" w:rsidRDefault="00A9370B" w:rsidP="00A9370B">
      <w:pPr>
        <w:jc w:val="both"/>
        <w:rPr>
          <w:b/>
          <w:sz w:val="24"/>
        </w:rPr>
      </w:pPr>
      <w:r>
        <w:rPr>
          <w:b/>
          <w:sz w:val="24"/>
        </w:rPr>
        <w:t>A1 – Data</w:t>
      </w:r>
    </w:p>
    <w:p w14:paraId="2B8CCC33" w14:textId="77777777" w:rsidR="00A9370B" w:rsidRPr="0048154E" w:rsidRDefault="00A9370B" w:rsidP="00A9370B">
      <w:pPr>
        <w:jc w:val="both"/>
        <w:rPr>
          <w:rFonts w:ascii="Garamond" w:hAnsi="Garamond"/>
          <w:sz w:val="24"/>
        </w:rPr>
      </w:pPr>
      <w:r>
        <w:rPr>
          <w:rFonts w:ascii="Garamond" w:hAnsi="Garamond"/>
          <w:sz w:val="24"/>
        </w:rPr>
        <w:t>T</w:t>
      </w:r>
      <w:r w:rsidRPr="0048154E">
        <w:rPr>
          <w:rFonts w:ascii="Garamond" w:hAnsi="Garamond"/>
          <w:sz w:val="24"/>
        </w:rPr>
        <w:t>hree data sources</w:t>
      </w:r>
      <w:r>
        <w:rPr>
          <w:rFonts w:ascii="Garamond" w:hAnsi="Garamond"/>
          <w:sz w:val="24"/>
        </w:rPr>
        <w:t xml:space="preserve"> have been used to create our dataset</w:t>
      </w:r>
      <w:r w:rsidRPr="0048154E">
        <w:rPr>
          <w:rFonts w:ascii="Garamond" w:hAnsi="Garamond"/>
          <w:sz w:val="24"/>
        </w:rPr>
        <w:t>:</w:t>
      </w:r>
    </w:p>
    <w:p w14:paraId="53828AA1" w14:textId="77777777" w:rsidR="00A9370B" w:rsidRPr="0048154E" w:rsidRDefault="00A9370B" w:rsidP="00A9370B">
      <w:pPr>
        <w:jc w:val="both"/>
        <w:rPr>
          <w:rFonts w:ascii="Garamond" w:hAnsi="Garamond"/>
          <w:sz w:val="24"/>
        </w:rPr>
      </w:pPr>
      <w:r w:rsidRPr="0048154E">
        <w:rPr>
          <w:rFonts w:ascii="Garamond" w:hAnsi="Garamond"/>
          <w:sz w:val="24"/>
        </w:rPr>
        <w:t>1) The first is the ASIA database of the Italian National Statistical Office (ISTAT), which contains information on the structural characteristics of the population of Italian companies. From this source we retrieved information related to the industrial sector, the number of employees and the date of birth for the population of Italian business firms over the period of 2000-2011. Due to the data availability of the other relevant data sources (see Table 1), we restricted the period of interest to 2000-2008. Moreover, building upon other firm-level studies (Geroski et al., 2010; Mata and Portugal, 2002; Coad and Rao, 2011), we considered a firm to have ceased operation if absent from the records for three consecutive years.</w:t>
      </w:r>
    </w:p>
    <w:p w14:paraId="520D34FA" w14:textId="77777777" w:rsidR="00A9370B" w:rsidRPr="0048154E" w:rsidRDefault="00A9370B" w:rsidP="00A9370B">
      <w:pPr>
        <w:jc w:val="both"/>
        <w:rPr>
          <w:rFonts w:ascii="Garamond" w:hAnsi="Garamond"/>
          <w:sz w:val="24"/>
        </w:rPr>
      </w:pPr>
      <w:r w:rsidRPr="0048154E">
        <w:rPr>
          <w:rFonts w:ascii="Garamond" w:hAnsi="Garamond"/>
          <w:sz w:val="24"/>
        </w:rPr>
        <w:t>2) Our second source of data refers to balance sheet information, obtained from the Bureau van Dijk AIDA database for the period of 2000-2008 and is used to retrieve the: investments in tangible assets, investments in intangible assets and market shares.</w:t>
      </w:r>
    </w:p>
    <w:p w14:paraId="5FB649A3" w14:textId="77777777" w:rsidR="00A9370B" w:rsidRDefault="00A9370B" w:rsidP="00A9370B">
      <w:pPr>
        <w:jc w:val="both"/>
        <w:rPr>
          <w:rFonts w:ascii="Garamond" w:hAnsi="Garamond"/>
          <w:sz w:val="24"/>
        </w:rPr>
      </w:pPr>
      <w:r w:rsidRPr="0048154E">
        <w:rPr>
          <w:rFonts w:ascii="Garamond" w:hAnsi="Garamond"/>
          <w:sz w:val="24"/>
        </w:rPr>
        <w:t xml:space="preserve">3) Finally, following previous studies in the analysis of eco-innovations (see, among the others, Lotti &amp; Marin, 2013; Marin, 2014), we relied on the Worldwide Patent Statistical Database (PATSTAT) to retrieve patent data information for the names of the assignees, filing dates and technological classes.  </w:t>
      </w:r>
    </w:p>
    <w:p w14:paraId="6F33E4DA" w14:textId="77777777" w:rsidR="00A9370B" w:rsidRDefault="00A9370B" w:rsidP="00A9370B">
      <w:pPr>
        <w:jc w:val="both"/>
        <w:rPr>
          <w:rFonts w:ascii="Garamond" w:hAnsi="Garamond"/>
          <w:sz w:val="24"/>
        </w:rPr>
      </w:pPr>
    </w:p>
    <w:p w14:paraId="34DF7BF4" w14:textId="77777777" w:rsidR="00A9370B" w:rsidRDefault="00A9370B" w:rsidP="00A9370B">
      <w:pPr>
        <w:jc w:val="both"/>
        <w:rPr>
          <w:b/>
          <w:sz w:val="24"/>
        </w:rPr>
      </w:pPr>
      <w:r>
        <w:rPr>
          <w:b/>
          <w:sz w:val="24"/>
        </w:rPr>
        <w:t>A2 – Methodology</w:t>
      </w:r>
    </w:p>
    <w:p w14:paraId="7CA303BF" w14:textId="77777777" w:rsidR="00A9370B" w:rsidRDefault="00A9370B" w:rsidP="00A9370B">
      <w:pPr>
        <w:jc w:val="both"/>
        <w:rPr>
          <w:rFonts w:ascii="Garamond" w:hAnsi="Garamond"/>
          <w:sz w:val="24"/>
        </w:rPr>
      </w:pPr>
      <w:r>
        <w:rPr>
          <w:rFonts w:ascii="Garamond" w:hAnsi="Garamond"/>
          <w:sz w:val="24"/>
        </w:rPr>
        <w:t>In general</w:t>
      </w:r>
      <w:r w:rsidRPr="00782782">
        <w:rPr>
          <w:rFonts w:ascii="Garamond" w:hAnsi="Garamond"/>
          <w:sz w:val="24"/>
        </w:rPr>
        <w:t xml:space="preserve">, the distribution of growth rates </w:t>
      </w:r>
      <w:r>
        <w:rPr>
          <w:rFonts w:ascii="Garamond" w:hAnsi="Garamond"/>
          <w:sz w:val="24"/>
        </w:rPr>
        <w:t xml:space="preserve">at the firm level </w:t>
      </w:r>
      <w:r w:rsidRPr="00782782">
        <w:rPr>
          <w:rFonts w:ascii="Garamond" w:hAnsi="Garamond"/>
          <w:sz w:val="24"/>
        </w:rPr>
        <w:t>is recognised to be highly non-linear and considerably heavy-tailed. Thus a quantile approach could provide more robust and efficient alternatives to OLS when the error term is non-normal, and in the presence of outliers and fat-tails.</w:t>
      </w:r>
    </w:p>
    <w:p w14:paraId="14D3BADD" w14:textId="77777777" w:rsidR="00A9370B" w:rsidRDefault="00A9370B" w:rsidP="00A9370B">
      <w:pPr>
        <w:jc w:val="both"/>
        <w:rPr>
          <w:rFonts w:ascii="Garamond" w:hAnsi="Garamond"/>
          <w:sz w:val="24"/>
        </w:rPr>
      </w:pPr>
      <w:r w:rsidRPr="00782782">
        <w:rPr>
          <w:rFonts w:ascii="Garamond" w:hAnsi="Garamond"/>
          <w:sz w:val="24"/>
        </w:rPr>
        <w:t>Our empirical setting is not an exemption from the pattern outlined above. The distribution of growth rates (defined in Section 3.3) reveals this non-normality nature, showing a kurtosis well above the accepted threshold value of three (our null hypothesis of a kurtosis equal to zero is rejected at the 99% confidence level).</w:t>
      </w:r>
    </w:p>
    <w:p w14:paraId="19B46929" w14:textId="77777777" w:rsidR="00A9370B" w:rsidRDefault="00A9370B" w:rsidP="00A9370B">
      <w:pPr>
        <w:jc w:val="both"/>
        <w:rPr>
          <w:rFonts w:ascii="Garamond" w:hAnsi="Garamond"/>
          <w:sz w:val="24"/>
        </w:rPr>
      </w:pPr>
      <w:r w:rsidRPr="00782782">
        <w:rPr>
          <w:rFonts w:ascii="Garamond" w:hAnsi="Garamond"/>
          <w:sz w:val="24"/>
        </w:rPr>
        <w:t xml:space="preserve">Further support for this pattern is provided by Figure </w:t>
      </w:r>
      <w:r>
        <w:rPr>
          <w:rFonts w:ascii="Garamond" w:hAnsi="Garamond"/>
          <w:sz w:val="24"/>
        </w:rPr>
        <w:t>A</w:t>
      </w:r>
      <w:r w:rsidRPr="00782782">
        <w:rPr>
          <w:rFonts w:ascii="Garamond" w:hAnsi="Garamond"/>
          <w:sz w:val="24"/>
        </w:rPr>
        <w:t xml:space="preserve">1 and Figure </w:t>
      </w:r>
      <w:r>
        <w:rPr>
          <w:rFonts w:ascii="Garamond" w:hAnsi="Garamond"/>
          <w:sz w:val="24"/>
        </w:rPr>
        <w:t>A</w:t>
      </w:r>
      <w:r w:rsidRPr="00782782">
        <w:rPr>
          <w:rFonts w:ascii="Garamond" w:hAnsi="Garamond"/>
          <w:sz w:val="24"/>
        </w:rPr>
        <w:t xml:space="preserve">2. Figure </w:t>
      </w:r>
      <w:r>
        <w:rPr>
          <w:rFonts w:ascii="Garamond" w:hAnsi="Garamond"/>
          <w:sz w:val="24"/>
        </w:rPr>
        <w:t>A</w:t>
      </w:r>
      <w:r w:rsidRPr="00782782">
        <w:rPr>
          <w:rFonts w:ascii="Garamond" w:hAnsi="Garamond"/>
          <w:sz w:val="24"/>
        </w:rPr>
        <w:t xml:space="preserve">1 illustrates that growth rates for our sample of companies is exponentially distributed (Stanley et al., 1996), therefore showing a tent-shape distribution (Bottazzi and Secchi, 2003). Figure </w:t>
      </w:r>
      <w:r>
        <w:rPr>
          <w:rFonts w:ascii="Garamond" w:hAnsi="Garamond"/>
          <w:sz w:val="24"/>
        </w:rPr>
        <w:t>A</w:t>
      </w:r>
      <w:r w:rsidRPr="00782782">
        <w:rPr>
          <w:rFonts w:ascii="Garamond" w:hAnsi="Garamond"/>
          <w:sz w:val="24"/>
        </w:rPr>
        <w:t>2, plotting the quantiles of the growth variable against the quantiles of a normal distribution, shows that growth rates deviate from a normal distribution both at the upper and lower tails</w:t>
      </w:r>
      <w:r>
        <w:rPr>
          <w:rFonts w:ascii="Garamond" w:hAnsi="Garamond"/>
          <w:sz w:val="24"/>
        </w:rPr>
        <w:t>.</w:t>
      </w:r>
    </w:p>
    <w:p w14:paraId="3932F833" w14:textId="77777777" w:rsidR="00A9370B" w:rsidRDefault="00A9370B" w:rsidP="00A9370B">
      <w:pPr>
        <w:jc w:val="both"/>
        <w:rPr>
          <w:rFonts w:ascii="Garamond" w:hAnsi="Garamond"/>
          <w:sz w:val="24"/>
        </w:rPr>
      </w:pPr>
      <w:r w:rsidRPr="00782782">
        <w:rPr>
          <w:rFonts w:ascii="Garamond" w:hAnsi="Garamond"/>
          <w:sz w:val="24"/>
        </w:rPr>
        <w:t xml:space="preserve">The quantile approach is then </w:t>
      </w:r>
      <w:r>
        <w:rPr>
          <w:rFonts w:ascii="Garamond" w:hAnsi="Garamond"/>
          <w:sz w:val="24"/>
        </w:rPr>
        <w:t>motivated</w:t>
      </w:r>
      <w:r w:rsidRPr="00782782">
        <w:rPr>
          <w:rFonts w:ascii="Garamond" w:hAnsi="Garamond"/>
          <w:sz w:val="24"/>
        </w:rPr>
        <w:t xml:space="preserve"> in order to overcome the distributional issues</w:t>
      </w:r>
      <w:r>
        <w:rPr>
          <w:rFonts w:ascii="Garamond" w:hAnsi="Garamond"/>
          <w:sz w:val="24"/>
        </w:rPr>
        <w:t xml:space="preserve"> discussed above</w:t>
      </w:r>
      <w:r w:rsidRPr="00782782">
        <w:rPr>
          <w:rFonts w:ascii="Garamond" w:hAnsi="Garamond"/>
          <w:sz w:val="24"/>
        </w:rPr>
        <w:t xml:space="preserve">. </w:t>
      </w:r>
    </w:p>
    <w:p w14:paraId="7368A01B" w14:textId="77777777" w:rsidR="00A9370B" w:rsidRDefault="00A9370B" w:rsidP="00A9370B">
      <w:pPr>
        <w:jc w:val="center"/>
        <w:rPr>
          <w:rFonts w:ascii="Garamond" w:hAnsi="Garamond"/>
          <w:sz w:val="24"/>
        </w:rPr>
      </w:pPr>
      <w:r>
        <w:rPr>
          <w:rFonts w:ascii="Garamond" w:hAnsi="Garamond"/>
          <w:sz w:val="24"/>
        </w:rPr>
        <w:t>[FIGURE A1 ABOUT HERE]</w:t>
      </w:r>
    </w:p>
    <w:p w14:paraId="0FD31503" w14:textId="77777777" w:rsidR="00A9370B" w:rsidRDefault="00A9370B" w:rsidP="00A9370B">
      <w:pPr>
        <w:jc w:val="center"/>
        <w:rPr>
          <w:rFonts w:ascii="Garamond" w:hAnsi="Garamond"/>
          <w:sz w:val="24"/>
        </w:rPr>
      </w:pPr>
      <w:r>
        <w:rPr>
          <w:rFonts w:ascii="Garamond" w:hAnsi="Garamond"/>
          <w:sz w:val="24"/>
        </w:rPr>
        <w:lastRenderedPageBreak/>
        <w:t>[FIGURE A2 ABOUT HERE]</w:t>
      </w:r>
    </w:p>
    <w:p w14:paraId="2FD9C877" w14:textId="77777777" w:rsidR="00A9370B" w:rsidRDefault="00A9370B" w:rsidP="00A9370B">
      <w:pPr>
        <w:jc w:val="center"/>
        <w:rPr>
          <w:rFonts w:ascii="Garamond" w:hAnsi="Garamond"/>
          <w:sz w:val="24"/>
        </w:rPr>
      </w:pPr>
    </w:p>
    <w:p w14:paraId="50EC55CC" w14:textId="77777777" w:rsidR="00A9370B" w:rsidRPr="002434CD" w:rsidRDefault="00A9370B" w:rsidP="00A9370B">
      <w:pPr>
        <w:jc w:val="both"/>
        <w:rPr>
          <w:b/>
          <w:sz w:val="24"/>
        </w:rPr>
      </w:pPr>
      <w:r w:rsidRPr="002434CD">
        <w:rPr>
          <w:b/>
          <w:sz w:val="24"/>
        </w:rPr>
        <w:t>A3 - Variables</w:t>
      </w:r>
    </w:p>
    <w:p w14:paraId="15A4416A" w14:textId="77777777" w:rsidR="00A9370B" w:rsidRDefault="00A9370B" w:rsidP="00A9370B">
      <w:pPr>
        <w:jc w:val="both"/>
        <w:rPr>
          <w:rFonts w:ascii="Garamond" w:eastAsia="Garamond" w:hAnsi="Garamond" w:cs="Garamond"/>
          <w:sz w:val="24"/>
          <w:szCs w:val="24"/>
        </w:rPr>
      </w:pPr>
      <w:r>
        <w:rPr>
          <w:rFonts w:ascii="Garamond" w:eastAsia="Garamond" w:hAnsi="Garamond" w:cs="Garamond"/>
          <w:i/>
          <w:sz w:val="24"/>
          <w:szCs w:val="24"/>
        </w:rPr>
        <w:t>Dependent variable: Gr</w:t>
      </w:r>
      <w:r w:rsidRPr="002434CD">
        <w:rPr>
          <w:rFonts w:ascii="Garamond" w:eastAsia="Garamond" w:hAnsi="Garamond" w:cs="Garamond"/>
          <w:i/>
          <w:sz w:val="24"/>
          <w:szCs w:val="24"/>
        </w:rPr>
        <w:t>owth</w:t>
      </w:r>
      <w:r w:rsidRPr="002434CD">
        <w:rPr>
          <w:rFonts w:ascii="Garamond" w:eastAsia="Garamond" w:hAnsi="Garamond" w:cs="Garamond"/>
          <w:i/>
          <w:sz w:val="24"/>
          <w:szCs w:val="24"/>
          <w:vertAlign w:val="subscript"/>
        </w:rPr>
        <w:t>it</w:t>
      </w:r>
      <w:r>
        <w:rPr>
          <w:rFonts w:ascii="Garamond" w:eastAsia="Garamond" w:hAnsi="Garamond" w:cs="Garamond"/>
          <w:sz w:val="24"/>
          <w:szCs w:val="24"/>
        </w:rPr>
        <w:t>.</w:t>
      </w:r>
    </w:p>
    <w:p w14:paraId="596E2BDD" w14:textId="77777777" w:rsidR="00A9370B" w:rsidRDefault="00A9370B" w:rsidP="00A9370B">
      <w:pPr>
        <w:jc w:val="both"/>
        <w:rPr>
          <w:rFonts w:ascii="Garamond" w:hAnsi="Garamond"/>
          <w:sz w:val="24"/>
        </w:rPr>
      </w:pPr>
      <w:r>
        <w:rPr>
          <w:rFonts w:ascii="Garamond" w:eastAsia="Garamond" w:hAnsi="Garamond" w:cs="Garamond"/>
          <w:sz w:val="24"/>
          <w:szCs w:val="24"/>
        </w:rPr>
        <w:t xml:space="preserve">Following previous contributions </w:t>
      </w:r>
      <w:r w:rsidRPr="00E12A80">
        <w:rPr>
          <w:rFonts w:ascii="Garamond" w:eastAsia="Garamond" w:hAnsi="Garamond" w:cs="Garamond"/>
          <w:sz w:val="24"/>
          <w:szCs w:val="24"/>
        </w:rPr>
        <w:t>(Coad and Ra</w:t>
      </w:r>
      <w:r>
        <w:rPr>
          <w:rFonts w:ascii="Garamond" w:eastAsia="Garamond" w:hAnsi="Garamond" w:cs="Garamond"/>
          <w:sz w:val="24"/>
          <w:szCs w:val="24"/>
        </w:rPr>
        <w:t>o, 2006; Coad, 2010</w:t>
      </w:r>
      <w:r w:rsidRPr="00E12A80">
        <w:rPr>
          <w:rFonts w:ascii="Garamond" w:eastAsia="Garamond" w:hAnsi="Garamond" w:cs="Garamond"/>
          <w:sz w:val="24"/>
          <w:szCs w:val="24"/>
        </w:rPr>
        <w:t>)</w:t>
      </w:r>
      <w:r>
        <w:rPr>
          <w:rFonts w:ascii="Garamond" w:eastAsia="Garamond" w:hAnsi="Garamond" w:cs="Garamond"/>
          <w:sz w:val="24"/>
          <w:szCs w:val="24"/>
        </w:rPr>
        <w:t xml:space="preserve">, the </w:t>
      </w:r>
      <w:r w:rsidRPr="00E12A80">
        <w:rPr>
          <w:rFonts w:ascii="Garamond" w:eastAsia="Garamond" w:hAnsi="Garamond" w:cs="Garamond"/>
          <w:sz w:val="24"/>
          <w:szCs w:val="24"/>
        </w:rPr>
        <w:t>growth rate of employees</w:t>
      </w:r>
      <w:r>
        <w:rPr>
          <w:rFonts w:ascii="Garamond" w:eastAsia="Garamond" w:hAnsi="Garamond" w:cs="Garamond"/>
          <w:sz w:val="24"/>
          <w:szCs w:val="24"/>
        </w:rPr>
        <w:t xml:space="preserve"> has been</w:t>
      </w:r>
      <w:r w:rsidRPr="00E12A80">
        <w:rPr>
          <w:rFonts w:ascii="Garamond" w:eastAsia="Garamond" w:hAnsi="Garamond" w:cs="Garamond"/>
          <w:sz w:val="24"/>
          <w:szCs w:val="24"/>
        </w:rPr>
        <w:t xml:space="preserve"> calculated as the difference between the logarithm of employees in year t and the logarithm of employees in year t-1</w:t>
      </w:r>
      <w:r>
        <w:rPr>
          <w:rFonts w:ascii="Garamond" w:eastAsia="Garamond" w:hAnsi="Garamond" w:cs="Garamond"/>
          <w:sz w:val="24"/>
          <w:szCs w:val="24"/>
        </w:rPr>
        <w:t>. To remove common time trends for firms operating in the same sector (e.g., inflation, business cycles, etc.), we normalised growth rates, subtracting for each year the sectoral mean growth rate at the 2-digit NACE (Rev. 1.1) codes (Bottazzi et al., 2011; Coad and Rao, 2010).</w:t>
      </w:r>
      <w:r>
        <w:rPr>
          <w:rFonts w:ascii="Garamond" w:hAnsi="Garamond"/>
          <w:sz w:val="24"/>
        </w:rPr>
        <w:t xml:space="preserve"> </w:t>
      </w:r>
      <w:r w:rsidRPr="00E12A80">
        <w:rPr>
          <w:rFonts w:ascii="Garamond" w:hAnsi="Garamond"/>
          <w:sz w:val="24"/>
        </w:rPr>
        <w:t>We also run the estimates using non-normalised growth rates and growth rates normalised to 4-digit NACE (Rev. 1.1) industry codes. All attempts (available from the authors upon request) yield results that are not qualitatively different from those presented here.</w:t>
      </w:r>
    </w:p>
    <w:p w14:paraId="7295AB80" w14:textId="77777777" w:rsidR="00A9370B" w:rsidRPr="002434CD" w:rsidRDefault="00A9370B" w:rsidP="00A9370B">
      <w:pPr>
        <w:jc w:val="both"/>
        <w:rPr>
          <w:rFonts w:ascii="Garamond" w:hAnsi="Garamond"/>
          <w:i/>
          <w:sz w:val="24"/>
        </w:rPr>
      </w:pPr>
      <w:r w:rsidRPr="002434CD">
        <w:rPr>
          <w:rFonts w:ascii="Garamond" w:hAnsi="Garamond"/>
          <w:i/>
          <w:sz w:val="24"/>
        </w:rPr>
        <w:t xml:space="preserve">Independent variables: </w:t>
      </w:r>
      <w:r>
        <w:rPr>
          <w:rFonts w:ascii="Garamond" w:eastAsia="Garamond" w:hAnsi="Garamond" w:cs="Garamond"/>
          <w:i/>
          <w:sz w:val="24"/>
          <w:szCs w:val="24"/>
        </w:rPr>
        <w:t>Pat Green</w:t>
      </w:r>
      <w:r w:rsidRPr="002434CD">
        <w:rPr>
          <w:rFonts w:ascii="Garamond" w:eastAsia="Garamond" w:hAnsi="Garamond" w:cs="Garamond"/>
          <w:i/>
          <w:sz w:val="24"/>
          <w:szCs w:val="24"/>
          <w:vertAlign w:val="subscript"/>
        </w:rPr>
        <w:t>it-1</w:t>
      </w:r>
      <w:r>
        <w:rPr>
          <w:rFonts w:ascii="Garamond" w:eastAsia="Garamond" w:hAnsi="Garamond" w:cs="Garamond"/>
          <w:i/>
          <w:sz w:val="24"/>
          <w:szCs w:val="24"/>
        </w:rPr>
        <w:t xml:space="preserve"> and Pat Nongreen</w:t>
      </w:r>
      <w:r>
        <w:rPr>
          <w:rFonts w:ascii="Garamond" w:eastAsia="Garamond" w:hAnsi="Garamond" w:cs="Garamond"/>
          <w:i/>
          <w:sz w:val="24"/>
          <w:szCs w:val="24"/>
          <w:vertAlign w:val="subscript"/>
        </w:rPr>
        <w:t>i,t-1</w:t>
      </w:r>
    </w:p>
    <w:p w14:paraId="72E1551E" w14:textId="77777777" w:rsidR="00A9370B" w:rsidRDefault="00A9370B" w:rsidP="00A9370B">
      <w:pPr>
        <w:jc w:val="both"/>
        <w:rPr>
          <w:rFonts w:ascii="Garamond" w:eastAsia="Garamond" w:hAnsi="Garamond" w:cs="Garamond"/>
          <w:sz w:val="24"/>
          <w:szCs w:val="24"/>
        </w:rPr>
      </w:pPr>
      <w:r>
        <w:rPr>
          <w:rFonts w:ascii="Garamond" w:eastAsia="Garamond" w:hAnsi="Garamond" w:cs="Garamond"/>
          <w:sz w:val="24"/>
          <w:szCs w:val="24"/>
        </w:rPr>
        <w:t>Following Marin and Lotti (2016), green patents are identified by</w:t>
      </w:r>
      <w:r w:rsidRPr="00B859F5">
        <w:rPr>
          <w:rFonts w:ascii="Garamond" w:eastAsia="Garamond" w:hAnsi="Garamond" w:cs="Garamond"/>
          <w:sz w:val="24"/>
          <w:szCs w:val="24"/>
        </w:rPr>
        <w:t xml:space="preserve"> rely</w:t>
      </w:r>
      <w:r>
        <w:rPr>
          <w:rFonts w:ascii="Garamond" w:eastAsia="Garamond" w:hAnsi="Garamond" w:cs="Garamond"/>
          <w:sz w:val="24"/>
          <w:szCs w:val="24"/>
        </w:rPr>
        <w:t>ing</w:t>
      </w:r>
      <w:r w:rsidRPr="00B859F5">
        <w:rPr>
          <w:rFonts w:ascii="Garamond" w:eastAsia="Garamond" w:hAnsi="Garamond" w:cs="Garamond"/>
          <w:sz w:val="24"/>
          <w:szCs w:val="24"/>
        </w:rPr>
        <w:t xml:space="preserve"> on two sources: the classification provided by the OECD</w:t>
      </w:r>
      <w:r>
        <w:rPr>
          <w:rFonts w:ascii="Garamond" w:eastAsia="Garamond" w:hAnsi="Garamond" w:cs="Garamond"/>
          <w:sz w:val="24"/>
          <w:szCs w:val="24"/>
        </w:rPr>
        <w:t xml:space="preserve"> (2015)</w:t>
      </w:r>
      <w:r w:rsidRPr="00B859F5">
        <w:rPr>
          <w:rFonts w:ascii="Garamond" w:eastAsia="Garamond" w:hAnsi="Garamond" w:cs="Garamond"/>
          <w:sz w:val="24"/>
          <w:szCs w:val="24"/>
        </w:rPr>
        <w:t xml:space="preserve"> project on “Environmental Policy and Technological Innovation” (ENV-TECH); the IPC Green Inventory, launched by the World Organisation fo</w:t>
      </w:r>
      <w:r>
        <w:rPr>
          <w:rFonts w:ascii="Garamond" w:eastAsia="Garamond" w:hAnsi="Garamond" w:cs="Garamond"/>
          <w:sz w:val="24"/>
          <w:szCs w:val="24"/>
        </w:rPr>
        <w:t xml:space="preserve">r Intellectual Property (WIPO). </w:t>
      </w:r>
      <w:r w:rsidRPr="00B859F5">
        <w:rPr>
          <w:rFonts w:ascii="Garamond" w:eastAsia="Garamond" w:hAnsi="Garamond" w:cs="Garamond"/>
          <w:sz w:val="24"/>
          <w:szCs w:val="24"/>
        </w:rPr>
        <w:t>Both ENV-TECH and IPC Green Inventory define a list of technological classes that correspond to environmentally sound technologies. In our analysis, we define as green patent every patent with at least one technological class</w:t>
      </w:r>
      <w:r>
        <w:rPr>
          <w:rFonts w:ascii="Garamond" w:eastAsia="Garamond" w:hAnsi="Garamond" w:cs="Garamond"/>
          <w:sz w:val="24"/>
          <w:szCs w:val="24"/>
        </w:rPr>
        <w:t>,</w:t>
      </w:r>
      <w:r w:rsidRPr="00B859F5">
        <w:rPr>
          <w:rFonts w:ascii="Garamond" w:eastAsia="Garamond" w:hAnsi="Garamond" w:cs="Garamond"/>
          <w:sz w:val="24"/>
          <w:szCs w:val="24"/>
        </w:rPr>
        <w:t xml:space="preserve"> which is included in the OECD or WIPO classifications. </w:t>
      </w:r>
      <w:r>
        <w:rPr>
          <w:rFonts w:ascii="Garamond" w:eastAsia="Garamond" w:hAnsi="Garamond" w:cs="Garamond"/>
          <w:sz w:val="24"/>
          <w:szCs w:val="24"/>
        </w:rPr>
        <w:t xml:space="preserve">The </w:t>
      </w:r>
      <w:r w:rsidRPr="00B859F5">
        <w:rPr>
          <w:rFonts w:ascii="Garamond" w:eastAsia="Garamond" w:hAnsi="Garamond" w:cs="Garamond"/>
          <w:sz w:val="24"/>
          <w:szCs w:val="24"/>
        </w:rPr>
        <w:t>WIPO classification may include classes of green technologies that are too broad</w:t>
      </w:r>
      <w:r>
        <w:rPr>
          <w:rFonts w:ascii="Garamond" w:eastAsia="Garamond" w:hAnsi="Garamond" w:cs="Garamond"/>
          <w:sz w:val="24"/>
          <w:szCs w:val="24"/>
        </w:rPr>
        <w:t xml:space="preserve"> and that require to be addressed. In this last respect, f</w:t>
      </w:r>
      <w:r w:rsidRPr="00D7734D">
        <w:rPr>
          <w:rFonts w:ascii="Garamond" w:eastAsia="Garamond" w:hAnsi="Garamond" w:cs="Garamond"/>
          <w:sz w:val="24"/>
          <w:szCs w:val="24"/>
        </w:rPr>
        <w:t>ollowing Marin and Lotti (2016)</w:t>
      </w:r>
      <w:r>
        <w:rPr>
          <w:rFonts w:ascii="Garamond" w:eastAsia="Garamond" w:hAnsi="Garamond" w:cs="Garamond"/>
          <w:sz w:val="24"/>
          <w:szCs w:val="24"/>
        </w:rPr>
        <w:t>,</w:t>
      </w:r>
      <w:r w:rsidRPr="00D7734D">
        <w:rPr>
          <w:rFonts w:ascii="Garamond" w:eastAsia="Garamond" w:hAnsi="Garamond" w:cs="Garamond"/>
          <w:sz w:val="24"/>
          <w:szCs w:val="24"/>
        </w:rPr>
        <w:t xml:space="preserve"> we exclude IPC Green Inventory falling into the four technological realms. IPC Green Inventory classes related to “biofuel” in fact include many non-environmental technologies. Patents related to “agriculture and forestry” are excluded because of our focus on manufacturing firms. The “Administrative, regulatory and design aspects” macro-category includes sub-categories which are too general and not necessarily related to environmental technologies. Patents related to “nuclear power generation” are excluded because Italy opted out from nuclear energy production in the aftermath of the Chernobyl disaster. In addition, some nuclear activities may in fact be harmful for the environment.</w:t>
      </w:r>
      <w:r>
        <w:rPr>
          <w:rFonts w:ascii="Garamond" w:eastAsia="Garamond" w:hAnsi="Garamond" w:cs="Garamond"/>
          <w:sz w:val="24"/>
          <w:szCs w:val="24"/>
        </w:rPr>
        <w:t xml:space="preserve"> In brief, </w:t>
      </w:r>
      <w:r w:rsidRPr="00B859F5">
        <w:rPr>
          <w:rFonts w:ascii="Garamond" w:eastAsia="Garamond" w:hAnsi="Garamond" w:cs="Garamond"/>
          <w:sz w:val="24"/>
          <w:szCs w:val="24"/>
        </w:rPr>
        <w:t xml:space="preserve">the approach we follow is aimed at reducing the risk of having false negatives </w:t>
      </w:r>
      <w:r>
        <w:rPr>
          <w:rFonts w:ascii="Garamond" w:eastAsia="Garamond" w:hAnsi="Garamond" w:cs="Garamond"/>
          <w:sz w:val="24"/>
          <w:szCs w:val="24"/>
        </w:rPr>
        <w:t xml:space="preserve">when identifying green patents. </w:t>
      </w:r>
      <w:r w:rsidRPr="00B859F5">
        <w:rPr>
          <w:rFonts w:ascii="Garamond" w:eastAsia="Garamond" w:hAnsi="Garamond" w:cs="Garamond"/>
          <w:sz w:val="24"/>
          <w:szCs w:val="24"/>
        </w:rPr>
        <w:t>Table A2 lists all the classes that identify green patents.</w:t>
      </w:r>
    </w:p>
    <w:p w14:paraId="498B5769" w14:textId="77777777" w:rsidR="00A9370B" w:rsidRDefault="00A9370B" w:rsidP="00A9370B">
      <w:pPr>
        <w:jc w:val="center"/>
        <w:rPr>
          <w:b/>
          <w:sz w:val="24"/>
        </w:rPr>
      </w:pPr>
      <w:r>
        <w:rPr>
          <w:rFonts w:ascii="Garamond" w:hAnsi="Garamond"/>
          <w:sz w:val="24"/>
        </w:rPr>
        <w:t>[TABLE A2 ABOUT HERE]</w:t>
      </w:r>
    </w:p>
    <w:p w14:paraId="01A52633" w14:textId="77777777" w:rsidR="00A9370B" w:rsidRDefault="00A9370B" w:rsidP="00A9370B">
      <w:pPr>
        <w:jc w:val="both"/>
        <w:rPr>
          <w:rFonts w:ascii="Garamond" w:hAnsi="Garamond"/>
          <w:sz w:val="24"/>
        </w:rPr>
      </w:pPr>
      <w:r>
        <w:rPr>
          <w:rFonts w:ascii="Garamond" w:hAnsi="Garamond"/>
          <w:sz w:val="24"/>
        </w:rPr>
        <w:t xml:space="preserve">Both </w:t>
      </w:r>
      <w:r>
        <w:rPr>
          <w:rFonts w:ascii="Garamond" w:eastAsia="Garamond" w:hAnsi="Garamond" w:cs="Garamond"/>
          <w:i/>
          <w:sz w:val="24"/>
          <w:szCs w:val="24"/>
        </w:rPr>
        <w:t xml:space="preserve">Pat Green </w:t>
      </w:r>
      <w:r>
        <w:rPr>
          <w:rFonts w:ascii="Garamond" w:hAnsi="Garamond"/>
          <w:sz w:val="24"/>
        </w:rPr>
        <w:t xml:space="preserve">and </w:t>
      </w:r>
      <w:r>
        <w:rPr>
          <w:rFonts w:ascii="Garamond" w:eastAsia="Garamond" w:hAnsi="Garamond" w:cs="Garamond"/>
          <w:i/>
          <w:sz w:val="24"/>
          <w:szCs w:val="24"/>
        </w:rPr>
        <w:t xml:space="preserve">Pat Nongreen </w:t>
      </w:r>
      <w:r>
        <w:rPr>
          <w:rFonts w:ascii="Garamond" w:hAnsi="Garamond"/>
          <w:sz w:val="24"/>
        </w:rPr>
        <w:t xml:space="preserve">have been calculated as stocks. In particular, </w:t>
      </w:r>
      <w:r w:rsidRPr="009E329F">
        <w:rPr>
          <w:rFonts w:ascii="Garamond" w:hAnsi="Garamond"/>
          <w:sz w:val="24"/>
        </w:rPr>
        <w:t>we follow</w:t>
      </w:r>
      <w:r>
        <w:rPr>
          <w:rFonts w:ascii="Garamond" w:hAnsi="Garamond"/>
          <w:sz w:val="24"/>
        </w:rPr>
        <w:t>ed</w:t>
      </w:r>
      <w:r w:rsidRPr="009E329F">
        <w:rPr>
          <w:rFonts w:ascii="Garamond" w:hAnsi="Garamond"/>
          <w:sz w:val="24"/>
        </w:rPr>
        <w:t xml:space="preserve"> the literature and compute</w:t>
      </w:r>
      <w:r>
        <w:rPr>
          <w:rFonts w:ascii="Garamond" w:hAnsi="Garamond"/>
          <w:sz w:val="24"/>
        </w:rPr>
        <w:t>d</w:t>
      </w:r>
      <w:r w:rsidRPr="009E329F">
        <w:rPr>
          <w:rFonts w:ascii="Garamond" w:hAnsi="Garamond"/>
          <w:sz w:val="24"/>
        </w:rPr>
        <w:t xml:space="preserve"> all of the stock variables for the period of 2000-2008 using the perpetual inventory method</w:t>
      </w:r>
      <w:r>
        <w:rPr>
          <w:rFonts w:ascii="Garamond" w:hAnsi="Garamond"/>
          <w:sz w:val="24"/>
        </w:rPr>
        <w:t xml:space="preserve"> formula, </w:t>
      </w:r>
      <w:r w:rsidRPr="002434CD">
        <w:rPr>
          <w:rFonts w:ascii="Garamond" w:eastAsia="Garamond" w:hAnsi="Garamond" w:cs="Garamond"/>
          <w:i/>
          <w:sz w:val="24"/>
          <w:szCs w:val="24"/>
        </w:rPr>
        <w:t>K</w:t>
      </w:r>
      <w:r w:rsidRPr="002434CD">
        <w:rPr>
          <w:rFonts w:ascii="Garamond" w:eastAsia="Garamond" w:hAnsi="Garamond" w:cs="Garamond"/>
          <w:i/>
          <w:sz w:val="24"/>
          <w:szCs w:val="24"/>
          <w:vertAlign w:val="subscript"/>
        </w:rPr>
        <w:t>t</w:t>
      </w:r>
      <w:r w:rsidRPr="002434CD">
        <w:rPr>
          <w:rFonts w:ascii="Garamond" w:eastAsia="Garamond" w:hAnsi="Garamond" w:cs="Garamond"/>
          <w:i/>
          <w:sz w:val="24"/>
          <w:szCs w:val="24"/>
        </w:rPr>
        <w:t xml:space="preserve"> = K</w:t>
      </w:r>
      <w:r w:rsidRPr="002434CD">
        <w:rPr>
          <w:rFonts w:ascii="Garamond" w:eastAsia="Garamond" w:hAnsi="Garamond" w:cs="Garamond"/>
          <w:i/>
          <w:sz w:val="24"/>
          <w:szCs w:val="24"/>
          <w:vertAlign w:val="subscript"/>
        </w:rPr>
        <w:t>t</w:t>
      </w:r>
      <w:r w:rsidRPr="002434CD">
        <w:rPr>
          <w:rFonts w:ascii="Gungsuh" w:eastAsia="Gungsuh" w:hAnsi="Gungsuh" w:cs="Gungsuh"/>
          <w:i/>
          <w:sz w:val="24"/>
          <w:szCs w:val="24"/>
          <w:vertAlign w:val="subscript"/>
        </w:rPr>
        <w:t>−</w:t>
      </w:r>
      <w:r w:rsidRPr="002434CD">
        <w:rPr>
          <w:rFonts w:ascii="Garamond" w:eastAsia="Garamond" w:hAnsi="Garamond" w:cs="Garamond"/>
          <w:i/>
          <w:sz w:val="24"/>
          <w:szCs w:val="24"/>
          <w:vertAlign w:val="subscript"/>
        </w:rPr>
        <w:t>1</w:t>
      </w:r>
      <w:r w:rsidRPr="002434CD">
        <w:rPr>
          <w:rFonts w:ascii="Garamond" w:eastAsia="Garamond" w:hAnsi="Garamond" w:cs="Garamond"/>
          <w:i/>
          <w:sz w:val="24"/>
          <w:szCs w:val="24"/>
        </w:rPr>
        <w:t xml:space="preserve">(1 </w:t>
      </w:r>
      <w:r w:rsidRPr="002434CD">
        <w:rPr>
          <w:rFonts w:ascii="Gungsuh" w:eastAsia="Gungsuh" w:hAnsi="Gungsuh" w:cs="Gungsuh"/>
          <w:i/>
          <w:sz w:val="24"/>
          <w:szCs w:val="24"/>
        </w:rPr>
        <w:t>−</w:t>
      </w:r>
      <w:r w:rsidRPr="002434CD">
        <w:rPr>
          <w:rFonts w:ascii="Garamond" w:eastAsia="Garamond" w:hAnsi="Garamond" w:cs="Garamond"/>
          <w:i/>
          <w:sz w:val="24"/>
          <w:szCs w:val="24"/>
        </w:rPr>
        <w:t xml:space="preserve"> </w:t>
      </w:r>
      <w:r w:rsidRPr="002434CD">
        <w:rPr>
          <w:rFonts w:ascii="Times New Roman" w:eastAsia="Times New Roman" w:hAnsi="Times New Roman" w:cs="Times New Roman"/>
          <w:i/>
          <w:sz w:val="24"/>
          <w:szCs w:val="24"/>
        </w:rPr>
        <w:t>δ</w:t>
      </w:r>
      <w:r w:rsidRPr="002434CD">
        <w:rPr>
          <w:rFonts w:ascii="Garamond" w:eastAsia="Garamond" w:hAnsi="Garamond" w:cs="Garamond"/>
          <w:i/>
          <w:sz w:val="24"/>
          <w:szCs w:val="24"/>
        </w:rPr>
        <w:t>) + P</w:t>
      </w:r>
      <w:r w:rsidRPr="002434CD">
        <w:rPr>
          <w:rFonts w:ascii="Garamond" w:eastAsia="Garamond" w:hAnsi="Garamond" w:cs="Garamond"/>
          <w:i/>
          <w:sz w:val="24"/>
          <w:szCs w:val="24"/>
          <w:vertAlign w:val="subscript"/>
        </w:rPr>
        <w:t>t</w:t>
      </w:r>
      <w:r w:rsidRPr="009E46B3">
        <w:rPr>
          <w:rFonts w:ascii="Garamond" w:hAnsi="Garamond"/>
          <w:sz w:val="24"/>
          <w:szCs w:val="24"/>
        </w:rPr>
        <w:t>,</w:t>
      </w:r>
      <w:r w:rsidRPr="00FE4D44">
        <w:rPr>
          <w:rFonts w:ascii="Garamond" w:hAnsi="Garamond"/>
          <w:sz w:val="24"/>
        </w:rPr>
        <w:t xml:space="preserve"> where </w:t>
      </w:r>
      <w:r w:rsidRPr="002434CD">
        <w:rPr>
          <w:rFonts w:ascii="Garamond" w:hAnsi="Garamond"/>
          <w:i/>
          <w:sz w:val="24"/>
        </w:rPr>
        <w:t>K</w:t>
      </w:r>
      <w:r w:rsidRPr="002434CD">
        <w:rPr>
          <w:rFonts w:ascii="Garamond" w:hAnsi="Garamond"/>
          <w:i/>
          <w:sz w:val="24"/>
          <w:vertAlign w:val="subscript"/>
        </w:rPr>
        <w:t>t-1</w:t>
      </w:r>
      <w:r w:rsidRPr="00FE4D44">
        <w:rPr>
          <w:rFonts w:ascii="Garamond" w:hAnsi="Garamond"/>
          <w:sz w:val="24"/>
        </w:rPr>
        <w:t xml:space="preserve"> is the stock of patents at year </w:t>
      </w:r>
      <w:r w:rsidRPr="002434CD">
        <w:rPr>
          <w:rFonts w:ascii="Garamond" w:hAnsi="Garamond"/>
          <w:i/>
          <w:sz w:val="24"/>
        </w:rPr>
        <w:t>t-1</w:t>
      </w:r>
      <w:r w:rsidRPr="00FE4D44">
        <w:rPr>
          <w:rFonts w:ascii="Garamond" w:hAnsi="Garamond"/>
          <w:sz w:val="24"/>
        </w:rPr>
        <w:t xml:space="preserve">, </w:t>
      </w:r>
      <w:r w:rsidRPr="00FE4D44">
        <w:rPr>
          <w:rFonts w:ascii="Times New Roman" w:hAnsi="Times New Roman" w:cs="Times New Roman"/>
          <w:sz w:val="24"/>
        </w:rPr>
        <w:t>δ</w:t>
      </w:r>
      <w:r w:rsidRPr="00FE4D44">
        <w:rPr>
          <w:rFonts w:ascii="Garamond" w:hAnsi="Garamond"/>
          <w:sz w:val="24"/>
        </w:rPr>
        <w:t xml:space="preserve"> is the depreciation rate assumed </w:t>
      </w:r>
      <w:r>
        <w:rPr>
          <w:rFonts w:ascii="Garamond" w:hAnsi="Garamond"/>
          <w:sz w:val="24"/>
        </w:rPr>
        <w:t xml:space="preserve">constant </w:t>
      </w:r>
      <w:r w:rsidRPr="00FE4D44">
        <w:rPr>
          <w:rFonts w:ascii="Garamond" w:hAnsi="Garamond"/>
          <w:sz w:val="24"/>
        </w:rPr>
        <w:t>at 15%</w:t>
      </w:r>
      <w:r>
        <w:rPr>
          <w:rFonts w:ascii="Garamond" w:hAnsi="Garamond"/>
          <w:sz w:val="24"/>
        </w:rPr>
        <w:t xml:space="preserve"> </w:t>
      </w:r>
      <w:r w:rsidRPr="009E329F">
        <w:rPr>
          <w:rFonts w:ascii="Garamond" w:hAnsi="Garamond"/>
          <w:sz w:val="24"/>
        </w:rPr>
        <w:t>(Blundell et al., 1995; Hall, 1993)</w:t>
      </w:r>
      <w:r w:rsidRPr="00FE4D44">
        <w:rPr>
          <w:rFonts w:ascii="Garamond" w:hAnsi="Garamond"/>
          <w:sz w:val="24"/>
        </w:rPr>
        <w:t xml:space="preserve">, and </w:t>
      </w:r>
      <w:r w:rsidRPr="002434CD">
        <w:rPr>
          <w:rFonts w:ascii="Garamond" w:hAnsi="Garamond"/>
          <w:i/>
          <w:sz w:val="24"/>
        </w:rPr>
        <w:t>P</w:t>
      </w:r>
      <w:r w:rsidRPr="002434CD">
        <w:rPr>
          <w:rFonts w:ascii="Garamond" w:hAnsi="Garamond"/>
          <w:i/>
          <w:sz w:val="24"/>
          <w:vertAlign w:val="subscript"/>
        </w:rPr>
        <w:t>t</w:t>
      </w:r>
      <w:r w:rsidRPr="00FE4D44">
        <w:rPr>
          <w:rFonts w:ascii="Garamond" w:hAnsi="Garamond"/>
          <w:sz w:val="24"/>
        </w:rPr>
        <w:t xml:space="preserve"> is the number of new patents in year </w:t>
      </w:r>
      <w:r w:rsidRPr="002434CD">
        <w:rPr>
          <w:rFonts w:ascii="Garamond" w:hAnsi="Garamond"/>
          <w:i/>
          <w:sz w:val="24"/>
        </w:rPr>
        <w:t>t</w:t>
      </w:r>
      <w:r w:rsidRPr="009E329F">
        <w:rPr>
          <w:rFonts w:ascii="Garamond" w:hAnsi="Garamond"/>
          <w:sz w:val="24"/>
        </w:rPr>
        <w:t>.</w:t>
      </w:r>
      <w:r>
        <w:rPr>
          <w:rFonts w:ascii="Garamond" w:hAnsi="Garamond"/>
          <w:sz w:val="24"/>
        </w:rPr>
        <w:t xml:space="preserve"> More precisely, p</w:t>
      </w:r>
      <w:r w:rsidRPr="00FE4D44">
        <w:rPr>
          <w:rFonts w:ascii="Garamond" w:hAnsi="Garamond"/>
          <w:sz w:val="24"/>
        </w:rPr>
        <w:t xml:space="preserve">atent stocks </w:t>
      </w:r>
      <w:r>
        <w:rPr>
          <w:rFonts w:ascii="Garamond" w:hAnsi="Garamond"/>
          <w:sz w:val="24"/>
        </w:rPr>
        <w:t>have been</w:t>
      </w:r>
      <w:r w:rsidRPr="00FE4D44">
        <w:rPr>
          <w:rFonts w:ascii="Garamond" w:hAnsi="Garamond"/>
          <w:sz w:val="24"/>
        </w:rPr>
        <w:t xml:space="preserve"> computed using information for the whole period for which patent data are available (1977-2008). </w:t>
      </w:r>
    </w:p>
    <w:p w14:paraId="37B717D8" w14:textId="77777777" w:rsidR="00A9370B" w:rsidRPr="000F1A8E" w:rsidRDefault="00A9370B" w:rsidP="00A9370B">
      <w:pPr>
        <w:jc w:val="both"/>
        <w:rPr>
          <w:rFonts w:ascii="Garamond" w:hAnsi="Garamond"/>
          <w:i/>
          <w:sz w:val="24"/>
        </w:rPr>
      </w:pPr>
      <w:r w:rsidRPr="000F1A8E">
        <w:rPr>
          <w:rFonts w:ascii="Garamond" w:hAnsi="Garamond"/>
          <w:i/>
          <w:sz w:val="24"/>
        </w:rPr>
        <w:t>Control variables</w:t>
      </w:r>
    </w:p>
    <w:p w14:paraId="061A7E7C" w14:textId="77777777" w:rsidR="00A9370B" w:rsidRDefault="00A9370B" w:rsidP="00A9370B">
      <w:pPr>
        <w:jc w:val="both"/>
        <w:rPr>
          <w:rFonts w:ascii="Garamond" w:eastAsia="Garamond" w:hAnsi="Garamond" w:cs="Garamond"/>
          <w:sz w:val="24"/>
          <w:szCs w:val="24"/>
        </w:rPr>
      </w:pPr>
      <w:r w:rsidRPr="00B11238">
        <w:rPr>
          <w:rFonts w:ascii="Garamond" w:eastAsia="Garamond" w:hAnsi="Garamond" w:cs="Garamond"/>
          <w:i/>
          <w:sz w:val="24"/>
          <w:szCs w:val="24"/>
        </w:rPr>
        <w:lastRenderedPageBreak/>
        <w:t>Inv Tang</w:t>
      </w:r>
      <w:r w:rsidRPr="00B11238">
        <w:rPr>
          <w:rFonts w:ascii="Garamond" w:eastAsia="Garamond" w:hAnsi="Garamond" w:cs="Garamond"/>
          <w:i/>
          <w:sz w:val="24"/>
          <w:szCs w:val="24"/>
          <w:vertAlign w:val="subscript"/>
        </w:rPr>
        <w:t>i,t-1</w:t>
      </w:r>
      <w:r>
        <w:rPr>
          <w:rFonts w:ascii="Garamond" w:eastAsia="Garamond" w:hAnsi="Garamond" w:cs="Garamond"/>
          <w:sz w:val="24"/>
          <w:szCs w:val="24"/>
          <w:vertAlign w:val="subscript"/>
        </w:rPr>
        <w:t xml:space="preserve"> </w:t>
      </w:r>
      <w:r>
        <w:rPr>
          <w:rFonts w:ascii="Garamond" w:eastAsia="Garamond" w:hAnsi="Garamond" w:cs="Garamond"/>
          <w:sz w:val="24"/>
          <w:szCs w:val="24"/>
        </w:rPr>
        <w:t>(</w:t>
      </w:r>
      <w:r w:rsidRPr="00B859F5">
        <w:rPr>
          <w:rFonts w:ascii="Garamond" w:eastAsia="Garamond" w:hAnsi="Garamond" w:cs="Garamond"/>
          <w:i/>
          <w:sz w:val="24"/>
          <w:szCs w:val="24"/>
        </w:rPr>
        <w:t>Inv Intang</w:t>
      </w:r>
      <w:r w:rsidRPr="00B859F5">
        <w:rPr>
          <w:rFonts w:ascii="Garamond" w:eastAsia="Garamond" w:hAnsi="Garamond" w:cs="Garamond"/>
          <w:i/>
          <w:sz w:val="24"/>
          <w:szCs w:val="24"/>
          <w:vertAlign w:val="subscript"/>
        </w:rPr>
        <w:t>i,t-1</w:t>
      </w:r>
      <w:r>
        <w:rPr>
          <w:rFonts w:ascii="Garamond" w:eastAsia="Garamond" w:hAnsi="Garamond" w:cs="Garamond"/>
          <w:sz w:val="24"/>
          <w:szCs w:val="24"/>
        </w:rPr>
        <w:t xml:space="preserve">) is calculated as the yearly net acquisition of tangible (intangible) assets plus the amortisation (Grazzi et al., 2015). </w:t>
      </w:r>
      <w:r w:rsidRPr="001D1A5D">
        <w:rPr>
          <w:rFonts w:ascii="Garamond" w:eastAsia="Garamond" w:hAnsi="Garamond" w:cs="Garamond"/>
          <w:sz w:val="24"/>
          <w:szCs w:val="24"/>
        </w:rPr>
        <w:t>Investments are deflated by adopting the ratio of current prices to chained-linked prices (reference year 2005) at the higher level of disaggregation, as provided by the Italian National Institute of Statistics (ISTAT) at the NACE 1.1 2-digit industrial level.</w:t>
      </w:r>
      <w:r>
        <w:rPr>
          <w:rFonts w:ascii="Garamond" w:eastAsia="Garamond" w:hAnsi="Garamond" w:cs="Garamond"/>
          <w:sz w:val="24"/>
          <w:szCs w:val="24"/>
        </w:rPr>
        <w:t xml:space="preserve"> Investment indicators are measured in thousands of euros, and like the number of employees (</w:t>
      </w:r>
      <w:r w:rsidRPr="00EB5A91">
        <w:rPr>
          <w:rFonts w:ascii="Garamond" w:eastAsia="Garamond" w:hAnsi="Garamond" w:cs="Garamond"/>
          <w:i/>
          <w:sz w:val="24"/>
          <w:szCs w:val="24"/>
        </w:rPr>
        <w:t>Emp</w:t>
      </w:r>
      <w:r w:rsidRPr="00B859F5">
        <w:rPr>
          <w:rFonts w:ascii="Garamond" w:eastAsia="Garamond" w:hAnsi="Garamond" w:cs="Garamond"/>
          <w:i/>
          <w:sz w:val="24"/>
          <w:szCs w:val="24"/>
          <w:vertAlign w:val="subscript"/>
        </w:rPr>
        <w:t>t-1</w:t>
      </w:r>
      <w:r>
        <w:rPr>
          <w:rFonts w:ascii="Garamond" w:eastAsia="Garamond" w:hAnsi="Garamond" w:cs="Garamond"/>
          <w:sz w:val="24"/>
          <w:szCs w:val="24"/>
        </w:rPr>
        <w:t>), they are log transformed (plus 1).</w:t>
      </w:r>
    </w:p>
    <w:p w14:paraId="4172FECA" w14:textId="77777777" w:rsidR="00A9370B" w:rsidRDefault="00A9370B" w:rsidP="00A9370B">
      <w:pPr>
        <w:jc w:val="both"/>
      </w:pPr>
      <w:r w:rsidRPr="005D0C31">
        <w:rPr>
          <w:rFonts w:ascii="Garamond" w:eastAsia="Garamond" w:hAnsi="Garamond" w:cs="Garamond"/>
          <w:i/>
          <w:sz w:val="24"/>
          <w:szCs w:val="24"/>
        </w:rPr>
        <w:t>Herfindahl index</w:t>
      </w:r>
      <w:r w:rsidRPr="005D0C31">
        <w:rPr>
          <w:rFonts w:ascii="Garamond" w:eastAsia="Garamond" w:hAnsi="Garamond" w:cs="Garamond"/>
          <w:i/>
          <w:sz w:val="24"/>
          <w:szCs w:val="24"/>
          <w:vertAlign w:val="subscript"/>
        </w:rPr>
        <w:t>jt</w:t>
      </w:r>
      <w:r>
        <w:rPr>
          <w:rFonts w:ascii="Garamond" w:eastAsia="Garamond" w:hAnsi="Garamond" w:cs="Garamond"/>
          <w:sz w:val="24"/>
          <w:szCs w:val="24"/>
        </w:rPr>
        <w:t xml:space="preserve"> is the sum of the square of the turnover shares of firms operating in (at 2-digit NACE Rev. 1.1 codes) industry </w:t>
      </w:r>
      <w:r w:rsidRPr="005D0C31">
        <w:rPr>
          <w:rFonts w:ascii="Garamond" w:eastAsia="Garamond" w:hAnsi="Garamond" w:cs="Garamond"/>
          <w:i/>
          <w:sz w:val="24"/>
          <w:szCs w:val="24"/>
        </w:rPr>
        <w:t>j</w:t>
      </w:r>
      <w:r>
        <w:rPr>
          <w:rFonts w:ascii="Garamond" w:eastAsia="Garamond" w:hAnsi="Garamond" w:cs="Garamond"/>
          <w:sz w:val="24"/>
          <w:szCs w:val="24"/>
        </w:rPr>
        <w:t xml:space="preserve"> at time </w:t>
      </w:r>
      <w:r w:rsidRPr="005D0C31">
        <w:rPr>
          <w:rFonts w:ascii="Garamond" w:eastAsia="Garamond" w:hAnsi="Garamond" w:cs="Garamond"/>
          <w:i/>
          <w:sz w:val="24"/>
          <w:szCs w:val="24"/>
        </w:rPr>
        <w:t>t</w:t>
      </w:r>
      <w:r>
        <w:rPr>
          <w:rFonts w:ascii="Garamond" w:eastAsia="Garamond" w:hAnsi="Garamond" w:cs="Garamond"/>
          <w:sz w:val="24"/>
          <w:szCs w:val="24"/>
        </w:rPr>
        <w:t xml:space="preserve">. </w:t>
      </w:r>
    </w:p>
    <w:p w14:paraId="73A55782" w14:textId="77777777" w:rsidR="00A9370B" w:rsidRDefault="00A9370B" w:rsidP="00A9370B">
      <w:pPr>
        <w:jc w:val="both"/>
        <w:rPr>
          <w:rFonts w:ascii="Garamond" w:hAnsi="Garamond"/>
          <w:sz w:val="24"/>
        </w:rPr>
      </w:pPr>
    </w:p>
    <w:p w14:paraId="291B050C" w14:textId="77777777" w:rsidR="00A9370B" w:rsidRPr="000F1A8E" w:rsidRDefault="00A9370B" w:rsidP="00A9370B">
      <w:pPr>
        <w:jc w:val="both"/>
        <w:rPr>
          <w:rFonts w:ascii="Garamond" w:hAnsi="Garamond"/>
          <w:sz w:val="24"/>
        </w:rPr>
      </w:pPr>
      <w:r>
        <w:rPr>
          <w:rFonts w:ascii="Garamond" w:hAnsi="Garamond"/>
          <w:sz w:val="24"/>
        </w:rPr>
        <w:br w:type="column"/>
      </w:r>
    </w:p>
    <w:p w14:paraId="0C9D69B7" w14:textId="77777777" w:rsidR="00A9370B" w:rsidRPr="00135DEE" w:rsidRDefault="00A9370B" w:rsidP="00A9370B">
      <w:pPr>
        <w:spacing w:after="80" w:line="360" w:lineRule="auto"/>
        <w:rPr>
          <w:b/>
        </w:rPr>
      </w:pPr>
      <w:r w:rsidRPr="00135DEE">
        <w:rPr>
          <w:b/>
        </w:rPr>
        <w:t>Table A1. t-test comparison between sample (N=30,670) and population (N= 5,787,897)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2"/>
        <w:gridCol w:w="2073"/>
      </w:tblGrid>
      <w:tr w:rsidR="00A9370B" w:rsidRPr="00135DEE" w14:paraId="6BC10319" w14:textId="77777777" w:rsidTr="0096728D">
        <w:trPr>
          <w:trHeight w:val="343"/>
        </w:trPr>
        <w:tc>
          <w:tcPr>
            <w:tcW w:w="2072" w:type="dxa"/>
            <w:tcBorders>
              <w:top w:val="single" w:sz="4" w:space="0" w:color="auto"/>
              <w:bottom w:val="single" w:sz="4" w:space="0" w:color="auto"/>
            </w:tcBorders>
            <w:vAlign w:val="center"/>
          </w:tcPr>
          <w:p w14:paraId="0DED487B" w14:textId="77777777" w:rsidR="00A9370B" w:rsidRPr="00135DEE" w:rsidRDefault="00A9370B" w:rsidP="0096728D">
            <w:pPr>
              <w:spacing w:after="0" w:line="240" w:lineRule="auto"/>
              <w:rPr>
                <w:sz w:val="20"/>
              </w:rPr>
            </w:pPr>
            <w:r w:rsidRPr="00135DEE">
              <w:rPr>
                <w:sz w:val="20"/>
              </w:rPr>
              <w:t>Variable</w:t>
            </w:r>
          </w:p>
        </w:tc>
        <w:tc>
          <w:tcPr>
            <w:tcW w:w="2073" w:type="dxa"/>
            <w:tcBorders>
              <w:top w:val="single" w:sz="4" w:space="0" w:color="auto"/>
              <w:bottom w:val="single" w:sz="4" w:space="0" w:color="auto"/>
            </w:tcBorders>
            <w:vAlign w:val="center"/>
          </w:tcPr>
          <w:p w14:paraId="63025698" w14:textId="77777777" w:rsidR="00A9370B" w:rsidRPr="00135DEE" w:rsidRDefault="00A9370B" w:rsidP="0096728D">
            <w:pPr>
              <w:spacing w:after="0" w:line="240" w:lineRule="auto"/>
              <w:rPr>
                <w:sz w:val="20"/>
              </w:rPr>
            </w:pPr>
            <w:r>
              <w:rPr>
                <w:sz w:val="20"/>
              </w:rPr>
              <w:t>Mean d</w:t>
            </w:r>
            <w:r w:rsidRPr="00135DEE">
              <w:rPr>
                <w:sz w:val="20"/>
              </w:rPr>
              <w:t>ifference</w:t>
            </w:r>
          </w:p>
        </w:tc>
      </w:tr>
      <w:tr w:rsidR="00A9370B" w:rsidRPr="00135DEE" w14:paraId="5EF7E04B" w14:textId="77777777" w:rsidTr="0096728D">
        <w:trPr>
          <w:trHeight w:val="343"/>
        </w:trPr>
        <w:tc>
          <w:tcPr>
            <w:tcW w:w="2072" w:type="dxa"/>
            <w:tcBorders>
              <w:top w:val="single" w:sz="4" w:space="0" w:color="auto"/>
            </w:tcBorders>
            <w:vAlign w:val="center"/>
          </w:tcPr>
          <w:p w14:paraId="66A0B5EA" w14:textId="77777777" w:rsidR="00A9370B" w:rsidRPr="00135DEE" w:rsidRDefault="00A9370B" w:rsidP="0096728D">
            <w:pPr>
              <w:spacing w:after="0" w:line="240" w:lineRule="auto"/>
              <w:rPr>
                <w:sz w:val="20"/>
              </w:rPr>
            </w:pPr>
            <w:r w:rsidRPr="00135DEE">
              <w:rPr>
                <w:sz w:val="20"/>
              </w:rPr>
              <w:t>Growth</w:t>
            </w:r>
          </w:p>
        </w:tc>
        <w:tc>
          <w:tcPr>
            <w:tcW w:w="2073" w:type="dxa"/>
            <w:tcBorders>
              <w:top w:val="single" w:sz="4" w:space="0" w:color="auto"/>
            </w:tcBorders>
            <w:vAlign w:val="center"/>
          </w:tcPr>
          <w:p w14:paraId="3E6FB823" w14:textId="77777777" w:rsidR="00A9370B" w:rsidRPr="00135DEE" w:rsidRDefault="00A9370B" w:rsidP="0096728D">
            <w:pPr>
              <w:spacing w:after="0" w:line="240" w:lineRule="auto"/>
              <w:rPr>
                <w:sz w:val="20"/>
              </w:rPr>
            </w:pPr>
            <w:r w:rsidRPr="00135DEE">
              <w:rPr>
                <w:sz w:val="20"/>
              </w:rPr>
              <w:t>-0</w:t>
            </w:r>
            <w:r>
              <w:rPr>
                <w:sz w:val="20"/>
              </w:rPr>
              <w:t>.003</w:t>
            </w:r>
          </w:p>
        </w:tc>
      </w:tr>
      <w:tr w:rsidR="00A9370B" w:rsidRPr="00135DEE" w14:paraId="064DE261" w14:textId="77777777" w:rsidTr="0096728D">
        <w:trPr>
          <w:trHeight w:val="343"/>
        </w:trPr>
        <w:tc>
          <w:tcPr>
            <w:tcW w:w="2072" w:type="dxa"/>
            <w:vAlign w:val="center"/>
          </w:tcPr>
          <w:p w14:paraId="66648552" w14:textId="77777777" w:rsidR="00A9370B" w:rsidRPr="00135DEE" w:rsidRDefault="00A9370B" w:rsidP="0096728D">
            <w:pPr>
              <w:spacing w:after="0" w:line="240" w:lineRule="auto"/>
              <w:rPr>
                <w:sz w:val="20"/>
              </w:rPr>
            </w:pPr>
            <w:r w:rsidRPr="00135DEE">
              <w:rPr>
                <w:sz w:val="20"/>
              </w:rPr>
              <w:t>Emp</w:t>
            </w:r>
          </w:p>
        </w:tc>
        <w:tc>
          <w:tcPr>
            <w:tcW w:w="2073" w:type="dxa"/>
            <w:vAlign w:val="center"/>
          </w:tcPr>
          <w:p w14:paraId="395B8018" w14:textId="77777777" w:rsidR="00A9370B" w:rsidRPr="00135DEE" w:rsidRDefault="00A9370B" w:rsidP="0096728D">
            <w:pPr>
              <w:spacing w:after="0" w:line="240" w:lineRule="auto"/>
              <w:rPr>
                <w:sz w:val="20"/>
              </w:rPr>
            </w:pPr>
            <w:r>
              <w:rPr>
                <w:sz w:val="20"/>
              </w:rPr>
              <w:t>0.612</w:t>
            </w:r>
            <w:r w:rsidRPr="00135DEE">
              <w:rPr>
                <w:sz w:val="20"/>
              </w:rPr>
              <w:t>***</w:t>
            </w:r>
          </w:p>
        </w:tc>
      </w:tr>
      <w:tr w:rsidR="00A9370B" w:rsidRPr="00135DEE" w14:paraId="32AC04AC" w14:textId="77777777" w:rsidTr="0096728D">
        <w:trPr>
          <w:trHeight w:val="343"/>
        </w:trPr>
        <w:tc>
          <w:tcPr>
            <w:tcW w:w="2072" w:type="dxa"/>
            <w:vAlign w:val="center"/>
          </w:tcPr>
          <w:p w14:paraId="74F2458D" w14:textId="77777777" w:rsidR="00A9370B" w:rsidRPr="00135DEE" w:rsidRDefault="00A9370B" w:rsidP="0096728D">
            <w:pPr>
              <w:spacing w:after="0" w:line="240" w:lineRule="auto"/>
              <w:rPr>
                <w:sz w:val="20"/>
              </w:rPr>
            </w:pPr>
            <w:r w:rsidRPr="00135DEE">
              <w:rPr>
                <w:sz w:val="20"/>
              </w:rPr>
              <w:t>Age</w:t>
            </w:r>
          </w:p>
        </w:tc>
        <w:tc>
          <w:tcPr>
            <w:tcW w:w="2073" w:type="dxa"/>
            <w:vAlign w:val="center"/>
          </w:tcPr>
          <w:p w14:paraId="0D6339C5" w14:textId="77777777" w:rsidR="00A9370B" w:rsidRPr="00135DEE" w:rsidRDefault="00A9370B" w:rsidP="0096728D">
            <w:pPr>
              <w:spacing w:after="0" w:line="240" w:lineRule="auto"/>
              <w:rPr>
                <w:sz w:val="20"/>
              </w:rPr>
            </w:pPr>
            <w:r w:rsidRPr="00135DEE">
              <w:rPr>
                <w:sz w:val="20"/>
              </w:rPr>
              <w:t>2.744***</w:t>
            </w:r>
          </w:p>
        </w:tc>
      </w:tr>
    </w:tbl>
    <w:p w14:paraId="0C3C069D" w14:textId="77777777" w:rsidR="00A9370B" w:rsidRPr="005007D5" w:rsidRDefault="00A9370B" w:rsidP="00A9370B">
      <w:pPr>
        <w:rPr>
          <w:sz w:val="20"/>
          <w:lang w:val="en-US"/>
        </w:rPr>
      </w:pPr>
      <w:r w:rsidRPr="005007D5">
        <w:rPr>
          <w:i/>
          <w:sz w:val="20"/>
          <w:lang w:val="en-US"/>
        </w:rPr>
        <w:t>Emp</w:t>
      </w:r>
      <w:r w:rsidRPr="005007D5">
        <w:rPr>
          <w:sz w:val="20"/>
          <w:lang w:val="en-US"/>
        </w:rPr>
        <w:t xml:space="preserve"> and </w:t>
      </w:r>
      <w:r w:rsidRPr="005007D5">
        <w:rPr>
          <w:i/>
          <w:sz w:val="20"/>
          <w:lang w:val="en-US"/>
        </w:rPr>
        <w:t>Age</w:t>
      </w:r>
      <w:r w:rsidRPr="005007D5">
        <w:rPr>
          <w:sz w:val="20"/>
          <w:lang w:val="en-US"/>
        </w:rPr>
        <w:t xml:space="preserve"> variables are log transformed.</w:t>
      </w:r>
      <w:r w:rsidRPr="005007D5">
        <w:rPr>
          <w:sz w:val="20"/>
          <w:lang w:val="en-US"/>
        </w:rPr>
        <w:br/>
        <w:t>*P&lt;0.1, **P&lt;0.05, ***P&lt;0.01.</w:t>
      </w:r>
    </w:p>
    <w:p w14:paraId="75D67D7D" w14:textId="77777777" w:rsidR="00A9370B" w:rsidRDefault="00A9370B" w:rsidP="00A9370B">
      <w:pPr>
        <w:jc w:val="center"/>
        <w:rPr>
          <w:b/>
          <w:sz w:val="24"/>
        </w:rPr>
      </w:pPr>
    </w:p>
    <w:p w14:paraId="4099170D" w14:textId="77777777" w:rsidR="00A9370B" w:rsidRDefault="00A9370B" w:rsidP="00A9370B">
      <w:pPr>
        <w:jc w:val="center"/>
        <w:rPr>
          <w:b/>
          <w:sz w:val="24"/>
        </w:rPr>
      </w:pPr>
    </w:p>
    <w:p w14:paraId="4C162444" w14:textId="77777777" w:rsidR="00A9370B" w:rsidRDefault="00A9370B" w:rsidP="00A9370B">
      <w:pPr>
        <w:jc w:val="center"/>
        <w:rPr>
          <w:b/>
          <w:sz w:val="24"/>
        </w:rPr>
      </w:pPr>
    </w:p>
    <w:p w14:paraId="087A16AE" w14:textId="77777777" w:rsidR="00A9370B" w:rsidRDefault="00A9370B" w:rsidP="00A9370B">
      <w:pPr>
        <w:jc w:val="center"/>
        <w:rPr>
          <w:b/>
          <w:sz w:val="24"/>
        </w:rPr>
      </w:pPr>
    </w:p>
    <w:p w14:paraId="4EC4B9BF" w14:textId="77777777" w:rsidR="00A9370B" w:rsidRDefault="00A9370B" w:rsidP="00A9370B">
      <w:pPr>
        <w:jc w:val="center"/>
        <w:rPr>
          <w:b/>
          <w:sz w:val="24"/>
        </w:rPr>
      </w:pPr>
    </w:p>
    <w:p w14:paraId="6C16B87D" w14:textId="77777777" w:rsidR="00A9370B" w:rsidRDefault="00A9370B" w:rsidP="00A9370B">
      <w:pPr>
        <w:jc w:val="center"/>
        <w:rPr>
          <w:b/>
          <w:sz w:val="24"/>
        </w:rPr>
      </w:pPr>
    </w:p>
    <w:p w14:paraId="3EB08706" w14:textId="77777777" w:rsidR="00A9370B" w:rsidRDefault="00A9370B" w:rsidP="00A9370B">
      <w:pPr>
        <w:jc w:val="center"/>
        <w:rPr>
          <w:b/>
          <w:sz w:val="24"/>
        </w:rPr>
      </w:pPr>
    </w:p>
    <w:p w14:paraId="1538D583" w14:textId="77777777" w:rsidR="00A9370B" w:rsidRDefault="00A9370B" w:rsidP="00A9370B">
      <w:pPr>
        <w:jc w:val="center"/>
        <w:rPr>
          <w:b/>
          <w:sz w:val="24"/>
        </w:rPr>
      </w:pPr>
    </w:p>
    <w:p w14:paraId="4063BE62" w14:textId="77777777" w:rsidR="00A9370B" w:rsidRDefault="00A9370B" w:rsidP="00A9370B">
      <w:pPr>
        <w:jc w:val="center"/>
        <w:rPr>
          <w:b/>
          <w:sz w:val="24"/>
        </w:rPr>
      </w:pPr>
    </w:p>
    <w:p w14:paraId="4D8B8D7E" w14:textId="77777777" w:rsidR="00A9370B" w:rsidRDefault="00A9370B" w:rsidP="00A9370B">
      <w:pPr>
        <w:jc w:val="center"/>
        <w:rPr>
          <w:b/>
          <w:sz w:val="24"/>
        </w:rPr>
      </w:pPr>
    </w:p>
    <w:p w14:paraId="7DBFF715" w14:textId="77777777" w:rsidR="00A9370B" w:rsidRDefault="00A9370B" w:rsidP="00A9370B">
      <w:pPr>
        <w:jc w:val="center"/>
        <w:rPr>
          <w:b/>
          <w:sz w:val="24"/>
        </w:rPr>
      </w:pPr>
    </w:p>
    <w:p w14:paraId="4876D870" w14:textId="77777777" w:rsidR="00A9370B" w:rsidRDefault="00A9370B" w:rsidP="00A9370B">
      <w:pPr>
        <w:jc w:val="center"/>
        <w:rPr>
          <w:b/>
          <w:sz w:val="24"/>
        </w:rPr>
      </w:pPr>
    </w:p>
    <w:p w14:paraId="125A2B9D" w14:textId="77777777" w:rsidR="00A9370B" w:rsidRDefault="00A9370B" w:rsidP="00A9370B">
      <w:pPr>
        <w:jc w:val="center"/>
        <w:rPr>
          <w:b/>
          <w:sz w:val="24"/>
        </w:rPr>
      </w:pPr>
    </w:p>
    <w:p w14:paraId="2847E13B" w14:textId="77777777" w:rsidR="00A9370B" w:rsidRDefault="00A9370B" w:rsidP="00A9370B">
      <w:pPr>
        <w:jc w:val="center"/>
        <w:rPr>
          <w:b/>
          <w:sz w:val="24"/>
        </w:rPr>
      </w:pPr>
    </w:p>
    <w:p w14:paraId="68985AF0" w14:textId="77777777" w:rsidR="00A9370B" w:rsidRDefault="00A9370B" w:rsidP="00A9370B">
      <w:pPr>
        <w:jc w:val="center"/>
        <w:rPr>
          <w:b/>
          <w:sz w:val="24"/>
        </w:rPr>
      </w:pPr>
    </w:p>
    <w:p w14:paraId="37E5A678" w14:textId="77777777" w:rsidR="00A9370B" w:rsidRDefault="00A9370B" w:rsidP="00A9370B">
      <w:pPr>
        <w:jc w:val="center"/>
        <w:rPr>
          <w:b/>
          <w:sz w:val="24"/>
        </w:rPr>
      </w:pPr>
    </w:p>
    <w:p w14:paraId="0030180C" w14:textId="77777777" w:rsidR="00A9370B" w:rsidRDefault="00A9370B" w:rsidP="00A9370B">
      <w:pPr>
        <w:jc w:val="center"/>
        <w:rPr>
          <w:b/>
          <w:sz w:val="24"/>
        </w:rPr>
      </w:pPr>
    </w:p>
    <w:p w14:paraId="50173EA7" w14:textId="77777777" w:rsidR="00A9370B" w:rsidRDefault="00A9370B" w:rsidP="00A9370B">
      <w:pPr>
        <w:jc w:val="center"/>
        <w:rPr>
          <w:b/>
          <w:sz w:val="24"/>
        </w:rPr>
      </w:pPr>
    </w:p>
    <w:p w14:paraId="26CB72A6" w14:textId="77777777" w:rsidR="00A9370B" w:rsidRDefault="00A9370B" w:rsidP="00A9370B">
      <w:pPr>
        <w:jc w:val="center"/>
        <w:rPr>
          <w:b/>
          <w:sz w:val="24"/>
        </w:rPr>
      </w:pPr>
    </w:p>
    <w:p w14:paraId="65FA1455" w14:textId="77777777" w:rsidR="00A9370B" w:rsidRDefault="00A9370B" w:rsidP="00A9370B">
      <w:pPr>
        <w:jc w:val="center"/>
        <w:rPr>
          <w:b/>
          <w:sz w:val="24"/>
        </w:rPr>
      </w:pPr>
    </w:p>
    <w:p w14:paraId="45EAEC67" w14:textId="77777777" w:rsidR="00A9370B" w:rsidRDefault="00A9370B" w:rsidP="00A9370B">
      <w:pPr>
        <w:jc w:val="center"/>
        <w:rPr>
          <w:b/>
          <w:sz w:val="24"/>
        </w:rPr>
      </w:pPr>
    </w:p>
    <w:p w14:paraId="607BF7FE" w14:textId="77777777" w:rsidR="00A9370B" w:rsidRDefault="00A9370B" w:rsidP="00A9370B">
      <w:pPr>
        <w:spacing w:after="80" w:line="360" w:lineRule="auto"/>
      </w:pPr>
      <w:r>
        <w:rPr>
          <w:b/>
        </w:rPr>
        <w:lastRenderedPageBreak/>
        <w:t>Table A2. Technological classes for environmental patents</w:t>
      </w:r>
    </w:p>
    <w:tbl>
      <w:tblPr>
        <w:tblW w:w="9637"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1633"/>
        <w:gridCol w:w="2437"/>
        <w:gridCol w:w="5567"/>
      </w:tblGrid>
      <w:tr w:rsidR="00A9370B" w14:paraId="2FBD3F45" w14:textId="77777777" w:rsidTr="0096728D">
        <w:trPr>
          <w:trHeight w:val="371"/>
        </w:trPr>
        <w:tc>
          <w:tcPr>
            <w:tcW w:w="1633" w:type="dxa"/>
            <w:tcBorders>
              <w:top w:val="single" w:sz="8" w:space="0" w:color="000000"/>
              <w:bottom w:val="single" w:sz="8" w:space="0" w:color="000000"/>
            </w:tcBorders>
            <w:tcMar>
              <w:top w:w="100" w:type="dxa"/>
              <w:left w:w="80" w:type="dxa"/>
              <w:bottom w:w="100" w:type="dxa"/>
              <w:right w:w="80" w:type="dxa"/>
            </w:tcMar>
          </w:tcPr>
          <w:p w14:paraId="0EE5BD8B" w14:textId="77777777" w:rsidR="00A9370B" w:rsidRDefault="00A9370B" w:rsidP="0096728D">
            <w:pPr>
              <w:spacing w:after="80" w:line="240" w:lineRule="auto"/>
              <w:jc w:val="center"/>
            </w:pPr>
          </w:p>
        </w:tc>
        <w:tc>
          <w:tcPr>
            <w:tcW w:w="2437" w:type="dxa"/>
            <w:tcBorders>
              <w:top w:val="single" w:sz="8" w:space="0" w:color="000000"/>
              <w:bottom w:val="single" w:sz="8" w:space="0" w:color="000000"/>
            </w:tcBorders>
            <w:tcMar>
              <w:top w:w="100" w:type="dxa"/>
              <w:left w:w="80" w:type="dxa"/>
              <w:bottom w:w="100" w:type="dxa"/>
              <w:right w:w="80" w:type="dxa"/>
            </w:tcMar>
          </w:tcPr>
          <w:p w14:paraId="1EA5310D" w14:textId="77777777" w:rsidR="00A9370B" w:rsidRDefault="00A9370B" w:rsidP="0096728D">
            <w:pPr>
              <w:spacing w:after="80" w:line="240" w:lineRule="auto"/>
            </w:pPr>
            <w:r>
              <w:rPr>
                <w:rFonts w:ascii="Calibri" w:eastAsia="Calibri" w:hAnsi="Calibri" w:cs="Calibri"/>
                <w:sz w:val="18"/>
                <w:szCs w:val="18"/>
              </w:rPr>
              <w:t>Description</w:t>
            </w:r>
          </w:p>
        </w:tc>
        <w:tc>
          <w:tcPr>
            <w:tcW w:w="5566" w:type="dxa"/>
            <w:tcBorders>
              <w:top w:val="single" w:sz="8" w:space="0" w:color="000000"/>
              <w:bottom w:val="single" w:sz="8" w:space="0" w:color="000000"/>
            </w:tcBorders>
            <w:tcMar>
              <w:top w:w="100" w:type="dxa"/>
              <w:left w:w="80" w:type="dxa"/>
              <w:bottom w:w="100" w:type="dxa"/>
              <w:right w:w="80" w:type="dxa"/>
            </w:tcMar>
          </w:tcPr>
          <w:p w14:paraId="42577200" w14:textId="77777777" w:rsidR="00A9370B" w:rsidRDefault="00A9370B" w:rsidP="0096728D">
            <w:pPr>
              <w:spacing w:after="80" w:line="240" w:lineRule="auto"/>
            </w:pPr>
            <w:r>
              <w:rPr>
                <w:rFonts w:ascii="Calibri" w:eastAsia="Calibri" w:hAnsi="Calibri" w:cs="Calibri"/>
                <w:sz w:val="18"/>
                <w:szCs w:val="18"/>
              </w:rPr>
              <w:t>IPC/ECLA Class</w:t>
            </w:r>
          </w:p>
        </w:tc>
      </w:tr>
      <w:tr w:rsidR="00A9370B" w14:paraId="3A30E0B8" w14:textId="77777777" w:rsidTr="0096728D">
        <w:tc>
          <w:tcPr>
            <w:tcW w:w="1633" w:type="dxa"/>
            <w:vMerge w:val="restart"/>
            <w:tcBorders>
              <w:bottom w:val="single" w:sz="8" w:space="0" w:color="000000"/>
            </w:tcBorders>
            <w:tcMar>
              <w:top w:w="100" w:type="dxa"/>
              <w:left w:w="80" w:type="dxa"/>
              <w:bottom w:w="100" w:type="dxa"/>
              <w:right w:w="80" w:type="dxa"/>
            </w:tcMar>
          </w:tcPr>
          <w:p w14:paraId="0A3108AB" w14:textId="77777777" w:rsidR="00A9370B" w:rsidRDefault="00A9370B" w:rsidP="0096728D">
            <w:pPr>
              <w:spacing w:after="80" w:line="240" w:lineRule="auto"/>
              <w:jc w:val="center"/>
            </w:pPr>
            <w:r>
              <w:rPr>
                <w:rFonts w:ascii="Times New Roman" w:eastAsia="Times New Roman" w:hAnsi="Times New Roman" w:cs="Times New Roman"/>
                <w:b/>
                <w:sz w:val="18"/>
                <w:szCs w:val="18"/>
              </w:rPr>
              <w:t>General environmental management</w:t>
            </w:r>
          </w:p>
        </w:tc>
        <w:tc>
          <w:tcPr>
            <w:tcW w:w="2437" w:type="dxa"/>
            <w:tcBorders>
              <w:bottom w:val="single" w:sz="8" w:space="0" w:color="000000"/>
            </w:tcBorders>
            <w:tcMar>
              <w:top w:w="100" w:type="dxa"/>
              <w:left w:w="80" w:type="dxa"/>
              <w:bottom w:w="100" w:type="dxa"/>
              <w:right w:w="80" w:type="dxa"/>
            </w:tcMar>
          </w:tcPr>
          <w:p w14:paraId="1626505B" w14:textId="77777777" w:rsidR="00A9370B" w:rsidRDefault="00A9370B" w:rsidP="0096728D">
            <w:pPr>
              <w:spacing w:after="80" w:line="240" w:lineRule="auto"/>
            </w:pPr>
            <w:r>
              <w:rPr>
                <w:rFonts w:ascii="Times New Roman" w:eastAsia="Times New Roman" w:hAnsi="Times New Roman" w:cs="Times New Roman"/>
                <w:sz w:val="18"/>
                <w:szCs w:val="18"/>
              </w:rPr>
              <w:t>Air pollution abatement</w:t>
            </w:r>
          </w:p>
        </w:tc>
        <w:tc>
          <w:tcPr>
            <w:tcW w:w="5566" w:type="dxa"/>
            <w:tcBorders>
              <w:bottom w:val="single" w:sz="8" w:space="0" w:color="000000"/>
            </w:tcBorders>
            <w:tcMar>
              <w:top w:w="100" w:type="dxa"/>
              <w:left w:w="80" w:type="dxa"/>
              <w:bottom w:w="100" w:type="dxa"/>
              <w:right w:w="80" w:type="dxa"/>
            </w:tcMar>
          </w:tcPr>
          <w:p w14:paraId="56E56A6E" w14:textId="77777777" w:rsidR="00A9370B" w:rsidRDefault="00A9370B" w:rsidP="0096728D">
            <w:pPr>
              <w:spacing w:after="80" w:line="240" w:lineRule="auto"/>
            </w:pPr>
            <w:r>
              <w:rPr>
                <w:rFonts w:ascii="Times New Roman" w:eastAsia="Times New Roman" w:hAnsi="Times New Roman" w:cs="Times New Roman"/>
                <w:sz w:val="18"/>
                <w:szCs w:val="18"/>
              </w:rPr>
              <w:t>BO1D46, B01D47, B01D49, B01D50, B01D51, B01D53/34-72, B03C3, C10L10/02, C10L10/06, C21B7/22, C21C5/38, F01N3, F01N5, F01N7, F01N9, F23B80, F23C9, F23G7/06, F23J15, F27B1/18</w:t>
            </w:r>
          </w:p>
        </w:tc>
      </w:tr>
      <w:tr w:rsidR="00A9370B" w:rsidRPr="000F0DDB" w14:paraId="75EC235B" w14:textId="77777777" w:rsidTr="0096728D">
        <w:tc>
          <w:tcPr>
            <w:tcW w:w="1633" w:type="dxa"/>
            <w:vMerge/>
            <w:tcBorders>
              <w:bottom w:val="single" w:sz="8" w:space="0" w:color="000000"/>
            </w:tcBorders>
          </w:tcPr>
          <w:p w14:paraId="0029B5C2"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B2E8ED2" w14:textId="77777777" w:rsidR="00A9370B" w:rsidRDefault="00A9370B" w:rsidP="0096728D">
            <w:pPr>
              <w:spacing w:after="80" w:line="240" w:lineRule="auto"/>
            </w:pPr>
            <w:r>
              <w:rPr>
                <w:rFonts w:ascii="Times New Roman" w:eastAsia="Times New Roman" w:hAnsi="Times New Roman" w:cs="Times New Roman"/>
                <w:sz w:val="18"/>
                <w:szCs w:val="18"/>
              </w:rPr>
              <w:t>Water pollution abatement</w:t>
            </w:r>
          </w:p>
        </w:tc>
        <w:tc>
          <w:tcPr>
            <w:tcW w:w="5566" w:type="dxa"/>
            <w:tcBorders>
              <w:bottom w:val="single" w:sz="8" w:space="0" w:color="000000"/>
            </w:tcBorders>
            <w:tcMar>
              <w:top w:w="100" w:type="dxa"/>
              <w:left w:w="100" w:type="dxa"/>
              <w:bottom w:w="100" w:type="dxa"/>
              <w:right w:w="100" w:type="dxa"/>
            </w:tcMar>
          </w:tcPr>
          <w:p w14:paraId="2429E2BD" w14:textId="77777777" w:rsidR="00A9370B" w:rsidRPr="00B10266" w:rsidRDefault="00A9370B" w:rsidP="0096728D">
            <w:pPr>
              <w:spacing w:after="80" w:line="240" w:lineRule="auto"/>
              <w:rPr>
                <w:lang w:val="it-IT"/>
              </w:rPr>
            </w:pPr>
            <w:r w:rsidRPr="00B10266">
              <w:rPr>
                <w:rFonts w:ascii="Times New Roman" w:eastAsia="Times New Roman" w:hAnsi="Times New Roman" w:cs="Times New Roman"/>
                <w:sz w:val="18"/>
                <w:szCs w:val="18"/>
                <w:lang w:val="it-IT"/>
              </w:rPr>
              <w:t>B63J4, C02F, C05F7, C09K3/32, E02B15/04-06, E02B15/10, E03B3, E03C1/12, E03F</w:t>
            </w:r>
          </w:p>
        </w:tc>
      </w:tr>
      <w:tr w:rsidR="00A9370B" w14:paraId="503616F9" w14:textId="77777777" w:rsidTr="0096728D">
        <w:tc>
          <w:tcPr>
            <w:tcW w:w="1633" w:type="dxa"/>
            <w:vMerge/>
            <w:tcBorders>
              <w:bottom w:val="single" w:sz="8" w:space="0" w:color="000000"/>
            </w:tcBorders>
          </w:tcPr>
          <w:p w14:paraId="7F154AD2" w14:textId="77777777" w:rsidR="00A9370B" w:rsidRPr="00B10266" w:rsidRDefault="00A9370B" w:rsidP="0096728D">
            <w:pPr>
              <w:spacing w:after="80" w:line="240" w:lineRule="auto"/>
              <w:jc w:val="center"/>
              <w:rPr>
                <w:lang w:val="it-IT"/>
              </w:rPr>
            </w:pPr>
          </w:p>
        </w:tc>
        <w:tc>
          <w:tcPr>
            <w:tcW w:w="2437" w:type="dxa"/>
            <w:tcBorders>
              <w:bottom w:val="single" w:sz="8" w:space="0" w:color="000000"/>
            </w:tcBorders>
            <w:tcMar>
              <w:top w:w="100" w:type="dxa"/>
              <w:left w:w="80" w:type="dxa"/>
              <w:bottom w:w="100" w:type="dxa"/>
              <w:right w:w="80" w:type="dxa"/>
            </w:tcMar>
          </w:tcPr>
          <w:p w14:paraId="6EE468BA" w14:textId="77777777" w:rsidR="00A9370B" w:rsidRDefault="00A9370B" w:rsidP="0096728D">
            <w:pPr>
              <w:spacing w:after="80" w:line="240" w:lineRule="auto"/>
            </w:pPr>
            <w:r>
              <w:rPr>
                <w:rFonts w:ascii="Times New Roman" w:eastAsia="Times New Roman" w:hAnsi="Times New Roman" w:cs="Times New Roman"/>
                <w:sz w:val="18"/>
                <w:szCs w:val="18"/>
              </w:rPr>
              <w:t>Solid waste collection</w:t>
            </w:r>
          </w:p>
        </w:tc>
        <w:tc>
          <w:tcPr>
            <w:tcW w:w="5566" w:type="dxa"/>
            <w:tcBorders>
              <w:bottom w:val="single" w:sz="8" w:space="0" w:color="000000"/>
            </w:tcBorders>
            <w:tcMar>
              <w:top w:w="100" w:type="dxa"/>
              <w:left w:w="100" w:type="dxa"/>
              <w:bottom w:w="100" w:type="dxa"/>
              <w:right w:w="100" w:type="dxa"/>
            </w:tcMar>
          </w:tcPr>
          <w:p w14:paraId="4B928CF3" w14:textId="77777777" w:rsidR="00A9370B" w:rsidRDefault="00A9370B" w:rsidP="0096728D">
            <w:pPr>
              <w:spacing w:after="80" w:line="240" w:lineRule="auto"/>
            </w:pPr>
            <w:r>
              <w:rPr>
                <w:rFonts w:ascii="Times New Roman" w:eastAsia="Times New Roman" w:hAnsi="Times New Roman" w:cs="Times New Roman"/>
                <w:sz w:val="18"/>
                <w:szCs w:val="18"/>
              </w:rPr>
              <w:t>E01H15, B65F</w:t>
            </w:r>
          </w:p>
        </w:tc>
      </w:tr>
      <w:tr w:rsidR="00A9370B" w14:paraId="1D89F62D" w14:textId="77777777" w:rsidTr="0096728D">
        <w:tc>
          <w:tcPr>
            <w:tcW w:w="1633" w:type="dxa"/>
            <w:vMerge/>
            <w:tcBorders>
              <w:bottom w:val="single" w:sz="8" w:space="0" w:color="000000"/>
            </w:tcBorders>
          </w:tcPr>
          <w:p w14:paraId="461C4059"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4DD73C5" w14:textId="77777777" w:rsidR="00A9370B" w:rsidRDefault="00A9370B" w:rsidP="0096728D">
            <w:pPr>
              <w:spacing w:after="80" w:line="240" w:lineRule="auto"/>
            </w:pPr>
            <w:r>
              <w:rPr>
                <w:rFonts w:ascii="Times New Roman" w:eastAsia="Times New Roman" w:hAnsi="Times New Roman" w:cs="Times New Roman"/>
                <w:sz w:val="18"/>
                <w:szCs w:val="18"/>
              </w:rPr>
              <w:t>Material recovery, recycling and re-use</w:t>
            </w:r>
          </w:p>
        </w:tc>
        <w:tc>
          <w:tcPr>
            <w:tcW w:w="5566" w:type="dxa"/>
            <w:tcBorders>
              <w:bottom w:val="single" w:sz="8" w:space="0" w:color="000000"/>
            </w:tcBorders>
            <w:tcMar>
              <w:top w:w="100" w:type="dxa"/>
              <w:left w:w="100" w:type="dxa"/>
              <w:bottom w:w="100" w:type="dxa"/>
              <w:right w:w="100" w:type="dxa"/>
            </w:tcMar>
          </w:tcPr>
          <w:p w14:paraId="7EAF1372" w14:textId="77777777" w:rsidR="00A9370B" w:rsidRDefault="00A9370B" w:rsidP="0096728D">
            <w:pPr>
              <w:spacing w:after="80" w:line="240" w:lineRule="auto"/>
            </w:pPr>
            <w:r>
              <w:rPr>
                <w:rFonts w:ascii="Times New Roman" w:eastAsia="Times New Roman" w:hAnsi="Times New Roman" w:cs="Times New Roman"/>
                <w:sz w:val="18"/>
                <w:szCs w:val="18"/>
              </w:rPr>
              <w:t>A23K1806-10, A43B1/12, A43B21/14, B03B9/06, B22F8, B29B7/66, B29B17, B30B9/32, B62D67, B65H73, B65D65/46, C03B1/02, C03C6/02, C03C6/08, C04B7/24-30, C04B11/26, C04B18/04-10, C04B33/132, C08J11, C09K11/01, C10M175, C22B7, C22B19/28-30, C22B25/06, D01G11, D21B1/08-10, D21B1/32, D21C5/02, D21H17/01, H01B15/00, H01J9/52, H01M6/52, H01M10/54</w:t>
            </w:r>
          </w:p>
        </w:tc>
      </w:tr>
      <w:tr w:rsidR="00A9370B" w14:paraId="3EA3143C" w14:textId="77777777" w:rsidTr="0096728D">
        <w:tc>
          <w:tcPr>
            <w:tcW w:w="1633" w:type="dxa"/>
            <w:vMerge/>
            <w:tcBorders>
              <w:bottom w:val="single" w:sz="8" w:space="0" w:color="000000"/>
            </w:tcBorders>
          </w:tcPr>
          <w:p w14:paraId="50B5D644"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6AE9D833" w14:textId="77777777" w:rsidR="00A9370B" w:rsidRDefault="00A9370B" w:rsidP="0096728D">
            <w:pPr>
              <w:spacing w:after="80" w:line="240" w:lineRule="auto"/>
            </w:pPr>
            <w:r>
              <w:rPr>
                <w:rFonts w:ascii="Times New Roman" w:eastAsia="Times New Roman" w:hAnsi="Times New Roman" w:cs="Times New Roman"/>
                <w:sz w:val="18"/>
                <w:szCs w:val="18"/>
              </w:rPr>
              <w:t>Fertilizers from waste</w:t>
            </w:r>
          </w:p>
        </w:tc>
        <w:tc>
          <w:tcPr>
            <w:tcW w:w="5566" w:type="dxa"/>
            <w:tcBorders>
              <w:bottom w:val="single" w:sz="8" w:space="0" w:color="000000"/>
            </w:tcBorders>
            <w:tcMar>
              <w:top w:w="100" w:type="dxa"/>
              <w:left w:w="100" w:type="dxa"/>
              <w:bottom w:w="100" w:type="dxa"/>
              <w:right w:w="100" w:type="dxa"/>
            </w:tcMar>
          </w:tcPr>
          <w:p w14:paraId="28181324" w14:textId="77777777" w:rsidR="00A9370B" w:rsidRDefault="00A9370B" w:rsidP="0096728D">
            <w:pPr>
              <w:spacing w:after="80" w:line="240" w:lineRule="auto"/>
            </w:pPr>
            <w:r>
              <w:rPr>
                <w:rFonts w:ascii="Times New Roman" w:eastAsia="Times New Roman" w:hAnsi="Times New Roman" w:cs="Times New Roman"/>
                <w:sz w:val="18"/>
                <w:szCs w:val="18"/>
              </w:rPr>
              <w:t>C05F1, C05F5, C05F7, C05F9, C05F17</w:t>
            </w:r>
          </w:p>
        </w:tc>
      </w:tr>
      <w:tr w:rsidR="00A9370B" w14:paraId="06614579" w14:textId="77777777" w:rsidTr="0096728D">
        <w:tc>
          <w:tcPr>
            <w:tcW w:w="1633" w:type="dxa"/>
            <w:vMerge/>
            <w:tcBorders>
              <w:bottom w:val="single" w:sz="8" w:space="0" w:color="000000"/>
            </w:tcBorders>
          </w:tcPr>
          <w:p w14:paraId="114C1891"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2F573331" w14:textId="77777777" w:rsidR="00A9370B" w:rsidRDefault="00A9370B" w:rsidP="0096728D">
            <w:pPr>
              <w:spacing w:after="80" w:line="240" w:lineRule="auto"/>
            </w:pPr>
            <w:r>
              <w:rPr>
                <w:rFonts w:ascii="Times New Roman" w:eastAsia="Times New Roman" w:hAnsi="Times New Roman" w:cs="Times New Roman"/>
                <w:sz w:val="18"/>
                <w:szCs w:val="18"/>
              </w:rPr>
              <w:t>Incineration and energy recovery</w:t>
            </w:r>
          </w:p>
        </w:tc>
        <w:tc>
          <w:tcPr>
            <w:tcW w:w="5566" w:type="dxa"/>
            <w:tcBorders>
              <w:bottom w:val="single" w:sz="8" w:space="0" w:color="000000"/>
            </w:tcBorders>
            <w:tcMar>
              <w:top w:w="100" w:type="dxa"/>
              <w:left w:w="100" w:type="dxa"/>
              <w:bottom w:w="100" w:type="dxa"/>
              <w:right w:w="100" w:type="dxa"/>
            </w:tcMar>
          </w:tcPr>
          <w:p w14:paraId="3F53A156" w14:textId="77777777" w:rsidR="00A9370B" w:rsidRDefault="00A9370B" w:rsidP="0096728D">
            <w:pPr>
              <w:spacing w:after="80" w:line="240" w:lineRule="auto"/>
            </w:pPr>
            <w:r>
              <w:rPr>
                <w:rFonts w:ascii="Times New Roman" w:eastAsia="Times New Roman" w:hAnsi="Times New Roman" w:cs="Times New Roman"/>
                <w:sz w:val="18"/>
                <w:szCs w:val="18"/>
              </w:rPr>
              <w:t>C10L5/46-48, F23G5, F23G7</w:t>
            </w:r>
          </w:p>
        </w:tc>
      </w:tr>
      <w:tr w:rsidR="00A9370B" w14:paraId="28B30CEE" w14:textId="77777777" w:rsidTr="0096728D">
        <w:tc>
          <w:tcPr>
            <w:tcW w:w="1633" w:type="dxa"/>
            <w:vMerge/>
            <w:tcBorders>
              <w:bottom w:val="single" w:sz="8" w:space="0" w:color="000000"/>
            </w:tcBorders>
          </w:tcPr>
          <w:p w14:paraId="5CB2F5A4"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88687BE" w14:textId="77777777" w:rsidR="00A9370B" w:rsidRDefault="00A9370B" w:rsidP="0096728D">
            <w:pPr>
              <w:spacing w:after="80" w:line="240" w:lineRule="auto"/>
            </w:pPr>
            <w:r>
              <w:rPr>
                <w:rFonts w:ascii="Times New Roman" w:eastAsia="Times New Roman" w:hAnsi="Times New Roman" w:cs="Times New Roman"/>
                <w:sz w:val="18"/>
                <w:szCs w:val="18"/>
              </w:rPr>
              <w:t>Waste management n.e.c.</w:t>
            </w:r>
          </w:p>
        </w:tc>
        <w:tc>
          <w:tcPr>
            <w:tcW w:w="5566" w:type="dxa"/>
            <w:tcBorders>
              <w:bottom w:val="single" w:sz="8" w:space="0" w:color="000000"/>
            </w:tcBorders>
            <w:tcMar>
              <w:top w:w="100" w:type="dxa"/>
              <w:left w:w="100" w:type="dxa"/>
              <w:bottom w:w="100" w:type="dxa"/>
              <w:right w:w="100" w:type="dxa"/>
            </w:tcMar>
          </w:tcPr>
          <w:p w14:paraId="3C1264D5" w14:textId="77777777" w:rsidR="00A9370B" w:rsidRDefault="00A9370B" w:rsidP="0096728D">
            <w:pPr>
              <w:spacing w:after="80" w:line="240" w:lineRule="auto"/>
            </w:pPr>
            <w:r>
              <w:rPr>
                <w:rFonts w:ascii="Times New Roman" w:eastAsia="Times New Roman" w:hAnsi="Times New Roman" w:cs="Times New Roman"/>
                <w:sz w:val="18"/>
                <w:szCs w:val="18"/>
              </w:rPr>
              <w:t>B09B, C10G1/10, A61L11</w:t>
            </w:r>
          </w:p>
        </w:tc>
      </w:tr>
      <w:tr w:rsidR="00A9370B" w14:paraId="2DAA54C6" w14:textId="77777777" w:rsidTr="0096728D">
        <w:tc>
          <w:tcPr>
            <w:tcW w:w="1633" w:type="dxa"/>
            <w:vMerge/>
            <w:tcBorders>
              <w:bottom w:val="single" w:sz="8" w:space="0" w:color="000000"/>
            </w:tcBorders>
          </w:tcPr>
          <w:p w14:paraId="7803E039"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7BDDBC6" w14:textId="77777777" w:rsidR="00A9370B" w:rsidRDefault="00A9370B" w:rsidP="0096728D">
            <w:pPr>
              <w:spacing w:after="80" w:line="240" w:lineRule="auto"/>
            </w:pPr>
            <w:r>
              <w:rPr>
                <w:rFonts w:ascii="Times New Roman" w:eastAsia="Times New Roman" w:hAnsi="Times New Roman" w:cs="Times New Roman"/>
                <w:sz w:val="18"/>
                <w:szCs w:val="18"/>
              </w:rPr>
              <w:t>Soil remediation</w:t>
            </w:r>
          </w:p>
        </w:tc>
        <w:tc>
          <w:tcPr>
            <w:tcW w:w="5566" w:type="dxa"/>
            <w:tcBorders>
              <w:bottom w:val="single" w:sz="8" w:space="0" w:color="000000"/>
            </w:tcBorders>
            <w:tcMar>
              <w:top w:w="100" w:type="dxa"/>
              <w:left w:w="100" w:type="dxa"/>
              <w:bottom w:w="100" w:type="dxa"/>
              <w:right w:w="100" w:type="dxa"/>
            </w:tcMar>
          </w:tcPr>
          <w:p w14:paraId="59A51884" w14:textId="77777777" w:rsidR="00A9370B" w:rsidRDefault="00A9370B" w:rsidP="0096728D">
            <w:pPr>
              <w:spacing w:after="80" w:line="240" w:lineRule="auto"/>
            </w:pPr>
            <w:r>
              <w:rPr>
                <w:rFonts w:ascii="Times New Roman" w:eastAsia="Times New Roman" w:hAnsi="Times New Roman" w:cs="Times New Roman"/>
                <w:sz w:val="18"/>
                <w:szCs w:val="18"/>
              </w:rPr>
              <w:t>B09C</w:t>
            </w:r>
          </w:p>
        </w:tc>
      </w:tr>
      <w:tr w:rsidR="00A9370B" w14:paraId="5D55AC72" w14:textId="77777777" w:rsidTr="0096728D">
        <w:tc>
          <w:tcPr>
            <w:tcW w:w="1633" w:type="dxa"/>
            <w:vMerge/>
            <w:tcBorders>
              <w:bottom w:val="single" w:sz="8" w:space="0" w:color="000000"/>
            </w:tcBorders>
          </w:tcPr>
          <w:p w14:paraId="7A82FB14"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0DE73597" w14:textId="77777777" w:rsidR="00A9370B" w:rsidRDefault="00A9370B" w:rsidP="0096728D">
            <w:pPr>
              <w:spacing w:after="80" w:line="240" w:lineRule="auto"/>
            </w:pPr>
            <w:r>
              <w:rPr>
                <w:rFonts w:ascii="Times New Roman" w:eastAsia="Times New Roman" w:hAnsi="Times New Roman" w:cs="Times New Roman"/>
                <w:sz w:val="18"/>
                <w:szCs w:val="18"/>
              </w:rPr>
              <w:t>Environmental monitoring</w:t>
            </w:r>
          </w:p>
        </w:tc>
        <w:tc>
          <w:tcPr>
            <w:tcW w:w="5566" w:type="dxa"/>
            <w:tcBorders>
              <w:bottom w:val="single" w:sz="8" w:space="0" w:color="000000"/>
            </w:tcBorders>
            <w:tcMar>
              <w:top w:w="100" w:type="dxa"/>
              <w:left w:w="100" w:type="dxa"/>
              <w:bottom w:w="100" w:type="dxa"/>
              <w:right w:w="100" w:type="dxa"/>
            </w:tcMar>
          </w:tcPr>
          <w:p w14:paraId="79FF9720" w14:textId="77777777" w:rsidR="00A9370B" w:rsidRDefault="00A9370B" w:rsidP="0096728D">
            <w:pPr>
              <w:spacing w:after="80" w:line="240" w:lineRule="auto"/>
            </w:pPr>
            <w:r>
              <w:rPr>
                <w:rFonts w:ascii="Times New Roman" w:eastAsia="Times New Roman" w:hAnsi="Times New Roman" w:cs="Times New Roman"/>
                <w:sz w:val="18"/>
                <w:szCs w:val="18"/>
              </w:rPr>
              <w:t>F01N11, G08B21/12-14</w:t>
            </w:r>
          </w:p>
        </w:tc>
      </w:tr>
      <w:tr w:rsidR="00A9370B" w14:paraId="659886DB" w14:textId="77777777" w:rsidTr="0096728D">
        <w:tc>
          <w:tcPr>
            <w:tcW w:w="1633" w:type="dxa"/>
            <w:vMerge w:val="restart"/>
            <w:tcBorders>
              <w:bottom w:val="single" w:sz="8" w:space="0" w:color="000000"/>
            </w:tcBorders>
            <w:tcMar>
              <w:top w:w="100" w:type="dxa"/>
              <w:left w:w="80" w:type="dxa"/>
              <w:bottom w:w="100" w:type="dxa"/>
              <w:right w:w="80" w:type="dxa"/>
            </w:tcMar>
          </w:tcPr>
          <w:p w14:paraId="3AC57B23" w14:textId="77777777" w:rsidR="00A9370B" w:rsidRDefault="00A9370B" w:rsidP="0096728D">
            <w:pPr>
              <w:spacing w:after="80" w:line="240" w:lineRule="auto"/>
              <w:jc w:val="center"/>
            </w:pPr>
            <w:r>
              <w:rPr>
                <w:rFonts w:ascii="Times New Roman" w:eastAsia="Times New Roman" w:hAnsi="Times New Roman" w:cs="Times New Roman"/>
                <w:b/>
                <w:sz w:val="18"/>
                <w:szCs w:val="18"/>
              </w:rPr>
              <w:t>Energy generation from renewable and non-fossil sources</w:t>
            </w:r>
          </w:p>
        </w:tc>
        <w:tc>
          <w:tcPr>
            <w:tcW w:w="2437" w:type="dxa"/>
            <w:tcBorders>
              <w:bottom w:val="single" w:sz="8" w:space="0" w:color="000000"/>
            </w:tcBorders>
            <w:tcMar>
              <w:top w:w="100" w:type="dxa"/>
              <w:left w:w="80" w:type="dxa"/>
              <w:bottom w:w="100" w:type="dxa"/>
              <w:right w:w="80" w:type="dxa"/>
            </w:tcMar>
          </w:tcPr>
          <w:p w14:paraId="4511D2DE" w14:textId="77777777" w:rsidR="00A9370B" w:rsidRDefault="00A9370B" w:rsidP="0096728D">
            <w:pPr>
              <w:spacing w:after="80" w:line="240" w:lineRule="auto"/>
            </w:pPr>
            <w:r>
              <w:rPr>
                <w:rFonts w:ascii="Times New Roman" w:eastAsia="Times New Roman" w:hAnsi="Times New Roman" w:cs="Times New Roman"/>
                <w:sz w:val="18"/>
                <w:szCs w:val="18"/>
              </w:rPr>
              <w:t>Wind energy</w:t>
            </w:r>
          </w:p>
        </w:tc>
        <w:tc>
          <w:tcPr>
            <w:tcW w:w="5566" w:type="dxa"/>
            <w:tcBorders>
              <w:bottom w:val="single" w:sz="8" w:space="0" w:color="000000"/>
            </w:tcBorders>
            <w:tcMar>
              <w:top w:w="100" w:type="dxa"/>
              <w:left w:w="80" w:type="dxa"/>
              <w:bottom w:w="100" w:type="dxa"/>
              <w:right w:w="80" w:type="dxa"/>
            </w:tcMar>
          </w:tcPr>
          <w:p w14:paraId="57D370BA" w14:textId="77777777" w:rsidR="00A9370B" w:rsidRDefault="00A9370B" w:rsidP="0096728D">
            <w:pPr>
              <w:spacing w:after="80" w:line="240" w:lineRule="auto"/>
            </w:pPr>
            <w:r>
              <w:rPr>
                <w:rFonts w:ascii="Times New Roman" w:eastAsia="Times New Roman" w:hAnsi="Times New Roman" w:cs="Times New Roman"/>
                <w:sz w:val="18"/>
                <w:szCs w:val="18"/>
              </w:rPr>
              <w:t>Y02E10/7</w:t>
            </w:r>
          </w:p>
        </w:tc>
      </w:tr>
      <w:tr w:rsidR="00A9370B" w14:paraId="4AB63C6F" w14:textId="77777777" w:rsidTr="0096728D">
        <w:tc>
          <w:tcPr>
            <w:tcW w:w="1633" w:type="dxa"/>
            <w:vMerge/>
            <w:tcBorders>
              <w:bottom w:val="single" w:sz="8" w:space="0" w:color="000000"/>
            </w:tcBorders>
          </w:tcPr>
          <w:p w14:paraId="277A5FFE"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1CC16459" w14:textId="77777777" w:rsidR="00A9370B" w:rsidRDefault="00A9370B" w:rsidP="0096728D">
            <w:pPr>
              <w:spacing w:after="80" w:line="240" w:lineRule="auto"/>
            </w:pPr>
            <w:r>
              <w:rPr>
                <w:rFonts w:ascii="Times New Roman" w:eastAsia="Times New Roman" w:hAnsi="Times New Roman" w:cs="Times New Roman"/>
                <w:sz w:val="18"/>
                <w:szCs w:val="18"/>
              </w:rPr>
              <w:t>Solar thermal energy</w:t>
            </w:r>
          </w:p>
        </w:tc>
        <w:tc>
          <w:tcPr>
            <w:tcW w:w="5566" w:type="dxa"/>
            <w:tcBorders>
              <w:bottom w:val="single" w:sz="8" w:space="0" w:color="000000"/>
            </w:tcBorders>
            <w:tcMar>
              <w:top w:w="100" w:type="dxa"/>
              <w:left w:w="100" w:type="dxa"/>
              <w:bottom w:w="100" w:type="dxa"/>
              <w:right w:w="100" w:type="dxa"/>
            </w:tcMar>
          </w:tcPr>
          <w:p w14:paraId="42337257" w14:textId="77777777" w:rsidR="00A9370B" w:rsidRDefault="00A9370B" w:rsidP="0096728D">
            <w:pPr>
              <w:spacing w:after="80" w:line="240" w:lineRule="auto"/>
            </w:pPr>
            <w:r>
              <w:rPr>
                <w:rFonts w:ascii="Times New Roman" w:eastAsia="Times New Roman" w:hAnsi="Times New Roman" w:cs="Times New Roman"/>
                <w:sz w:val="18"/>
                <w:szCs w:val="18"/>
              </w:rPr>
              <w:t>Y02E10/4</w:t>
            </w:r>
          </w:p>
        </w:tc>
      </w:tr>
      <w:tr w:rsidR="00A9370B" w14:paraId="2EF36E02" w14:textId="77777777" w:rsidTr="0096728D">
        <w:tc>
          <w:tcPr>
            <w:tcW w:w="1633" w:type="dxa"/>
            <w:vMerge/>
            <w:tcBorders>
              <w:bottom w:val="single" w:sz="8" w:space="0" w:color="000000"/>
            </w:tcBorders>
          </w:tcPr>
          <w:p w14:paraId="4C395D71"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FC2A033" w14:textId="77777777" w:rsidR="00A9370B" w:rsidRDefault="00A9370B" w:rsidP="0096728D">
            <w:pPr>
              <w:spacing w:after="80" w:line="240" w:lineRule="auto"/>
            </w:pPr>
            <w:r>
              <w:rPr>
                <w:rFonts w:ascii="Times New Roman" w:eastAsia="Times New Roman" w:hAnsi="Times New Roman" w:cs="Times New Roman"/>
                <w:sz w:val="18"/>
                <w:szCs w:val="18"/>
              </w:rPr>
              <w:t>Solar photovoltaic (PV) energy</w:t>
            </w:r>
          </w:p>
        </w:tc>
        <w:tc>
          <w:tcPr>
            <w:tcW w:w="5566" w:type="dxa"/>
            <w:tcBorders>
              <w:bottom w:val="single" w:sz="8" w:space="0" w:color="000000"/>
            </w:tcBorders>
            <w:tcMar>
              <w:top w:w="100" w:type="dxa"/>
              <w:left w:w="100" w:type="dxa"/>
              <w:bottom w:w="100" w:type="dxa"/>
              <w:right w:w="100" w:type="dxa"/>
            </w:tcMar>
          </w:tcPr>
          <w:p w14:paraId="7888B0CC" w14:textId="77777777" w:rsidR="00A9370B" w:rsidRDefault="00A9370B" w:rsidP="0096728D">
            <w:pPr>
              <w:spacing w:after="80" w:line="240" w:lineRule="auto"/>
            </w:pPr>
            <w:r>
              <w:rPr>
                <w:rFonts w:ascii="Times New Roman" w:eastAsia="Times New Roman" w:hAnsi="Times New Roman" w:cs="Times New Roman"/>
                <w:sz w:val="18"/>
                <w:szCs w:val="18"/>
              </w:rPr>
              <w:t>Y02E10/5</w:t>
            </w:r>
          </w:p>
        </w:tc>
      </w:tr>
      <w:tr w:rsidR="00A9370B" w14:paraId="5C4BE503" w14:textId="77777777" w:rsidTr="0096728D">
        <w:tc>
          <w:tcPr>
            <w:tcW w:w="1633" w:type="dxa"/>
            <w:vMerge/>
            <w:tcBorders>
              <w:bottom w:val="single" w:sz="8" w:space="0" w:color="000000"/>
            </w:tcBorders>
          </w:tcPr>
          <w:p w14:paraId="4BD00BC8"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0760D552" w14:textId="77777777" w:rsidR="00A9370B" w:rsidRDefault="00A9370B" w:rsidP="0096728D">
            <w:pPr>
              <w:spacing w:after="80" w:line="240" w:lineRule="auto"/>
            </w:pPr>
            <w:r>
              <w:rPr>
                <w:rFonts w:ascii="Times New Roman" w:eastAsia="Times New Roman" w:hAnsi="Times New Roman" w:cs="Times New Roman"/>
                <w:sz w:val="18"/>
                <w:szCs w:val="18"/>
              </w:rPr>
              <w:t>Solar thermal-PV hybrids</w:t>
            </w:r>
          </w:p>
        </w:tc>
        <w:tc>
          <w:tcPr>
            <w:tcW w:w="5566" w:type="dxa"/>
            <w:tcBorders>
              <w:bottom w:val="single" w:sz="8" w:space="0" w:color="000000"/>
            </w:tcBorders>
            <w:tcMar>
              <w:top w:w="100" w:type="dxa"/>
              <w:left w:w="100" w:type="dxa"/>
              <w:bottom w:w="100" w:type="dxa"/>
              <w:right w:w="100" w:type="dxa"/>
            </w:tcMar>
          </w:tcPr>
          <w:p w14:paraId="28E46037" w14:textId="77777777" w:rsidR="00A9370B" w:rsidRDefault="00A9370B" w:rsidP="0096728D">
            <w:pPr>
              <w:spacing w:after="80" w:line="240" w:lineRule="auto"/>
            </w:pPr>
            <w:r>
              <w:rPr>
                <w:rFonts w:ascii="Times New Roman" w:eastAsia="Times New Roman" w:hAnsi="Times New Roman" w:cs="Times New Roman"/>
                <w:sz w:val="18"/>
                <w:szCs w:val="18"/>
              </w:rPr>
              <w:t>Y02E10/6</w:t>
            </w:r>
          </w:p>
        </w:tc>
      </w:tr>
      <w:tr w:rsidR="00A9370B" w14:paraId="1E9BF587" w14:textId="77777777" w:rsidTr="0096728D">
        <w:tc>
          <w:tcPr>
            <w:tcW w:w="1633" w:type="dxa"/>
            <w:vMerge/>
            <w:tcBorders>
              <w:bottom w:val="single" w:sz="8" w:space="0" w:color="000000"/>
            </w:tcBorders>
          </w:tcPr>
          <w:p w14:paraId="669D856B"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4145833" w14:textId="77777777" w:rsidR="00A9370B" w:rsidRDefault="00A9370B" w:rsidP="0096728D">
            <w:pPr>
              <w:spacing w:after="80" w:line="240" w:lineRule="auto"/>
            </w:pPr>
            <w:r>
              <w:rPr>
                <w:rFonts w:ascii="Times New Roman" w:eastAsia="Times New Roman" w:hAnsi="Times New Roman" w:cs="Times New Roman"/>
                <w:sz w:val="18"/>
                <w:szCs w:val="18"/>
              </w:rPr>
              <w:t>Geothermal energy</w:t>
            </w:r>
          </w:p>
        </w:tc>
        <w:tc>
          <w:tcPr>
            <w:tcW w:w="5566" w:type="dxa"/>
            <w:tcBorders>
              <w:bottom w:val="single" w:sz="8" w:space="0" w:color="000000"/>
            </w:tcBorders>
            <w:tcMar>
              <w:top w:w="100" w:type="dxa"/>
              <w:left w:w="100" w:type="dxa"/>
              <w:bottom w:w="100" w:type="dxa"/>
              <w:right w:w="100" w:type="dxa"/>
            </w:tcMar>
          </w:tcPr>
          <w:p w14:paraId="5B887FCE" w14:textId="77777777" w:rsidR="00A9370B" w:rsidRDefault="00A9370B" w:rsidP="0096728D">
            <w:pPr>
              <w:spacing w:after="80" w:line="240" w:lineRule="auto"/>
            </w:pPr>
            <w:r>
              <w:rPr>
                <w:rFonts w:ascii="Times New Roman" w:eastAsia="Times New Roman" w:hAnsi="Times New Roman" w:cs="Times New Roman"/>
                <w:sz w:val="18"/>
                <w:szCs w:val="18"/>
              </w:rPr>
              <w:t>Y02E10/1</w:t>
            </w:r>
          </w:p>
        </w:tc>
      </w:tr>
      <w:tr w:rsidR="00A9370B" w14:paraId="45D7803D" w14:textId="77777777" w:rsidTr="0096728D">
        <w:tc>
          <w:tcPr>
            <w:tcW w:w="1633" w:type="dxa"/>
            <w:vMerge/>
            <w:tcBorders>
              <w:bottom w:val="single" w:sz="8" w:space="0" w:color="000000"/>
            </w:tcBorders>
          </w:tcPr>
          <w:p w14:paraId="602700E7"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35A74FC" w14:textId="77777777" w:rsidR="00A9370B" w:rsidRDefault="00A9370B" w:rsidP="0096728D">
            <w:pPr>
              <w:spacing w:after="80" w:line="240" w:lineRule="auto"/>
            </w:pPr>
            <w:r>
              <w:rPr>
                <w:rFonts w:ascii="Times New Roman" w:eastAsia="Times New Roman" w:hAnsi="Times New Roman" w:cs="Times New Roman"/>
                <w:sz w:val="18"/>
                <w:szCs w:val="18"/>
              </w:rPr>
              <w:t>Marine energy</w:t>
            </w:r>
          </w:p>
        </w:tc>
        <w:tc>
          <w:tcPr>
            <w:tcW w:w="5566" w:type="dxa"/>
            <w:tcBorders>
              <w:bottom w:val="single" w:sz="8" w:space="0" w:color="000000"/>
            </w:tcBorders>
            <w:tcMar>
              <w:top w:w="100" w:type="dxa"/>
              <w:left w:w="100" w:type="dxa"/>
              <w:bottom w:w="100" w:type="dxa"/>
              <w:right w:w="100" w:type="dxa"/>
            </w:tcMar>
          </w:tcPr>
          <w:p w14:paraId="5046C3EF" w14:textId="77777777" w:rsidR="00A9370B" w:rsidRDefault="00A9370B" w:rsidP="0096728D">
            <w:pPr>
              <w:spacing w:after="80" w:line="240" w:lineRule="auto"/>
            </w:pPr>
            <w:r>
              <w:rPr>
                <w:rFonts w:ascii="Times New Roman" w:eastAsia="Times New Roman" w:hAnsi="Times New Roman" w:cs="Times New Roman"/>
                <w:sz w:val="18"/>
                <w:szCs w:val="18"/>
              </w:rPr>
              <w:t>Y02E10/3</w:t>
            </w:r>
          </w:p>
        </w:tc>
      </w:tr>
      <w:tr w:rsidR="00A9370B" w14:paraId="56C65437" w14:textId="77777777" w:rsidTr="0096728D">
        <w:tc>
          <w:tcPr>
            <w:tcW w:w="1633" w:type="dxa"/>
            <w:vMerge/>
            <w:tcBorders>
              <w:bottom w:val="single" w:sz="8" w:space="0" w:color="000000"/>
            </w:tcBorders>
          </w:tcPr>
          <w:p w14:paraId="775F8AE2"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2760016E" w14:textId="77777777" w:rsidR="00A9370B" w:rsidRDefault="00A9370B" w:rsidP="0096728D">
            <w:pPr>
              <w:spacing w:after="80" w:line="240" w:lineRule="auto"/>
            </w:pPr>
            <w:r>
              <w:rPr>
                <w:rFonts w:ascii="Times New Roman" w:eastAsia="Times New Roman" w:hAnsi="Times New Roman" w:cs="Times New Roman"/>
                <w:sz w:val="18"/>
                <w:szCs w:val="18"/>
              </w:rPr>
              <w:t>Hydro energy</w:t>
            </w:r>
          </w:p>
        </w:tc>
        <w:tc>
          <w:tcPr>
            <w:tcW w:w="5566" w:type="dxa"/>
            <w:tcBorders>
              <w:bottom w:val="single" w:sz="8" w:space="0" w:color="000000"/>
            </w:tcBorders>
            <w:tcMar>
              <w:top w:w="100" w:type="dxa"/>
              <w:left w:w="100" w:type="dxa"/>
              <w:bottom w:w="100" w:type="dxa"/>
              <w:right w:w="100" w:type="dxa"/>
            </w:tcMar>
          </w:tcPr>
          <w:p w14:paraId="2923A038" w14:textId="77777777" w:rsidR="00A9370B" w:rsidRDefault="00A9370B" w:rsidP="0096728D">
            <w:pPr>
              <w:spacing w:after="80" w:line="240" w:lineRule="auto"/>
            </w:pPr>
            <w:r>
              <w:rPr>
                <w:rFonts w:ascii="Times New Roman" w:eastAsia="Times New Roman" w:hAnsi="Times New Roman" w:cs="Times New Roman"/>
                <w:sz w:val="18"/>
                <w:szCs w:val="18"/>
              </w:rPr>
              <w:t>Y02E10/2</w:t>
            </w:r>
          </w:p>
        </w:tc>
      </w:tr>
      <w:tr w:rsidR="00A9370B" w14:paraId="1BFC37FF" w14:textId="77777777" w:rsidTr="0096728D">
        <w:tc>
          <w:tcPr>
            <w:tcW w:w="1633" w:type="dxa"/>
            <w:vMerge/>
            <w:tcBorders>
              <w:bottom w:val="single" w:sz="8" w:space="0" w:color="000000"/>
            </w:tcBorders>
          </w:tcPr>
          <w:p w14:paraId="1199B3F3"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0992F51" w14:textId="77777777" w:rsidR="00A9370B" w:rsidRDefault="00A9370B" w:rsidP="0096728D">
            <w:pPr>
              <w:spacing w:after="80" w:line="240" w:lineRule="auto"/>
            </w:pPr>
            <w:r>
              <w:rPr>
                <w:rFonts w:ascii="Times New Roman" w:eastAsia="Times New Roman" w:hAnsi="Times New Roman" w:cs="Times New Roman"/>
                <w:sz w:val="18"/>
                <w:szCs w:val="18"/>
              </w:rPr>
              <w:t>Biofuels</w:t>
            </w:r>
          </w:p>
        </w:tc>
        <w:tc>
          <w:tcPr>
            <w:tcW w:w="5566" w:type="dxa"/>
            <w:tcBorders>
              <w:bottom w:val="single" w:sz="8" w:space="0" w:color="000000"/>
            </w:tcBorders>
            <w:tcMar>
              <w:top w:w="100" w:type="dxa"/>
              <w:left w:w="100" w:type="dxa"/>
              <w:bottom w:w="100" w:type="dxa"/>
              <w:right w:w="100" w:type="dxa"/>
            </w:tcMar>
          </w:tcPr>
          <w:p w14:paraId="1FB91F8D" w14:textId="77777777" w:rsidR="00A9370B" w:rsidRDefault="00A9370B" w:rsidP="0096728D">
            <w:pPr>
              <w:spacing w:after="80" w:line="240" w:lineRule="auto"/>
            </w:pPr>
            <w:r>
              <w:rPr>
                <w:rFonts w:ascii="Times New Roman" w:eastAsia="Times New Roman" w:hAnsi="Times New Roman" w:cs="Times New Roman"/>
                <w:sz w:val="18"/>
                <w:szCs w:val="18"/>
              </w:rPr>
              <w:t>Y02E50/1</w:t>
            </w:r>
          </w:p>
        </w:tc>
      </w:tr>
      <w:tr w:rsidR="00A9370B" w14:paraId="275744E0" w14:textId="77777777" w:rsidTr="0096728D">
        <w:tc>
          <w:tcPr>
            <w:tcW w:w="1633" w:type="dxa"/>
            <w:vMerge/>
            <w:tcBorders>
              <w:bottom w:val="single" w:sz="8" w:space="0" w:color="000000"/>
            </w:tcBorders>
          </w:tcPr>
          <w:p w14:paraId="35FCE7F6"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25B964B" w14:textId="77777777" w:rsidR="00A9370B" w:rsidRDefault="00A9370B" w:rsidP="0096728D">
            <w:pPr>
              <w:spacing w:after="80" w:line="240" w:lineRule="auto"/>
            </w:pPr>
            <w:r>
              <w:rPr>
                <w:rFonts w:ascii="Times New Roman" w:eastAsia="Times New Roman" w:hAnsi="Times New Roman" w:cs="Times New Roman"/>
                <w:sz w:val="18"/>
                <w:szCs w:val="18"/>
              </w:rPr>
              <w:t>Fuel from waste</w:t>
            </w:r>
          </w:p>
        </w:tc>
        <w:tc>
          <w:tcPr>
            <w:tcW w:w="5566" w:type="dxa"/>
            <w:tcBorders>
              <w:bottom w:val="single" w:sz="8" w:space="0" w:color="000000"/>
            </w:tcBorders>
            <w:tcMar>
              <w:top w:w="100" w:type="dxa"/>
              <w:left w:w="100" w:type="dxa"/>
              <w:bottom w:w="100" w:type="dxa"/>
              <w:right w:w="100" w:type="dxa"/>
            </w:tcMar>
          </w:tcPr>
          <w:p w14:paraId="4EA1917D" w14:textId="77777777" w:rsidR="00A9370B" w:rsidRDefault="00A9370B" w:rsidP="0096728D">
            <w:pPr>
              <w:spacing w:after="80" w:line="240" w:lineRule="auto"/>
            </w:pPr>
            <w:r>
              <w:rPr>
                <w:rFonts w:ascii="Times New Roman" w:eastAsia="Times New Roman" w:hAnsi="Times New Roman" w:cs="Times New Roman"/>
                <w:sz w:val="18"/>
                <w:szCs w:val="18"/>
              </w:rPr>
              <w:t>Y02E50/3</w:t>
            </w:r>
          </w:p>
        </w:tc>
      </w:tr>
      <w:tr w:rsidR="00A9370B" w14:paraId="2A3696DD" w14:textId="77777777" w:rsidTr="0096728D">
        <w:tc>
          <w:tcPr>
            <w:tcW w:w="1633" w:type="dxa"/>
            <w:vMerge w:val="restart"/>
            <w:tcBorders>
              <w:bottom w:val="single" w:sz="8" w:space="0" w:color="000000"/>
            </w:tcBorders>
            <w:tcMar>
              <w:top w:w="100" w:type="dxa"/>
              <w:left w:w="80" w:type="dxa"/>
              <w:bottom w:w="100" w:type="dxa"/>
              <w:right w:w="80" w:type="dxa"/>
            </w:tcMar>
          </w:tcPr>
          <w:p w14:paraId="59F9FE65" w14:textId="77777777" w:rsidR="00A9370B" w:rsidRDefault="00A9370B" w:rsidP="0096728D">
            <w:pPr>
              <w:spacing w:after="80" w:line="240" w:lineRule="auto"/>
              <w:jc w:val="center"/>
            </w:pPr>
            <w:r>
              <w:rPr>
                <w:rFonts w:ascii="Times New Roman" w:eastAsia="Times New Roman" w:hAnsi="Times New Roman" w:cs="Times New Roman"/>
                <w:b/>
                <w:sz w:val="18"/>
                <w:szCs w:val="18"/>
              </w:rPr>
              <w:t>Combustion technologies with mitigation potential</w:t>
            </w:r>
          </w:p>
        </w:tc>
        <w:tc>
          <w:tcPr>
            <w:tcW w:w="2437" w:type="dxa"/>
            <w:tcBorders>
              <w:bottom w:val="single" w:sz="8" w:space="0" w:color="000000"/>
            </w:tcBorders>
            <w:tcMar>
              <w:top w:w="100" w:type="dxa"/>
              <w:left w:w="80" w:type="dxa"/>
              <w:bottom w:w="100" w:type="dxa"/>
              <w:right w:w="80" w:type="dxa"/>
            </w:tcMar>
          </w:tcPr>
          <w:p w14:paraId="66A14B4C" w14:textId="77777777" w:rsidR="00A9370B" w:rsidRDefault="00A9370B" w:rsidP="0096728D">
            <w:pPr>
              <w:spacing w:after="80" w:line="240" w:lineRule="auto"/>
            </w:pPr>
            <w:r>
              <w:rPr>
                <w:rFonts w:ascii="Times New Roman" w:eastAsia="Times New Roman" w:hAnsi="Times New Roman" w:cs="Times New Roman"/>
                <w:sz w:val="18"/>
                <w:szCs w:val="18"/>
              </w:rPr>
              <w:t>Technologies for improved output efficiency (combined combustion)</w:t>
            </w:r>
          </w:p>
        </w:tc>
        <w:tc>
          <w:tcPr>
            <w:tcW w:w="5566" w:type="dxa"/>
            <w:tcBorders>
              <w:bottom w:val="single" w:sz="8" w:space="0" w:color="000000"/>
            </w:tcBorders>
            <w:tcMar>
              <w:top w:w="100" w:type="dxa"/>
              <w:left w:w="80" w:type="dxa"/>
              <w:bottom w:w="100" w:type="dxa"/>
              <w:right w:w="80" w:type="dxa"/>
            </w:tcMar>
          </w:tcPr>
          <w:p w14:paraId="54D27DF2" w14:textId="77777777" w:rsidR="00A9370B" w:rsidRDefault="00A9370B" w:rsidP="0096728D">
            <w:pPr>
              <w:spacing w:after="80" w:line="240" w:lineRule="auto"/>
            </w:pPr>
            <w:r>
              <w:rPr>
                <w:rFonts w:ascii="Times New Roman" w:eastAsia="Times New Roman" w:hAnsi="Times New Roman" w:cs="Times New Roman"/>
                <w:sz w:val="18"/>
                <w:szCs w:val="18"/>
              </w:rPr>
              <w:t>Y02E20/1</w:t>
            </w:r>
          </w:p>
        </w:tc>
      </w:tr>
      <w:tr w:rsidR="00A9370B" w14:paraId="68C4D999" w14:textId="77777777" w:rsidTr="0096728D">
        <w:tc>
          <w:tcPr>
            <w:tcW w:w="1633" w:type="dxa"/>
            <w:vMerge/>
            <w:tcBorders>
              <w:bottom w:val="single" w:sz="8" w:space="0" w:color="000000"/>
            </w:tcBorders>
          </w:tcPr>
          <w:p w14:paraId="0B466FFC"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2842C5E7" w14:textId="77777777" w:rsidR="00A9370B" w:rsidRDefault="00A9370B" w:rsidP="0096728D">
            <w:pPr>
              <w:spacing w:after="80" w:line="240" w:lineRule="auto"/>
            </w:pPr>
            <w:r>
              <w:rPr>
                <w:rFonts w:ascii="Times New Roman" w:eastAsia="Times New Roman" w:hAnsi="Times New Roman" w:cs="Times New Roman"/>
                <w:sz w:val="18"/>
                <w:szCs w:val="18"/>
              </w:rPr>
              <w:t>Technologies for improved input efficiency</w:t>
            </w:r>
          </w:p>
        </w:tc>
        <w:tc>
          <w:tcPr>
            <w:tcW w:w="5566" w:type="dxa"/>
            <w:tcBorders>
              <w:bottom w:val="single" w:sz="8" w:space="0" w:color="000000"/>
            </w:tcBorders>
            <w:tcMar>
              <w:top w:w="100" w:type="dxa"/>
              <w:left w:w="100" w:type="dxa"/>
              <w:bottom w:w="100" w:type="dxa"/>
              <w:right w:w="100" w:type="dxa"/>
            </w:tcMar>
          </w:tcPr>
          <w:p w14:paraId="24AF00F7" w14:textId="77777777" w:rsidR="00A9370B" w:rsidRDefault="00A9370B" w:rsidP="0096728D">
            <w:pPr>
              <w:spacing w:after="80" w:line="240" w:lineRule="auto"/>
            </w:pPr>
            <w:r>
              <w:rPr>
                <w:rFonts w:ascii="Times New Roman" w:eastAsia="Times New Roman" w:hAnsi="Times New Roman" w:cs="Times New Roman"/>
                <w:sz w:val="18"/>
                <w:szCs w:val="18"/>
              </w:rPr>
              <w:t>Y02E20/03</w:t>
            </w:r>
          </w:p>
        </w:tc>
      </w:tr>
      <w:tr w:rsidR="00A9370B" w14:paraId="2A265A57" w14:textId="77777777" w:rsidTr="0096728D">
        <w:tc>
          <w:tcPr>
            <w:tcW w:w="1633" w:type="dxa"/>
            <w:vMerge w:val="restart"/>
            <w:tcBorders>
              <w:bottom w:val="single" w:sz="8" w:space="0" w:color="000000"/>
            </w:tcBorders>
            <w:tcMar>
              <w:top w:w="100" w:type="dxa"/>
              <w:left w:w="80" w:type="dxa"/>
              <w:bottom w:w="100" w:type="dxa"/>
              <w:right w:w="80" w:type="dxa"/>
            </w:tcMar>
          </w:tcPr>
          <w:p w14:paraId="62DCA290" w14:textId="77777777" w:rsidR="00A9370B" w:rsidRDefault="00A9370B" w:rsidP="0096728D">
            <w:pPr>
              <w:spacing w:after="80" w:line="240" w:lineRule="auto"/>
              <w:jc w:val="center"/>
            </w:pPr>
            <w:r>
              <w:rPr>
                <w:rFonts w:ascii="Times New Roman" w:eastAsia="Times New Roman" w:hAnsi="Times New Roman" w:cs="Times New Roman"/>
                <w:b/>
                <w:sz w:val="18"/>
                <w:szCs w:val="18"/>
              </w:rPr>
              <w:t xml:space="preserve">Climate change </w:t>
            </w:r>
            <w:r>
              <w:rPr>
                <w:rFonts w:ascii="Times New Roman" w:eastAsia="Times New Roman" w:hAnsi="Times New Roman" w:cs="Times New Roman"/>
                <w:b/>
                <w:sz w:val="18"/>
                <w:szCs w:val="18"/>
              </w:rPr>
              <w:lastRenderedPageBreak/>
              <w:t>mitigation</w:t>
            </w:r>
          </w:p>
        </w:tc>
        <w:tc>
          <w:tcPr>
            <w:tcW w:w="2437" w:type="dxa"/>
            <w:tcBorders>
              <w:bottom w:val="single" w:sz="8" w:space="0" w:color="000000"/>
            </w:tcBorders>
            <w:tcMar>
              <w:top w:w="100" w:type="dxa"/>
              <w:left w:w="80" w:type="dxa"/>
              <w:bottom w:w="100" w:type="dxa"/>
              <w:right w:w="80" w:type="dxa"/>
            </w:tcMar>
          </w:tcPr>
          <w:p w14:paraId="4555624D" w14:textId="77777777" w:rsidR="00A9370B" w:rsidRDefault="00A9370B" w:rsidP="0096728D">
            <w:pPr>
              <w:spacing w:after="80" w:line="240" w:lineRule="auto"/>
            </w:pPr>
            <w:r>
              <w:rPr>
                <w:rFonts w:ascii="Times New Roman" w:eastAsia="Times New Roman" w:hAnsi="Times New Roman" w:cs="Times New Roman"/>
                <w:sz w:val="18"/>
                <w:szCs w:val="18"/>
              </w:rPr>
              <w:lastRenderedPageBreak/>
              <w:t>CO2 capture or storage</w:t>
            </w:r>
          </w:p>
        </w:tc>
        <w:tc>
          <w:tcPr>
            <w:tcW w:w="5566" w:type="dxa"/>
            <w:tcBorders>
              <w:bottom w:val="single" w:sz="8" w:space="0" w:color="000000"/>
            </w:tcBorders>
            <w:tcMar>
              <w:top w:w="100" w:type="dxa"/>
              <w:left w:w="80" w:type="dxa"/>
              <w:bottom w:w="100" w:type="dxa"/>
              <w:right w:w="80" w:type="dxa"/>
            </w:tcMar>
          </w:tcPr>
          <w:p w14:paraId="77A904B4" w14:textId="77777777" w:rsidR="00A9370B" w:rsidRDefault="00A9370B" w:rsidP="0096728D">
            <w:pPr>
              <w:spacing w:after="80" w:line="240" w:lineRule="auto"/>
            </w:pPr>
            <w:r>
              <w:rPr>
                <w:rFonts w:ascii="Times New Roman" w:eastAsia="Times New Roman" w:hAnsi="Times New Roman" w:cs="Times New Roman"/>
                <w:sz w:val="18"/>
                <w:szCs w:val="18"/>
              </w:rPr>
              <w:t>Y02C10</w:t>
            </w:r>
          </w:p>
        </w:tc>
      </w:tr>
      <w:tr w:rsidR="00A9370B" w14:paraId="1DEC5A5E" w14:textId="77777777" w:rsidTr="0096728D">
        <w:tc>
          <w:tcPr>
            <w:tcW w:w="1633" w:type="dxa"/>
            <w:vMerge/>
            <w:tcBorders>
              <w:bottom w:val="single" w:sz="8" w:space="0" w:color="000000"/>
            </w:tcBorders>
          </w:tcPr>
          <w:p w14:paraId="1C647348"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4A7430F" w14:textId="77777777" w:rsidR="00A9370B" w:rsidRDefault="00A9370B" w:rsidP="0096728D">
            <w:pPr>
              <w:spacing w:after="80" w:line="240" w:lineRule="auto"/>
            </w:pPr>
            <w:r>
              <w:rPr>
                <w:rFonts w:ascii="Times New Roman" w:eastAsia="Times New Roman" w:hAnsi="Times New Roman" w:cs="Times New Roman"/>
                <w:sz w:val="18"/>
                <w:szCs w:val="18"/>
              </w:rPr>
              <w:t>Capture or disposal of greenhouse gases other than CO2</w:t>
            </w:r>
          </w:p>
        </w:tc>
        <w:tc>
          <w:tcPr>
            <w:tcW w:w="5566" w:type="dxa"/>
            <w:tcBorders>
              <w:bottom w:val="single" w:sz="8" w:space="0" w:color="000000"/>
            </w:tcBorders>
            <w:tcMar>
              <w:top w:w="100" w:type="dxa"/>
              <w:left w:w="100" w:type="dxa"/>
              <w:bottom w:w="100" w:type="dxa"/>
              <w:right w:w="100" w:type="dxa"/>
            </w:tcMar>
          </w:tcPr>
          <w:p w14:paraId="2FC46F3E" w14:textId="77777777" w:rsidR="00A9370B" w:rsidRDefault="00A9370B" w:rsidP="0096728D">
            <w:pPr>
              <w:spacing w:after="80" w:line="240" w:lineRule="auto"/>
            </w:pPr>
            <w:r>
              <w:rPr>
                <w:rFonts w:ascii="Times New Roman" w:eastAsia="Times New Roman" w:hAnsi="Times New Roman" w:cs="Times New Roman"/>
                <w:sz w:val="18"/>
                <w:szCs w:val="18"/>
              </w:rPr>
              <w:t>Y02C20</w:t>
            </w:r>
          </w:p>
        </w:tc>
      </w:tr>
      <w:tr w:rsidR="00A9370B" w14:paraId="7F6298D2" w14:textId="77777777" w:rsidTr="0096728D">
        <w:tc>
          <w:tcPr>
            <w:tcW w:w="1633" w:type="dxa"/>
            <w:vMerge w:val="restart"/>
            <w:tcBorders>
              <w:bottom w:val="single" w:sz="8" w:space="0" w:color="000000"/>
            </w:tcBorders>
            <w:tcMar>
              <w:top w:w="100" w:type="dxa"/>
              <w:left w:w="80" w:type="dxa"/>
              <w:bottom w:w="100" w:type="dxa"/>
              <w:right w:w="80" w:type="dxa"/>
            </w:tcMar>
          </w:tcPr>
          <w:p w14:paraId="0F538E82" w14:textId="77777777" w:rsidR="00A9370B" w:rsidRDefault="00A9370B" w:rsidP="0096728D">
            <w:pPr>
              <w:spacing w:after="80" w:line="240" w:lineRule="auto"/>
              <w:jc w:val="center"/>
            </w:pPr>
            <w:r>
              <w:rPr>
                <w:rFonts w:ascii="Times New Roman" w:eastAsia="Times New Roman" w:hAnsi="Times New Roman" w:cs="Times New Roman"/>
                <w:b/>
                <w:sz w:val="18"/>
                <w:szCs w:val="18"/>
              </w:rPr>
              <w:t>Potential or indirect contribution to emissions mitigation</w:t>
            </w:r>
          </w:p>
        </w:tc>
        <w:tc>
          <w:tcPr>
            <w:tcW w:w="2437" w:type="dxa"/>
            <w:tcBorders>
              <w:bottom w:val="single" w:sz="8" w:space="0" w:color="000000"/>
            </w:tcBorders>
            <w:tcMar>
              <w:top w:w="100" w:type="dxa"/>
              <w:left w:w="80" w:type="dxa"/>
              <w:bottom w:w="100" w:type="dxa"/>
              <w:right w:w="80" w:type="dxa"/>
            </w:tcMar>
          </w:tcPr>
          <w:p w14:paraId="138EDA36" w14:textId="77777777" w:rsidR="00A9370B" w:rsidRDefault="00A9370B" w:rsidP="0096728D">
            <w:pPr>
              <w:spacing w:after="80" w:line="240" w:lineRule="auto"/>
            </w:pPr>
            <w:r>
              <w:rPr>
                <w:rFonts w:ascii="Times New Roman" w:eastAsia="Times New Roman" w:hAnsi="Times New Roman" w:cs="Times New Roman"/>
                <w:sz w:val="18"/>
                <w:szCs w:val="18"/>
              </w:rPr>
              <w:t>Energy storage</w:t>
            </w:r>
          </w:p>
        </w:tc>
        <w:tc>
          <w:tcPr>
            <w:tcW w:w="5566" w:type="dxa"/>
            <w:tcBorders>
              <w:bottom w:val="single" w:sz="8" w:space="0" w:color="000000"/>
            </w:tcBorders>
            <w:tcMar>
              <w:top w:w="100" w:type="dxa"/>
              <w:left w:w="80" w:type="dxa"/>
              <w:bottom w:w="100" w:type="dxa"/>
              <w:right w:w="80" w:type="dxa"/>
            </w:tcMar>
          </w:tcPr>
          <w:p w14:paraId="6A55F9F2" w14:textId="77777777" w:rsidR="00A9370B" w:rsidRDefault="00A9370B" w:rsidP="0096728D">
            <w:pPr>
              <w:spacing w:after="80" w:line="240" w:lineRule="auto"/>
            </w:pPr>
            <w:r>
              <w:rPr>
                <w:rFonts w:ascii="Times New Roman" w:eastAsia="Times New Roman" w:hAnsi="Times New Roman" w:cs="Times New Roman"/>
                <w:sz w:val="18"/>
                <w:szCs w:val="18"/>
              </w:rPr>
              <w:t>Y02E60/1</w:t>
            </w:r>
          </w:p>
        </w:tc>
      </w:tr>
      <w:tr w:rsidR="00A9370B" w14:paraId="20A4540C" w14:textId="77777777" w:rsidTr="0096728D">
        <w:tc>
          <w:tcPr>
            <w:tcW w:w="1633" w:type="dxa"/>
            <w:vMerge/>
            <w:tcBorders>
              <w:bottom w:val="single" w:sz="8" w:space="0" w:color="000000"/>
            </w:tcBorders>
          </w:tcPr>
          <w:p w14:paraId="048D9D50"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47D8C4A1" w14:textId="77777777" w:rsidR="00A9370B" w:rsidRDefault="00A9370B" w:rsidP="0096728D">
            <w:pPr>
              <w:spacing w:after="80" w:line="240" w:lineRule="auto"/>
            </w:pPr>
            <w:r>
              <w:rPr>
                <w:rFonts w:ascii="Times New Roman" w:eastAsia="Times New Roman" w:hAnsi="Times New Roman" w:cs="Times New Roman"/>
                <w:sz w:val="18"/>
                <w:szCs w:val="18"/>
              </w:rPr>
              <w:t>Hydrogen technology</w:t>
            </w:r>
          </w:p>
        </w:tc>
        <w:tc>
          <w:tcPr>
            <w:tcW w:w="5566" w:type="dxa"/>
            <w:tcBorders>
              <w:bottom w:val="single" w:sz="8" w:space="0" w:color="000000"/>
            </w:tcBorders>
            <w:tcMar>
              <w:top w:w="100" w:type="dxa"/>
              <w:left w:w="100" w:type="dxa"/>
              <w:bottom w:w="100" w:type="dxa"/>
              <w:right w:w="100" w:type="dxa"/>
            </w:tcMar>
          </w:tcPr>
          <w:p w14:paraId="61FC21AA" w14:textId="77777777" w:rsidR="00A9370B" w:rsidRDefault="00A9370B" w:rsidP="0096728D">
            <w:pPr>
              <w:spacing w:after="80" w:line="240" w:lineRule="auto"/>
            </w:pPr>
            <w:r>
              <w:rPr>
                <w:rFonts w:ascii="Times New Roman" w:eastAsia="Times New Roman" w:hAnsi="Times New Roman" w:cs="Times New Roman"/>
                <w:sz w:val="18"/>
                <w:szCs w:val="18"/>
              </w:rPr>
              <w:t>Y02E60/3</w:t>
            </w:r>
          </w:p>
        </w:tc>
      </w:tr>
      <w:tr w:rsidR="00A9370B" w14:paraId="4B6E5D95" w14:textId="77777777" w:rsidTr="0096728D">
        <w:tc>
          <w:tcPr>
            <w:tcW w:w="1633" w:type="dxa"/>
            <w:vMerge/>
            <w:tcBorders>
              <w:bottom w:val="single" w:sz="8" w:space="0" w:color="000000"/>
            </w:tcBorders>
          </w:tcPr>
          <w:p w14:paraId="5B39094E"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3626D0F9" w14:textId="77777777" w:rsidR="00A9370B" w:rsidRDefault="00A9370B" w:rsidP="0096728D">
            <w:pPr>
              <w:spacing w:after="80" w:line="240" w:lineRule="auto"/>
            </w:pPr>
            <w:r>
              <w:rPr>
                <w:rFonts w:ascii="Times New Roman" w:eastAsia="Times New Roman" w:hAnsi="Times New Roman" w:cs="Times New Roman"/>
                <w:sz w:val="18"/>
                <w:szCs w:val="18"/>
              </w:rPr>
              <w:t>Fuel cells</w:t>
            </w:r>
          </w:p>
        </w:tc>
        <w:tc>
          <w:tcPr>
            <w:tcW w:w="5566" w:type="dxa"/>
            <w:tcBorders>
              <w:bottom w:val="single" w:sz="8" w:space="0" w:color="000000"/>
            </w:tcBorders>
            <w:tcMar>
              <w:top w:w="100" w:type="dxa"/>
              <w:left w:w="100" w:type="dxa"/>
              <w:bottom w:w="100" w:type="dxa"/>
              <w:right w:w="100" w:type="dxa"/>
            </w:tcMar>
          </w:tcPr>
          <w:p w14:paraId="0A2BBFEB" w14:textId="77777777" w:rsidR="00A9370B" w:rsidRDefault="00A9370B" w:rsidP="0096728D">
            <w:pPr>
              <w:spacing w:after="80" w:line="240" w:lineRule="auto"/>
            </w:pPr>
            <w:r>
              <w:rPr>
                <w:rFonts w:ascii="Times New Roman" w:eastAsia="Times New Roman" w:hAnsi="Times New Roman" w:cs="Times New Roman"/>
                <w:sz w:val="18"/>
                <w:szCs w:val="18"/>
              </w:rPr>
              <w:t>Y02E60/5</w:t>
            </w:r>
          </w:p>
        </w:tc>
      </w:tr>
      <w:tr w:rsidR="00A9370B" w14:paraId="0644D75A" w14:textId="77777777" w:rsidTr="0096728D">
        <w:tc>
          <w:tcPr>
            <w:tcW w:w="1633" w:type="dxa"/>
            <w:vMerge w:val="restart"/>
            <w:tcBorders>
              <w:bottom w:val="single" w:sz="8" w:space="0" w:color="000000"/>
            </w:tcBorders>
            <w:tcMar>
              <w:top w:w="100" w:type="dxa"/>
              <w:left w:w="80" w:type="dxa"/>
              <w:bottom w:w="100" w:type="dxa"/>
              <w:right w:w="80" w:type="dxa"/>
            </w:tcMar>
          </w:tcPr>
          <w:p w14:paraId="6408F458" w14:textId="77777777" w:rsidR="00A9370B" w:rsidRDefault="00A9370B" w:rsidP="0096728D">
            <w:pPr>
              <w:spacing w:after="80" w:line="240" w:lineRule="auto"/>
              <w:jc w:val="center"/>
            </w:pPr>
            <w:r>
              <w:rPr>
                <w:rFonts w:ascii="Times New Roman" w:eastAsia="Times New Roman" w:hAnsi="Times New Roman" w:cs="Times New Roman"/>
                <w:b/>
                <w:sz w:val="18"/>
                <w:szCs w:val="18"/>
              </w:rPr>
              <w:t>Emissions abatement and fuel efficiency in transportation</w:t>
            </w:r>
          </w:p>
        </w:tc>
        <w:tc>
          <w:tcPr>
            <w:tcW w:w="2437" w:type="dxa"/>
            <w:tcBorders>
              <w:bottom w:val="single" w:sz="8" w:space="0" w:color="000000"/>
            </w:tcBorders>
            <w:tcMar>
              <w:top w:w="100" w:type="dxa"/>
              <w:left w:w="80" w:type="dxa"/>
              <w:bottom w:w="100" w:type="dxa"/>
              <w:right w:w="80" w:type="dxa"/>
            </w:tcMar>
          </w:tcPr>
          <w:p w14:paraId="4692BE4B" w14:textId="77777777" w:rsidR="00A9370B" w:rsidRDefault="00A9370B" w:rsidP="0096728D">
            <w:pPr>
              <w:spacing w:after="80" w:line="240" w:lineRule="auto"/>
            </w:pPr>
            <w:r>
              <w:rPr>
                <w:rFonts w:ascii="Times New Roman" w:eastAsia="Times New Roman" w:hAnsi="Times New Roman" w:cs="Times New Roman"/>
                <w:sz w:val="18"/>
                <w:szCs w:val="18"/>
              </w:rPr>
              <w:t>Integrated emissions control</w:t>
            </w:r>
          </w:p>
        </w:tc>
        <w:tc>
          <w:tcPr>
            <w:tcW w:w="5566" w:type="dxa"/>
            <w:tcBorders>
              <w:bottom w:val="single" w:sz="8" w:space="0" w:color="000000"/>
            </w:tcBorders>
            <w:tcMar>
              <w:top w:w="100" w:type="dxa"/>
              <w:left w:w="80" w:type="dxa"/>
              <w:bottom w:w="100" w:type="dxa"/>
              <w:right w:w="80" w:type="dxa"/>
            </w:tcMar>
          </w:tcPr>
          <w:p w14:paraId="069B136C" w14:textId="77777777" w:rsidR="00A9370B" w:rsidRDefault="00A9370B" w:rsidP="0096728D">
            <w:pPr>
              <w:spacing w:after="80" w:line="240" w:lineRule="auto"/>
            </w:pPr>
            <w:r>
              <w:rPr>
                <w:rFonts w:ascii="Times New Roman" w:eastAsia="Times New Roman" w:hAnsi="Times New Roman" w:cs="Times New Roman"/>
                <w:sz w:val="18"/>
                <w:szCs w:val="18"/>
              </w:rPr>
              <w:t>F02B47/06, F02M3/02-055, F02M23, F02M25, F02M67, F01N9, F02D41, F02D43, F02D45, F01N11, G01M15/10, F02M39-71, F02P5, F02M27, F02M31/02-18</w:t>
            </w:r>
          </w:p>
        </w:tc>
      </w:tr>
      <w:tr w:rsidR="00A9370B" w14:paraId="43BE5397" w14:textId="77777777" w:rsidTr="0096728D">
        <w:tc>
          <w:tcPr>
            <w:tcW w:w="1633" w:type="dxa"/>
            <w:vMerge/>
            <w:tcBorders>
              <w:bottom w:val="single" w:sz="8" w:space="0" w:color="000000"/>
            </w:tcBorders>
          </w:tcPr>
          <w:p w14:paraId="1A064541"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7D9B92DF" w14:textId="77777777" w:rsidR="00A9370B" w:rsidRDefault="00A9370B" w:rsidP="0096728D">
            <w:pPr>
              <w:spacing w:after="80" w:line="240" w:lineRule="auto"/>
            </w:pPr>
            <w:r>
              <w:rPr>
                <w:rFonts w:ascii="Times New Roman" w:eastAsia="Times New Roman" w:hAnsi="Times New Roman" w:cs="Times New Roman"/>
                <w:sz w:val="18"/>
                <w:szCs w:val="18"/>
              </w:rPr>
              <w:t>Post-combustion emissions control</w:t>
            </w:r>
          </w:p>
        </w:tc>
        <w:tc>
          <w:tcPr>
            <w:tcW w:w="5566" w:type="dxa"/>
            <w:tcBorders>
              <w:bottom w:val="single" w:sz="8" w:space="0" w:color="000000"/>
            </w:tcBorders>
            <w:tcMar>
              <w:top w:w="100" w:type="dxa"/>
              <w:left w:w="100" w:type="dxa"/>
              <w:bottom w:w="100" w:type="dxa"/>
              <w:right w:w="100" w:type="dxa"/>
            </w:tcMar>
          </w:tcPr>
          <w:p w14:paraId="545E610F" w14:textId="77777777" w:rsidR="00A9370B" w:rsidRDefault="00A9370B" w:rsidP="0096728D">
            <w:pPr>
              <w:spacing w:after="80" w:line="240" w:lineRule="auto"/>
            </w:pPr>
            <w:r>
              <w:rPr>
                <w:rFonts w:ascii="Times New Roman" w:eastAsia="Times New Roman" w:hAnsi="Times New Roman" w:cs="Times New Roman"/>
                <w:sz w:val="18"/>
                <w:szCs w:val="18"/>
              </w:rPr>
              <w:t>F01M13/02-04, F01N5, F02B47/08-10, F02D21/06-10, F02M25/07, F01N11, G01M15/10, F01N3/26, B01D53/92, B01D53/94, B01D53/96, B01J23/38-46, F01N3/08-34, B01D41, B01D46, F01N3/01, F01N3/02-035, B60, B62D</w:t>
            </w:r>
          </w:p>
        </w:tc>
      </w:tr>
      <w:tr w:rsidR="00A9370B" w:rsidRPr="00A734EF" w14:paraId="73151DB2" w14:textId="77777777" w:rsidTr="0096728D">
        <w:tc>
          <w:tcPr>
            <w:tcW w:w="1633" w:type="dxa"/>
            <w:vMerge/>
            <w:tcBorders>
              <w:bottom w:val="single" w:sz="8" w:space="0" w:color="000000"/>
            </w:tcBorders>
          </w:tcPr>
          <w:p w14:paraId="7799AB35"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D4A0AE9" w14:textId="77777777" w:rsidR="00A9370B" w:rsidRDefault="00A9370B" w:rsidP="0096728D">
            <w:pPr>
              <w:spacing w:after="80" w:line="240" w:lineRule="auto"/>
            </w:pPr>
            <w:r>
              <w:rPr>
                <w:rFonts w:ascii="Times New Roman" w:eastAsia="Times New Roman" w:hAnsi="Times New Roman" w:cs="Times New Roman"/>
                <w:sz w:val="18"/>
                <w:szCs w:val="18"/>
              </w:rPr>
              <w:t>Technologies specific to propulsion usin electric motor</w:t>
            </w:r>
          </w:p>
        </w:tc>
        <w:tc>
          <w:tcPr>
            <w:tcW w:w="5566" w:type="dxa"/>
            <w:tcBorders>
              <w:bottom w:val="single" w:sz="8" w:space="0" w:color="000000"/>
            </w:tcBorders>
            <w:tcMar>
              <w:top w:w="100" w:type="dxa"/>
              <w:left w:w="100" w:type="dxa"/>
              <w:bottom w:w="100" w:type="dxa"/>
              <w:right w:w="100" w:type="dxa"/>
            </w:tcMar>
          </w:tcPr>
          <w:p w14:paraId="7C9173D1" w14:textId="77777777" w:rsidR="00A9370B" w:rsidRPr="0019062E" w:rsidRDefault="00A9370B" w:rsidP="0096728D">
            <w:pPr>
              <w:spacing w:after="80" w:line="240" w:lineRule="auto"/>
              <w:rPr>
                <w:lang w:val="pl-PL"/>
              </w:rPr>
            </w:pPr>
            <w:r w:rsidRPr="0019062E">
              <w:rPr>
                <w:rFonts w:ascii="Times New Roman" w:eastAsia="Times New Roman" w:hAnsi="Times New Roman" w:cs="Times New Roman"/>
                <w:sz w:val="18"/>
                <w:szCs w:val="18"/>
                <w:lang w:val="pl-PL"/>
              </w:rPr>
              <w:t>B60K1, B60L7/10-20, B60L11, B60L15, B60R16/033, B60R16/04, B60S5/06, B60W10/08, B60W10/26, B60W10/28, B60K16, B60L8</w:t>
            </w:r>
          </w:p>
        </w:tc>
      </w:tr>
      <w:tr w:rsidR="00A9370B" w14:paraId="60E3D530" w14:textId="77777777" w:rsidTr="0096728D">
        <w:tc>
          <w:tcPr>
            <w:tcW w:w="1633" w:type="dxa"/>
            <w:vMerge/>
            <w:tcBorders>
              <w:bottom w:val="single" w:sz="8" w:space="0" w:color="000000"/>
            </w:tcBorders>
          </w:tcPr>
          <w:p w14:paraId="0C2130C6" w14:textId="77777777" w:rsidR="00A9370B" w:rsidRPr="0019062E" w:rsidRDefault="00A9370B" w:rsidP="0096728D">
            <w:pPr>
              <w:spacing w:after="80" w:line="240" w:lineRule="auto"/>
              <w:jc w:val="center"/>
              <w:rPr>
                <w:lang w:val="pl-PL"/>
              </w:rPr>
            </w:pPr>
          </w:p>
        </w:tc>
        <w:tc>
          <w:tcPr>
            <w:tcW w:w="2437" w:type="dxa"/>
            <w:tcBorders>
              <w:bottom w:val="single" w:sz="8" w:space="0" w:color="000000"/>
            </w:tcBorders>
            <w:tcMar>
              <w:top w:w="100" w:type="dxa"/>
              <w:left w:w="80" w:type="dxa"/>
              <w:bottom w:w="100" w:type="dxa"/>
              <w:right w:w="80" w:type="dxa"/>
            </w:tcMar>
          </w:tcPr>
          <w:p w14:paraId="7058E030" w14:textId="77777777" w:rsidR="00A9370B" w:rsidRDefault="00A9370B" w:rsidP="0096728D">
            <w:pPr>
              <w:spacing w:after="80" w:line="240" w:lineRule="auto"/>
            </w:pPr>
            <w:r>
              <w:rPr>
                <w:rFonts w:ascii="Times New Roman" w:eastAsia="Times New Roman" w:hAnsi="Times New Roman" w:cs="Times New Roman"/>
                <w:sz w:val="18"/>
                <w:szCs w:val="18"/>
              </w:rPr>
              <w:t>Technologies specific to hybrid propulsion</w:t>
            </w:r>
          </w:p>
        </w:tc>
        <w:tc>
          <w:tcPr>
            <w:tcW w:w="5566" w:type="dxa"/>
            <w:tcBorders>
              <w:bottom w:val="single" w:sz="8" w:space="0" w:color="000000"/>
            </w:tcBorders>
            <w:tcMar>
              <w:top w:w="100" w:type="dxa"/>
              <w:left w:w="100" w:type="dxa"/>
              <w:bottom w:w="100" w:type="dxa"/>
              <w:right w:w="100" w:type="dxa"/>
            </w:tcMar>
          </w:tcPr>
          <w:p w14:paraId="1C9D7D7D" w14:textId="77777777" w:rsidR="00A9370B" w:rsidRDefault="00A9370B" w:rsidP="0096728D">
            <w:pPr>
              <w:spacing w:after="80" w:line="240" w:lineRule="auto"/>
            </w:pPr>
            <w:r>
              <w:rPr>
                <w:rFonts w:ascii="Times New Roman" w:eastAsia="Times New Roman" w:hAnsi="Times New Roman" w:cs="Times New Roman"/>
                <w:sz w:val="18"/>
                <w:szCs w:val="18"/>
              </w:rPr>
              <w:t>B60K6, B60W20</w:t>
            </w:r>
          </w:p>
        </w:tc>
      </w:tr>
      <w:tr w:rsidR="00A9370B" w14:paraId="2D759ABD" w14:textId="77777777" w:rsidTr="0096728D">
        <w:tc>
          <w:tcPr>
            <w:tcW w:w="1633" w:type="dxa"/>
            <w:vMerge/>
            <w:tcBorders>
              <w:bottom w:val="single" w:sz="8" w:space="0" w:color="000000"/>
            </w:tcBorders>
          </w:tcPr>
          <w:p w14:paraId="1F7675CB"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1E91C10B" w14:textId="77777777" w:rsidR="00A9370B" w:rsidRDefault="00A9370B" w:rsidP="0096728D">
            <w:pPr>
              <w:spacing w:after="80" w:line="240" w:lineRule="auto"/>
            </w:pPr>
            <w:r>
              <w:rPr>
                <w:rFonts w:ascii="Times New Roman" w:eastAsia="Times New Roman" w:hAnsi="Times New Roman" w:cs="Times New Roman"/>
                <w:sz w:val="18"/>
                <w:szCs w:val="18"/>
              </w:rPr>
              <w:t>Fuel efficiency-improving vehicle design</w:t>
            </w:r>
          </w:p>
        </w:tc>
        <w:tc>
          <w:tcPr>
            <w:tcW w:w="5566" w:type="dxa"/>
            <w:tcBorders>
              <w:bottom w:val="single" w:sz="8" w:space="0" w:color="000000"/>
            </w:tcBorders>
            <w:tcMar>
              <w:top w:w="100" w:type="dxa"/>
              <w:left w:w="100" w:type="dxa"/>
              <w:bottom w:w="100" w:type="dxa"/>
              <w:right w:w="100" w:type="dxa"/>
            </w:tcMar>
          </w:tcPr>
          <w:p w14:paraId="58A783BC" w14:textId="77777777" w:rsidR="00A9370B" w:rsidRDefault="00A9370B" w:rsidP="0096728D">
            <w:pPr>
              <w:spacing w:after="80" w:line="240" w:lineRule="auto"/>
            </w:pPr>
            <w:r>
              <w:rPr>
                <w:rFonts w:ascii="Times New Roman" w:eastAsia="Times New Roman" w:hAnsi="Times New Roman" w:cs="Times New Roman"/>
                <w:sz w:val="18"/>
                <w:szCs w:val="18"/>
              </w:rPr>
              <w:t>B62D35/00, B62D37/02, B60C23/00, B60T1/10, B60G13/14, B60K31/00, B60W30/10-20</w:t>
            </w:r>
          </w:p>
        </w:tc>
      </w:tr>
      <w:tr w:rsidR="00A9370B" w14:paraId="3957C177" w14:textId="77777777" w:rsidTr="0096728D">
        <w:tc>
          <w:tcPr>
            <w:tcW w:w="1633" w:type="dxa"/>
            <w:vMerge w:val="restart"/>
            <w:tcBorders>
              <w:bottom w:val="single" w:sz="8" w:space="0" w:color="000000"/>
            </w:tcBorders>
            <w:tcMar>
              <w:top w:w="100" w:type="dxa"/>
              <w:left w:w="80" w:type="dxa"/>
              <w:bottom w:w="100" w:type="dxa"/>
              <w:right w:w="80" w:type="dxa"/>
            </w:tcMar>
          </w:tcPr>
          <w:p w14:paraId="13BE1D87" w14:textId="77777777" w:rsidR="00A9370B" w:rsidRDefault="00A9370B" w:rsidP="0096728D">
            <w:pPr>
              <w:spacing w:after="80" w:line="240" w:lineRule="auto"/>
              <w:jc w:val="center"/>
            </w:pPr>
            <w:r>
              <w:rPr>
                <w:rFonts w:ascii="Times New Roman" w:eastAsia="Times New Roman" w:hAnsi="Times New Roman" w:cs="Times New Roman"/>
                <w:b/>
                <w:sz w:val="18"/>
                <w:szCs w:val="18"/>
              </w:rPr>
              <w:t>Energy efficiency in buildings and lighting</w:t>
            </w:r>
          </w:p>
        </w:tc>
        <w:tc>
          <w:tcPr>
            <w:tcW w:w="2437" w:type="dxa"/>
            <w:tcBorders>
              <w:bottom w:val="single" w:sz="8" w:space="0" w:color="000000"/>
            </w:tcBorders>
            <w:tcMar>
              <w:top w:w="100" w:type="dxa"/>
              <w:left w:w="80" w:type="dxa"/>
              <w:bottom w:w="100" w:type="dxa"/>
              <w:right w:w="80" w:type="dxa"/>
            </w:tcMar>
          </w:tcPr>
          <w:p w14:paraId="7F7F87D9" w14:textId="77777777" w:rsidR="00A9370B" w:rsidRDefault="00A9370B" w:rsidP="0096728D">
            <w:pPr>
              <w:spacing w:after="80" w:line="240" w:lineRule="auto"/>
            </w:pPr>
            <w:r>
              <w:rPr>
                <w:rFonts w:ascii="Times New Roman" w:eastAsia="Times New Roman" w:hAnsi="Times New Roman" w:cs="Times New Roman"/>
                <w:sz w:val="18"/>
                <w:szCs w:val="18"/>
              </w:rPr>
              <w:t>Insulation</w:t>
            </w:r>
          </w:p>
        </w:tc>
        <w:tc>
          <w:tcPr>
            <w:tcW w:w="5566" w:type="dxa"/>
            <w:tcBorders>
              <w:bottom w:val="single" w:sz="8" w:space="0" w:color="000000"/>
            </w:tcBorders>
            <w:tcMar>
              <w:top w:w="100" w:type="dxa"/>
              <w:left w:w="80" w:type="dxa"/>
              <w:bottom w:w="100" w:type="dxa"/>
              <w:right w:w="80" w:type="dxa"/>
            </w:tcMar>
          </w:tcPr>
          <w:p w14:paraId="5A8B9ECB" w14:textId="77777777" w:rsidR="00A9370B" w:rsidRDefault="00A9370B" w:rsidP="0096728D">
            <w:pPr>
              <w:spacing w:after="80" w:line="240" w:lineRule="auto"/>
            </w:pPr>
            <w:r>
              <w:rPr>
                <w:rFonts w:ascii="Times New Roman" w:eastAsia="Times New Roman" w:hAnsi="Times New Roman" w:cs="Times New Roman"/>
                <w:sz w:val="18"/>
                <w:szCs w:val="18"/>
              </w:rPr>
              <w:t>E04B1/62, 04B1/74-78, 04B1/88, E06B3/66-677, E06B3/24</w:t>
            </w:r>
          </w:p>
        </w:tc>
      </w:tr>
      <w:tr w:rsidR="00A9370B" w14:paraId="142945C7" w14:textId="77777777" w:rsidTr="0096728D">
        <w:tc>
          <w:tcPr>
            <w:tcW w:w="1633" w:type="dxa"/>
            <w:vMerge/>
            <w:tcBorders>
              <w:bottom w:val="single" w:sz="8" w:space="0" w:color="000000"/>
            </w:tcBorders>
          </w:tcPr>
          <w:p w14:paraId="76A5C566"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5092CBB8" w14:textId="77777777" w:rsidR="00A9370B" w:rsidRDefault="00A9370B" w:rsidP="0096728D">
            <w:pPr>
              <w:spacing w:after="80" w:line="240" w:lineRule="auto"/>
            </w:pPr>
            <w:r>
              <w:rPr>
                <w:rFonts w:ascii="Times New Roman" w:eastAsia="Times New Roman" w:hAnsi="Times New Roman" w:cs="Times New Roman"/>
                <w:sz w:val="18"/>
                <w:szCs w:val="18"/>
              </w:rPr>
              <w:t>Heating</w:t>
            </w:r>
          </w:p>
        </w:tc>
        <w:tc>
          <w:tcPr>
            <w:tcW w:w="5566" w:type="dxa"/>
            <w:tcBorders>
              <w:bottom w:val="single" w:sz="8" w:space="0" w:color="000000"/>
            </w:tcBorders>
            <w:tcMar>
              <w:top w:w="100" w:type="dxa"/>
              <w:left w:w="100" w:type="dxa"/>
              <w:bottom w:w="100" w:type="dxa"/>
              <w:right w:w="100" w:type="dxa"/>
            </w:tcMar>
          </w:tcPr>
          <w:p w14:paraId="2A9E40D0" w14:textId="77777777" w:rsidR="00A9370B" w:rsidRDefault="00A9370B" w:rsidP="0096728D">
            <w:pPr>
              <w:spacing w:after="80" w:line="240" w:lineRule="auto"/>
            </w:pPr>
            <w:r>
              <w:rPr>
                <w:rFonts w:ascii="Times New Roman" w:eastAsia="Times New Roman" w:hAnsi="Times New Roman" w:cs="Times New Roman"/>
                <w:sz w:val="18"/>
                <w:szCs w:val="18"/>
              </w:rPr>
              <w:t>F24D3/08, F24D3/18, F24D5/12, F24D11/02, F24D15/04, F24D17/02, F24F12, F25B29, F25B30</w:t>
            </w:r>
          </w:p>
        </w:tc>
      </w:tr>
      <w:tr w:rsidR="00A9370B" w14:paraId="5A769DA2" w14:textId="77777777" w:rsidTr="0096728D">
        <w:tc>
          <w:tcPr>
            <w:tcW w:w="1633" w:type="dxa"/>
            <w:vMerge/>
            <w:tcBorders>
              <w:bottom w:val="single" w:sz="8" w:space="0" w:color="000000"/>
            </w:tcBorders>
          </w:tcPr>
          <w:p w14:paraId="0E66B172" w14:textId="77777777" w:rsidR="00A9370B" w:rsidRDefault="00A9370B" w:rsidP="0096728D">
            <w:pPr>
              <w:spacing w:after="80" w:line="240" w:lineRule="auto"/>
              <w:jc w:val="center"/>
            </w:pPr>
          </w:p>
        </w:tc>
        <w:tc>
          <w:tcPr>
            <w:tcW w:w="2437" w:type="dxa"/>
            <w:tcBorders>
              <w:bottom w:val="single" w:sz="8" w:space="0" w:color="000000"/>
            </w:tcBorders>
            <w:tcMar>
              <w:top w:w="100" w:type="dxa"/>
              <w:left w:w="80" w:type="dxa"/>
              <w:bottom w:w="100" w:type="dxa"/>
              <w:right w:w="80" w:type="dxa"/>
            </w:tcMar>
          </w:tcPr>
          <w:p w14:paraId="14B22734" w14:textId="77777777" w:rsidR="00A9370B" w:rsidRDefault="00A9370B" w:rsidP="0096728D">
            <w:pPr>
              <w:spacing w:after="80" w:line="240" w:lineRule="auto"/>
            </w:pPr>
            <w:r>
              <w:rPr>
                <w:rFonts w:ascii="Times New Roman" w:eastAsia="Times New Roman" w:hAnsi="Times New Roman" w:cs="Times New Roman"/>
                <w:sz w:val="18"/>
                <w:szCs w:val="18"/>
              </w:rPr>
              <w:t>Lighting</w:t>
            </w:r>
          </w:p>
        </w:tc>
        <w:tc>
          <w:tcPr>
            <w:tcW w:w="5566" w:type="dxa"/>
            <w:tcBorders>
              <w:bottom w:val="single" w:sz="8" w:space="0" w:color="000000"/>
            </w:tcBorders>
            <w:tcMar>
              <w:top w:w="100" w:type="dxa"/>
              <w:left w:w="100" w:type="dxa"/>
              <w:bottom w:w="100" w:type="dxa"/>
              <w:right w:w="100" w:type="dxa"/>
            </w:tcMar>
          </w:tcPr>
          <w:p w14:paraId="11969FA1" w14:textId="77777777" w:rsidR="00A9370B" w:rsidRDefault="00A9370B" w:rsidP="0096728D">
            <w:pPr>
              <w:spacing w:after="80" w:line="240" w:lineRule="auto"/>
            </w:pPr>
            <w:r>
              <w:rPr>
                <w:rFonts w:ascii="Times New Roman" w:eastAsia="Times New Roman" w:hAnsi="Times New Roman" w:cs="Times New Roman"/>
                <w:sz w:val="18"/>
                <w:szCs w:val="18"/>
              </w:rPr>
              <w:t>H01J61, H05B33</w:t>
            </w:r>
          </w:p>
        </w:tc>
      </w:tr>
    </w:tbl>
    <w:p w14:paraId="138A27E5" w14:textId="77777777" w:rsidR="00A9370B" w:rsidRDefault="00A9370B" w:rsidP="00A9370B">
      <w:pPr>
        <w:spacing w:after="80" w:line="360" w:lineRule="auto"/>
      </w:pPr>
    </w:p>
    <w:p w14:paraId="36294014" w14:textId="77777777" w:rsidR="00A9370B" w:rsidRDefault="00A9370B" w:rsidP="00A9370B">
      <w:pPr>
        <w:spacing w:after="0" w:line="240" w:lineRule="auto"/>
      </w:pPr>
      <w:r>
        <w:br w:type="page"/>
      </w:r>
    </w:p>
    <w:p w14:paraId="678C0878" w14:textId="77777777" w:rsidR="00A9370B" w:rsidRPr="00BD1FD8" w:rsidRDefault="00A9370B" w:rsidP="00A9370B">
      <w:pPr>
        <w:spacing w:after="120" w:line="240" w:lineRule="auto"/>
        <w:jc w:val="both"/>
        <w:rPr>
          <w:b/>
        </w:rPr>
      </w:pPr>
      <w:r w:rsidRPr="00BD1FD8">
        <w:rPr>
          <w:b/>
        </w:rPr>
        <w:lastRenderedPageBreak/>
        <w:t xml:space="preserve">Figure </w:t>
      </w:r>
      <w:r>
        <w:rPr>
          <w:b/>
        </w:rPr>
        <w:t>A</w:t>
      </w:r>
      <w:r w:rsidRPr="00BD1FD8">
        <w:rPr>
          <w:b/>
        </w:rPr>
        <w:t>1. Growth</w:t>
      </w:r>
      <w:r>
        <w:rPr>
          <w:b/>
        </w:rPr>
        <w:t xml:space="preserve"> rates distribution (years 2001, 2005, 2008)</w:t>
      </w:r>
    </w:p>
    <w:p w14:paraId="022DCF32" w14:textId="77777777" w:rsidR="00A9370B" w:rsidRDefault="00A9370B" w:rsidP="00A9370B">
      <w:r>
        <w:t xml:space="preserve">  </w:t>
      </w:r>
      <w:r>
        <w:rPr>
          <w:noProof/>
          <w:lang w:val="en-PH" w:eastAsia="en-PH"/>
        </w:rPr>
        <w:drawing>
          <wp:inline distT="0" distB="0" distL="0" distR="0" wp14:anchorId="5242A575" wp14:editId="61D26313">
            <wp:extent cx="2343920" cy="1706218"/>
            <wp:effectExtent l="0" t="0" r="0" b="8890"/>
            <wp:docPr id="15" name="Immagine 4" descr="C:\Users\Ugo\Dropbox\ESRC-Green Entrepreneurship (1)\Estimates\graphs\tent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go\Dropbox\ESRC-Green Entrepreneurship (1)\Estimates\graphs\tent200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9952" cy="1710609"/>
                    </a:xfrm>
                    <a:prstGeom prst="rect">
                      <a:avLst/>
                    </a:prstGeom>
                    <a:noFill/>
                    <a:ln>
                      <a:noFill/>
                    </a:ln>
                  </pic:spPr>
                </pic:pic>
              </a:graphicData>
            </a:graphic>
          </wp:inline>
        </w:drawing>
      </w:r>
      <w:r>
        <w:t xml:space="preserve">        </w:t>
      </w:r>
      <w:r>
        <w:rPr>
          <w:noProof/>
          <w:lang w:val="en-PH" w:eastAsia="en-PH"/>
        </w:rPr>
        <w:drawing>
          <wp:inline distT="0" distB="0" distL="0" distR="0" wp14:anchorId="5F2FCD7B" wp14:editId="47EAD202">
            <wp:extent cx="2305050" cy="1714500"/>
            <wp:effectExtent l="0" t="0" r="0" b="0"/>
            <wp:docPr id="17" name="Immagine 10" descr="C:\Users\Ugo\Dropbox\ESRC-Green Entrepreneurship (1)\Estimates\graphs\tent2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go\Dropbox\ESRC-Green Entrepreneurship (1)\Estimates\graphs\tent200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829" cy="1720286"/>
                    </a:xfrm>
                    <a:prstGeom prst="rect">
                      <a:avLst/>
                    </a:prstGeom>
                    <a:noFill/>
                    <a:ln>
                      <a:noFill/>
                    </a:ln>
                  </pic:spPr>
                </pic:pic>
              </a:graphicData>
            </a:graphic>
          </wp:inline>
        </w:drawing>
      </w:r>
      <w:r>
        <w:t xml:space="preserve">      </w:t>
      </w:r>
      <w:r>
        <w:rPr>
          <w:noProof/>
          <w:lang w:val="en-PH" w:eastAsia="en-PH"/>
        </w:rPr>
        <w:drawing>
          <wp:inline distT="0" distB="0" distL="0" distR="0" wp14:anchorId="168766E7" wp14:editId="63836D07">
            <wp:extent cx="2347092" cy="1708150"/>
            <wp:effectExtent l="0" t="0" r="0" b="6350"/>
            <wp:docPr id="18" name="Immagine 14" descr="C:\Users\Ugo\Dropbox\ESRC-Green Entrepreneurship (1)\Estimates\graphs\tent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go\Dropbox\ESRC-Green Entrepreneurship (1)\Estimates\graphs\tent200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8174" cy="1708937"/>
                    </a:xfrm>
                    <a:prstGeom prst="rect">
                      <a:avLst/>
                    </a:prstGeom>
                    <a:noFill/>
                    <a:ln>
                      <a:noFill/>
                    </a:ln>
                  </pic:spPr>
                </pic:pic>
              </a:graphicData>
            </a:graphic>
          </wp:inline>
        </w:drawing>
      </w:r>
    </w:p>
    <w:p w14:paraId="32725E59" w14:textId="77777777" w:rsidR="00A9370B" w:rsidRDefault="00A9370B" w:rsidP="00A9370B">
      <w:pPr>
        <w:spacing w:after="0" w:line="360" w:lineRule="auto"/>
        <w:rPr>
          <w:sz w:val="20"/>
        </w:rPr>
      </w:pPr>
      <w:r w:rsidRPr="009E6AC6">
        <w:rPr>
          <w:sz w:val="20"/>
        </w:rPr>
        <w:t>Non displayed years show very similar patterns; graphs are available upon request to the authors</w:t>
      </w:r>
    </w:p>
    <w:p w14:paraId="689A441D" w14:textId="77777777" w:rsidR="00A9370B" w:rsidRDefault="00A9370B" w:rsidP="00A9370B"/>
    <w:p w14:paraId="0133FDD5" w14:textId="77777777" w:rsidR="00A9370B" w:rsidRDefault="00A9370B" w:rsidP="00A9370B">
      <w:r>
        <w:br w:type="page"/>
      </w:r>
    </w:p>
    <w:p w14:paraId="429D7A11" w14:textId="77777777" w:rsidR="00A9370B" w:rsidRDefault="00A9370B" w:rsidP="00A9370B">
      <w:pPr>
        <w:spacing w:line="360" w:lineRule="auto"/>
        <w:jc w:val="both"/>
      </w:pPr>
      <w:r w:rsidRPr="00943783">
        <w:rPr>
          <w:b/>
        </w:rPr>
        <w:lastRenderedPageBreak/>
        <w:t xml:space="preserve">Figure </w:t>
      </w:r>
      <w:r>
        <w:rPr>
          <w:b/>
        </w:rPr>
        <w:t>A2</w:t>
      </w:r>
      <w:r w:rsidRPr="00943783">
        <w:rPr>
          <w:b/>
        </w:rPr>
        <w:t>. Quantile</w:t>
      </w:r>
      <w:r>
        <w:rPr>
          <w:b/>
        </w:rPr>
        <w:t>-normal</w:t>
      </w:r>
      <w:r w:rsidRPr="00943783">
        <w:rPr>
          <w:b/>
        </w:rPr>
        <w:t xml:space="preserve"> plot of </w:t>
      </w:r>
      <w:r w:rsidRPr="00B02AF4">
        <w:rPr>
          <w:b/>
          <w:i/>
        </w:rPr>
        <w:t>Growth</w:t>
      </w:r>
      <w:r>
        <w:rPr>
          <w:b/>
        </w:rPr>
        <w:t xml:space="preserve"> variable (years 2001, 2005, 2008)</w:t>
      </w:r>
    </w:p>
    <w:p w14:paraId="2E60C607" w14:textId="77777777" w:rsidR="00A9370B" w:rsidRPr="002E599B" w:rsidRDefault="00A9370B" w:rsidP="00A9370B">
      <w:pPr>
        <w:rPr>
          <w:lang w:val="en-US"/>
        </w:rPr>
      </w:pPr>
      <w:r>
        <w:rPr>
          <w:noProof/>
          <w:lang w:val="en-PH" w:eastAsia="en-PH"/>
        </w:rPr>
        <w:drawing>
          <wp:inline distT="0" distB="0" distL="0" distR="0" wp14:anchorId="43FA9FD3" wp14:editId="00D24C48">
            <wp:extent cx="2301006" cy="1765300"/>
            <wp:effectExtent l="0" t="0" r="4445" b="6350"/>
            <wp:docPr id="19" name="Immagine 1" descr="C:\Users\Ugo\Dropbox\ESRC-Green Entrepreneurship (1)\Estimates\graphs\qnorm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go\Dropbox\ESRC-Green Entrepreneurship (1)\Estimates\graphs\qnorm20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1006" cy="1765300"/>
                    </a:xfrm>
                    <a:prstGeom prst="rect">
                      <a:avLst/>
                    </a:prstGeom>
                    <a:noFill/>
                    <a:ln>
                      <a:noFill/>
                    </a:ln>
                  </pic:spPr>
                </pic:pic>
              </a:graphicData>
            </a:graphic>
          </wp:inline>
        </w:drawing>
      </w:r>
      <w:r w:rsidRPr="002E599B">
        <w:rPr>
          <w:lang w:val="en-US"/>
        </w:rPr>
        <w:t xml:space="preserve">    </w:t>
      </w:r>
      <w:r>
        <w:rPr>
          <w:noProof/>
          <w:lang w:val="en-PH" w:eastAsia="en-PH"/>
        </w:rPr>
        <w:drawing>
          <wp:inline distT="0" distB="0" distL="0" distR="0" wp14:anchorId="1EC5057B" wp14:editId="076FF051">
            <wp:extent cx="2286000" cy="1753788"/>
            <wp:effectExtent l="0" t="0" r="0" b="0"/>
            <wp:docPr id="20" name="Immagine 7" descr="C:\Users\Ugo\Dropbox\ESRC-Green Entrepreneurship (1)\Estimates\graphs\qnorm2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go\Dropbox\ESRC-Green Entrepreneurship (1)\Estimates\graphs\qnorm200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0" cy="1753788"/>
                    </a:xfrm>
                    <a:prstGeom prst="rect">
                      <a:avLst/>
                    </a:prstGeom>
                    <a:noFill/>
                    <a:ln>
                      <a:noFill/>
                    </a:ln>
                  </pic:spPr>
                </pic:pic>
              </a:graphicData>
            </a:graphic>
          </wp:inline>
        </w:drawing>
      </w:r>
      <w:r w:rsidRPr="002E599B">
        <w:rPr>
          <w:lang w:val="en-US"/>
        </w:rPr>
        <w:t xml:space="preserve">  </w:t>
      </w:r>
      <w:r>
        <w:rPr>
          <w:noProof/>
          <w:lang w:val="en-PH" w:eastAsia="en-PH"/>
        </w:rPr>
        <w:drawing>
          <wp:inline distT="0" distB="0" distL="0" distR="0" wp14:anchorId="6C630DFB" wp14:editId="2F1C415F">
            <wp:extent cx="2305050" cy="1768402"/>
            <wp:effectExtent l="0" t="0" r="0" b="3810"/>
            <wp:docPr id="21" name="Immagine 16" descr="C:\Users\Ugo\Dropbox\ESRC-Green Entrepreneurship (1)\Estimates\graphs\qnorm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go\Dropbox\ESRC-Green Entrepreneurship (1)\Estimates\graphs\qnorm200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7274" cy="1770109"/>
                    </a:xfrm>
                    <a:prstGeom prst="rect">
                      <a:avLst/>
                    </a:prstGeom>
                    <a:noFill/>
                    <a:ln>
                      <a:noFill/>
                    </a:ln>
                  </pic:spPr>
                </pic:pic>
              </a:graphicData>
            </a:graphic>
          </wp:inline>
        </w:drawing>
      </w:r>
    </w:p>
    <w:p w14:paraId="5199D668" w14:textId="77777777" w:rsidR="00A9370B" w:rsidRDefault="00A9370B" w:rsidP="00A9370B">
      <w:pPr>
        <w:spacing w:after="0" w:line="360" w:lineRule="auto"/>
        <w:rPr>
          <w:sz w:val="20"/>
        </w:rPr>
      </w:pPr>
      <w:r w:rsidRPr="009E6AC6">
        <w:rPr>
          <w:sz w:val="20"/>
        </w:rPr>
        <w:t>Non displayed years show very similar patterns; graphs are available upon request to the authors</w:t>
      </w:r>
    </w:p>
    <w:p w14:paraId="15C321C9" w14:textId="77777777" w:rsidR="00A9370B" w:rsidRDefault="00A9370B" w:rsidP="00A9370B">
      <w:pPr>
        <w:jc w:val="center"/>
        <w:rPr>
          <w:b/>
          <w:sz w:val="24"/>
        </w:rPr>
      </w:pPr>
    </w:p>
    <w:p w14:paraId="79F3D2DD" w14:textId="77777777" w:rsidR="00A9370B" w:rsidRDefault="00A9370B" w:rsidP="00A9370B">
      <w:pPr>
        <w:jc w:val="center"/>
        <w:rPr>
          <w:b/>
          <w:sz w:val="24"/>
        </w:rPr>
      </w:pPr>
    </w:p>
    <w:p w14:paraId="19ED66FE" w14:textId="77777777" w:rsidR="00A9370B" w:rsidRDefault="00A9370B" w:rsidP="00A9370B">
      <w:pPr>
        <w:jc w:val="center"/>
        <w:rPr>
          <w:b/>
          <w:sz w:val="24"/>
        </w:rPr>
      </w:pPr>
    </w:p>
    <w:p w14:paraId="4394D7BE" w14:textId="77777777" w:rsidR="00A9370B" w:rsidRDefault="00A9370B" w:rsidP="00A9370B">
      <w:pPr>
        <w:spacing w:after="0" w:line="240" w:lineRule="auto"/>
        <w:rPr>
          <w:b/>
          <w:sz w:val="24"/>
        </w:rPr>
      </w:pPr>
      <w:r>
        <w:rPr>
          <w:b/>
          <w:sz w:val="24"/>
        </w:rPr>
        <w:br w:type="page"/>
      </w:r>
    </w:p>
    <w:p w14:paraId="40257A13" w14:textId="77777777" w:rsidR="00A9370B" w:rsidRPr="00943783" w:rsidRDefault="00A9370B" w:rsidP="00A9370B">
      <w:pPr>
        <w:spacing w:after="80" w:line="360" w:lineRule="auto"/>
        <w:rPr>
          <w:b/>
        </w:rPr>
      </w:pPr>
      <w:r w:rsidRPr="00430CC4">
        <w:rPr>
          <w:b/>
        </w:rPr>
        <w:lastRenderedPageBreak/>
        <w:t>Figure A</w:t>
      </w:r>
      <w:r>
        <w:rPr>
          <w:b/>
        </w:rPr>
        <w:t>3</w:t>
      </w:r>
      <w:r w:rsidRPr="00430CC4">
        <w:rPr>
          <w:b/>
        </w:rPr>
        <w:t>. Additional effect of green technologies compared to non green technologies by</w:t>
      </w:r>
      <w:r w:rsidRPr="00C44F23">
        <w:rPr>
          <w:b/>
        </w:rPr>
        <w:t xml:space="preserve"> quantiles</w:t>
      </w:r>
      <w:r>
        <w:rPr>
          <w:b/>
        </w:rPr>
        <w:t xml:space="preserve"> (quantiles 50</w:t>
      </w:r>
      <w:r w:rsidRPr="00C44F23">
        <w:rPr>
          <w:b/>
          <w:vertAlign w:val="superscript"/>
        </w:rPr>
        <w:t>th</w:t>
      </w:r>
      <w:r>
        <w:rPr>
          <w:b/>
        </w:rPr>
        <w:t>, 75</w:t>
      </w:r>
      <w:r w:rsidRPr="00C44F23">
        <w:rPr>
          <w:b/>
          <w:vertAlign w:val="superscript"/>
        </w:rPr>
        <w:t>th</w:t>
      </w:r>
      <w:r>
        <w:rPr>
          <w:b/>
        </w:rPr>
        <w:t>, 90</w:t>
      </w:r>
      <w:r w:rsidRPr="00C44F23">
        <w:rPr>
          <w:b/>
          <w:vertAlign w:val="superscript"/>
        </w:rPr>
        <w:t>th</w:t>
      </w:r>
      <w:r>
        <w:rPr>
          <w:b/>
        </w:rPr>
        <w:t xml:space="preserve"> respectively)</w:t>
      </w:r>
    </w:p>
    <w:p w14:paraId="78C913E0" w14:textId="77777777" w:rsidR="00A9370B" w:rsidRDefault="00A9370B" w:rsidP="00A9370B"/>
    <w:p w14:paraId="550C6492" w14:textId="77777777" w:rsidR="00A9370B" w:rsidRDefault="00A9370B" w:rsidP="00A9370B">
      <w:r>
        <w:rPr>
          <w:noProof/>
          <w:lang w:val="en-PH" w:eastAsia="en-PH"/>
        </w:rPr>
        <w:drawing>
          <wp:inline distT="0" distB="0" distL="0" distR="0" wp14:anchorId="6A049A06" wp14:editId="4D95C114">
            <wp:extent cx="2765294" cy="2012950"/>
            <wp:effectExtent l="0" t="0" r="0" b="6350"/>
            <wp:docPr id="2" name="Immagine 2" descr="C:\Users\Ugo\Dropbox\ESRC-Green Entrepreneurship (1)\REVISIONS\graphs\GreenME_q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go\Dropbox\ESRC-Green Entrepreneurship (1)\REVISIONS\graphs\GreenME_q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5294" cy="2012950"/>
                    </a:xfrm>
                    <a:prstGeom prst="rect">
                      <a:avLst/>
                    </a:prstGeom>
                    <a:noFill/>
                    <a:ln>
                      <a:noFill/>
                    </a:ln>
                  </pic:spPr>
                </pic:pic>
              </a:graphicData>
            </a:graphic>
          </wp:inline>
        </w:drawing>
      </w:r>
    </w:p>
    <w:p w14:paraId="577B19F7" w14:textId="77777777" w:rsidR="00A9370B" w:rsidRDefault="00A9370B" w:rsidP="00A9370B">
      <w:r>
        <w:rPr>
          <w:noProof/>
          <w:lang w:val="en-PH" w:eastAsia="en-PH"/>
        </w:rPr>
        <w:drawing>
          <wp:inline distT="0" distB="0" distL="0" distR="0" wp14:anchorId="051D017F" wp14:editId="44CF27D3">
            <wp:extent cx="2762250" cy="2010735"/>
            <wp:effectExtent l="0" t="0" r="0" b="8890"/>
            <wp:docPr id="8" name="Immagine 8" descr="C:\Users\Ugo\Dropbox\ESRC-Green Entrepreneurship (1)\REVISIONS\graphs\GreenME_q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go\Dropbox\ESRC-Green Entrepreneurship (1)\REVISIONS\graphs\GreenME_q7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3005" cy="2011284"/>
                    </a:xfrm>
                    <a:prstGeom prst="rect">
                      <a:avLst/>
                    </a:prstGeom>
                    <a:noFill/>
                    <a:ln>
                      <a:noFill/>
                    </a:ln>
                  </pic:spPr>
                </pic:pic>
              </a:graphicData>
            </a:graphic>
          </wp:inline>
        </w:drawing>
      </w:r>
    </w:p>
    <w:p w14:paraId="28A00C46" w14:textId="77777777" w:rsidR="00A9370B" w:rsidRDefault="00A9370B" w:rsidP="00A9370B">
      <w:r>
        <w:rPr>
          <w:noProof/>
          <w:lang w:val="en-PH" w:eastAsia="en-PH"/>
        </w:rPr>
        <w:drawing>
          <wp:inline distT="0" distB="0" distL="0" distR="0" wp14:anchorId="5A379674" wp14:editId="2193C0F3">
            <wp:extent cx="2762250" cy="2010735"/>
            <wp:effectExtent l="0" t="0" r="0" b="8890"/>
            <wp:docPr id="9" name="Immagine 9" descr="C:\Users\Ugo\Dropbox\ESRC-Green Entrepreneurship (1)\REVISIONS\graphs\GreenME_q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go\Dropbox\ESRC-Green Entrepreneurship (1)\REVISIONS\graphs\GreenME_q9.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0031" cy="2016399"/>
                    </a:xfrm>
                    <a:prstGeom prst="rect">
                      <a:avLst/>
                    </a:prstGeom>
                    <a:noFill/>
                    <a:ln>
                      <a:noFill/>
                    </a:ln>
                  </pic:spPr>
                </pic:pic>
              </a:graphicData>
            </a:graphic>
          </wp:inline>
        </w:drawing>
      </w:r>
    </w:p>
    <w:p w14:paraId="1F03905B" w14:textId="77777777" w:rsidR="00A9370B" w:rsidRDefault="00A9370B" w:rsidP="00A9370B"/>
    <w:p w14:paraId="66C5AC01" w14:textId="77777777" w:rsidR="00A9370B" w:rsidRDefault="00A9370B" w:rsidP="00A9370B"/>
    <w:p w14:paraId="48647E00" w14:textId="77777777" w:rsidR="00A9370B" w:rsidRDefault="00A9370B" w:rsidP="00A9370B"/>
    <w:p w14:paraId="6578DC08" w14:textId="77777777" w:rsidR="00A9370B" w:rsidRDefault="00A9370B" w:rsidP="00A9370B">
      <w:pPr>
        <w:spacing w:line="240" w:lineRule="auto"/>
      </w:pPr>
    </w:p>
    <w:sectPr w:rsidR="00A9370B" w:rsidSect="00036AA6">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E0CA6" w14:textId="77777777" w:rsidR="00280705" w:rsidRDefault="00280705" w:rsidP="009D42A7">
      <w:pPr>
        <w:spacing w:after="0" w:line="240" w:lineRule="auto"/>
      </w:pPr>
      <w:r>
        <w:separator/>
      </w:r>
    </w:p>
  </w:endnote>
  <w:endnote w:type="continuationSeparator" w:id="0">
    <w:p w14:paraId="65B67611" w14:textId="77777777" w:rsidR="00280705" w:rsidRDefault="00280705" w:rsidP="009D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ungsuh">
    <w:altName w:val="Arial Unicode MS"/>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6206102"/>
      <w:docPartObj>
        <w:docPartGallery w:val="Page Numbers (Bottom of Page)"/>
        <w:docPartUnique/>
      </w:docPartObj>
    </w:sdtPr>
    <w:sdtEndPr>
      <w:rPr>
        <w:noProof/>
      </w:rPr>
    </w:sdtEndPr>
    <w:sdtContent>
      <w:p w14:paraId="53E27D9D" w14:textId="77777777" w:rsidR="00AE1599" w:rsidRDefault="00AE1599">
        <w:pPr>
          <w:pStyle w:val="Footer"/>
          <w:jc w:val="center"/>
        </w:pPr>
        <w:r>
          <w:fldChar w:fldCharType="begin"/>
        </w:r>
        <w:r>
          <w:instrText xml:space="preserve"> PAGE   \* MERGEFORMAT </w:instrText>
        </w:r>
        <w:r>
          <w:fldChar w:fldCharType="separate"/>
        </w:r>
        <w:r w:rsidR="007062B0" w:rsidRPr="007062B0">
          <w:rPr>
            <w:rFonts w:ascii="Garamond" w:hAnsi="Garamond"/>
            <w:noProof/>
          </w:rPr>
          <w:t>1</w:t>
        </w:r>
        <w:r>
          <w:rPr>
            <w:rFonts w:ascii="Garamond" w:hAnsi="Garamond"/>
            <w:noProof/>
          </w:rPr>
          <w:fldChar w:fldCharType="end"/>
        </w:r>
      </w:p>
    </w:sdtContent>
  </w:sdt>
  <w:p w14:paraId="32F9D81D" w14:textId="77777777" w:rsidR="00AE1599" w:rsidRDefault="00AE15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7C118" w14:textId="77777777" w:rsidR="00280705" w:rsidRDefault="00280705" w:rsidP="009D42A7">
      <w:pPr>
        <w:spacing w:after="0" w:line="240" w:lineRule="auto"/>
      </w:pPr>
      <w:r>
        <w:separator/>
      </w:r>
    </w:p>
  </w:footnote>
  <w:footnote w:type="continuationSeparator" w:id="0">
    <w:p w14:paraId="6C85202F" w14:textId="77777777" w:rsidR="00280705" w:rsidRDefault="00280705" w:rsidP="009D42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6580C"/>
    <w:multiLevelType w:val="hybridMultilevel"/>
    <w:tmpl w:val="4A3EA1FA"/>
    <w:lvl w:ilvl="0" w:tplc="92CC094E">
      <w:start w:val="5"/>
      <w:numFmt w:val="bullet"/>
      <w:lvlText w:val=""/>
      <w:lvlJc w:val="left"/>
      <w:pPr>
        <w:ind w:left="720" w:hanging="360"/>
      </w:pPr>
      <w:rPr>
        <w:rFonts w:ascii="Symbol" w:eastAsia="Garamond" w:hAnsi="Symbol"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A1328"/>
    <w:multiLevelType w:val="hybridMultilevel"/>
    <w:tmpl w:val="241CD382"/>
    <w:lvl w:ilvl="0" w:tplc="C434AF88">
      <w:start w:val="1"/>
      <w:numFmt w:val="bullet"/>
      <w:pStyle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C2504E"/>
    <w:multiLevelType w:val="multilevel"/>
    <w:tmpl w:val="A8CC2928"/>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DF62C4B"/>
    <w:multiLevelType w:val="hybridMultilevel"/>
    <w:tmpl w:val="861C6C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3E6DD2"/>
    <w:multiLevelType w:val="multilevel"/>
    <w:tmpl w:val="4E046DFC"/>
    <w:lvl w:ilvl="0">
      <w:start w:val="1"/>
      <w:numFmt w:val="decimal"/>
      <w:lvlText w:val="%1"/>
      <w:lvlJc w:val="left"/>
      <w:pPr>
        <w:ind w:left="432" w:hanging="432"/>
      </w:pPr>
      <w:rPr>
        <w:rFonts w:hint="default"/>
      </w:rPr>
    </w:lvl>
    <w:lvl w:ilvl="1">
      <w:start w:val="1"/>
      <w:numFmt w:val="decimal"/>
      <w:lvlText w:val="%1.%2"/>
      <w:lvlJc w:val="left"/>
      <w:pPr>
        <w:tabs>
          <w:tab w:val="num" w:pos="578"/>
        </w:tabs>
        <w:ind w:left="576" w:hanging="576"/>
      </w:pPr>
      <w:rPr>
        <w:rFonts w:hint="default"/>
      </w:rPr>
    </w:lvl>
    <w:lvl w:ilvl="2">
      <w:start w:val="1"/>
      <w:numFmt w:val="decimal"/>
      <w:pStyle w:val="Heading111"/>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C5733E9"/>
    <w:multiLevelType w:val="multilevel"/>
    <w:tmpl w:val="7DB62C30"/>
    <w:lvl w:ilvl="0">
      <w:start w:val="1"/>
      <w:numFmt w:val="decimal"/>
      <w:lvlText w:val="%1"/>
      <w:lvlJc w:val="left"/>
      <w:pPr>
        <w:ind w:left="432" w:hanging="432"/>
      </w:pPr>
      <w:rPr>
        <w:rFonts w:hint="default"/>
      </w:rPr>
    </w:lvl>
    <w:lvl w:ilvl="1">
      <w:start w:val="1"/>
      <w:numFmt w:val="decimal"/>
      <w:pStyle w:val="Heading11"/>
      <w:lvlText w:val="%1.%2"/>
      <w:lvlJc w:val="left"/>
      <w:pPr>
        <w:tabs>
          <w:tab w:val="num" w:pos="578"/>
        </w:tabs>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11D6FF8"/>
    <w:multiLevelType w:val="multilevel"/>
    <w:tmpl w:val="B36A862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6941257"/>
    <w:multiLevelType w:val="hybridMultilevel"/>
    <w:tmpl w:val="FF2496B8"/>
    <w:lvl w:ilvl="0" w:tplc="BC629C76">
      <w:start w:val="1"/>
      <w:numFmt w:val="decimal"/>
      <w:pStyle w:val="Numb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7"/>
  </w:num>
  <w:num w:numId="4">
    <w:abstractNumId w:val="1"/>
  </w:num>
  <w:num w:numId="5">
    <w:abstractNumId w:val="4"/>
  </w:num>
  <w:num w:numId="6">
    <w:abstractNumId w:val="6"/>
  </w:num>
  <w:num w:numId="7">
    <w:abstractNumId w:val="2"/>
  </w:num>
  <w:num w:numId="8">
    <w:abstractNumId w:val="5"/>
  </w:num>
  <w:num w:numId="9">
    <w:abstractNumId w:val="7"/>
  </w:num>
  <w:num w:numId="10">
    <w:abstractNumId w:val="1"/>
  </w:num>
  <w:num w:numId="11">
    <w:abstractNumId w:val="4"/>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9D42A7"/>
    <w:rsid w:val="000006E1"/>
    <w:rsid w:val="000007B4"/>
    <w:rsid w:val="00001F67"/>
    <w:rsid w:val="00005E50"/>
    <w:rsid w:val="00006FF7"/>
    <w:rsid w:val="0001159E"/>
    <w:rsid w:val="00012839"/>
    <w:rsid w:val="00012F12"/>
    <w:rsid w:val="0001517E"/>
    <w:rsid w:val="00022D55"/>
    <w:rsid w:val="000260F5"/>
    <w:rsid w:val="000328CF"/>
    <w:rsid w:val="00032B4E"/>
    <w:rsid w:val="0003679E"/>
    <w:rsid w:val="00036AA6"/>
    <w:rsid w:val="00045E81"/>
    <w:rsid w:val="00051618"/>
    <w:rsid w:val="0005325F"/>
    <w:rsid w:val="00056192"/>
    <w:rsid w:val="00056279"/>
    <w:rsid w:val="00065B64"/>
    <w:rsid w:val="00071EC8"/>
    <w:rsid w:val="0007573E"/>
    <w:rsid w:val="00083987"/>
    <w:rsid w:val="00084C3A"/>
    <w:rsid w:val="000865CA"/>
    <w:rsid w:val="00087D18"/>
    <w:rsid w:val="00093769"/>
    <w:rsid w:val="000947EC"/>
    <w:rsid w:val="000960C4"/>
    <w:rsid w:val="00096733"/>
    <w:rsid w:val="000A2591"/>
    <w:rsid w:val="000A6418"/>
    <w:rsid w:val="000B3377"/>
    <w:rsid w:val="000B4711"/>
    <w:rsid w:val="000B6EE6"/>
    <w:rsid w:val="000C13AF"/>
    <w:rsid w:val="000C1C19"/>
    <w:rsid w:val="000C38C6"/>
    <w:rsid w:val="000C39BD"/>
    <w:rsid w:val="000C513E"/>
    <w:rsid w:val="000C6CA3"/>
    <w:rsid w:val="000C77F4"/>
    <w:rsid w:val="000D09AA"/>
    <w:rsid w:val="000D59BF"/>
    <w:rsid w:val="000E7970"/>
    <w:rsid w:val="000F0DDB"/>
    <w:rsid w:val="000F1A8E"/>
    <w:rsid w:val="000F1F6B"/>
    <w:rsid w:val="000F25CC"/>
    <w:rsid w:val="000F7432"/>
    <w:rsid w:val="00111E38"/>
    <w:rsid w:val="00115A95"/>
    <w:rsid w:val="0012314E"/>
    <w:rsid w:val="0013229A"/>
    <w:rsid w:val="00133261"/>
    <w:rsid w:val="001356DC"/>
    <w:rsid w:val="00137CCF"/>
    <w:rsid w:val="001401AE"/>
    <w:rsid w:val="0014071B"/>
    <w:rsid w:val="001421D6"/>
    <w:rsid w:val="00143FE3"/>
    <w:rsid w:val="00144BF0"/>
    <w:rsid w:val="0014564D"/>
    <w:rsid w:val="0015510F"/>
    <w:rsid w:val="00156961"/>
    <w:rsid w:val="00156D21"/>
    <w:rsid w:val="00160F3F"/>
    <w:rsid w:val="00175791"/>
    <w:rsid w:val="00177C2A"/>
    <w:rsid w:val="00186D68"/>
    <w:rsid w:val="0019062E"/>
    <w:rsid w:val="001A002E"/>
    <w:rsid w:val="001A3678"/>
    <w:rsid w:val="001A3830"/>
    <w:rsid w:val="001A5B1C"/>
    <w:rsid w:val="001B1C66"/>
    <w:rsid w:val="001B26B4"/>
    <w:rsid w:val="001C4A98"/>
    <w:rsid w:val="001C7032"/>
    <w:rsid w:val="001D0D2B"/>
    <w:rsid w:val="001D1A5D"/>
    <w:rsid w:val="001D52BC"/>
    <w:rsid w:val="001D6DCE"/>
    <w:rsid w:val="001E0B13"/>
    <w:rsid w:val="001E26DA"/>
    <w:rsid w:val="001E5D19"/>
    <w:rsid w:val="001E63AF"/>
    <w:rsid w:val="001E6705"/>
    <w:rsid w:val="001F0E7C"/>
    <w:rsid w:val="001F1D3C"/>
    <w:rsid w:val="001F254D"/>
    <w:rsid w:val="001F33C5"/>
    <w:rsid w:val="002005FA"/>
    <w:rsid w:val="00204A24"/>
    <w:rsid w:val="00212D6C"/>
    <w:rsid w:val="00213BAE"/>
    <w:rsid w:val="00222CC9"/>
    <w:rsid w:val="00226F2B"/>
    <w:rsid w:val="002271A2"/>
    <w:rsid w:val="00232686"/>
    <w:rsid w:val="002354A1"/>
    <w:rsid w:val="00236E28"/>
    <w:rsid w:val="00236EFF"/>
    <w:rsid w:val="0024289A"/>
    <w:rsid w:val="002430BE"/>
    <w:rsid w:val="002434CD"/>
    <w:rsid w:val="00243707"/>
    <w:rsid w:val="002458C8"/>
    <w:rsid w:val="0024696E"/>
    <w:rsid w:val="00252E58"/>
    <w:rsid w:val="00254802"/>
    <w:rsid w:val="00254A01"/>
    <w:rsid w:val="00254CB7"/>
    <w:rsid w:val="002562AE"/>
    <w:rsid w:val="002565E6"/>
    <w:rsid w:val="00262FBE"/>
    <w:rsid w:val="00270AA5"/>
    <w:rsid w:val="00272401"/>
    <w:rsid w:val="00280363"/>
    <w:rsid w:val="002804B1"/>
    <w:rsid w:val="00280705"/>
    <w:rsid w:val="00281D37"/>
    <w:rsid w:val="0029432F"/>
    <w:rsid w:val="002A0FD2"/>
    <w:rsid w:val="002A11F3"/>
    <w:rsid w:val="002A25D4"/>
    <w:rsid w:val="002A2E52"/>
    <w:rsid w:val="002B02FD"/>
    <w:rsid w:val="002B12B6"/>
    <w:rsid w:val="002B24DA"/>
    <w:rsid w:val="002B34B3"/>
    <w:rsid w:val="002B3E8F"/>
    <w:rsid w:val="002C36FA"/>
    <w:rsid w:val="002C3EEF"/>
    <w:rsid w:val="002C69F8"/>
    <w:rsid w:val="002C6B24"/>
    <w:rsid w:val="002C6DE8"/>
    <w:rsid w:val="002D0CA9"/>
    <w:rsid w:val="002D3CD4"/>
    <w:rsid w:val="002D5DF4"/>
    <w:rsid w:val="002E06C6"/>
    <w:rsid w:val="002E37E7"/>
    <w:rsid w:val="002E3E58"/>
    <w:rsid w:val="002E599B"/>
    <w:rsid w:val="002F0372"/>
    <w:rsid w:val="002F4843"/>
    <w:rsid w:val="002F6CB7"/>
    <w:rsid w:val="00300A3A"/>
    <w:rsid w:val="00300D6B"/>
    <w:rsid w:val="00302488"/>
    <w:rsid w:val="00303FD1"/>
    <w:rsid w:val="00312EF1"/>
    <w:rsid w:val="00313A1D"/>
    <w:rsid w:val="00313DFF"/>
    <w:rsid w:val="00315D16"/>
    <w:rsid w:val="00316F8D"/>
    <w:rsid w:val="00327DB0"/>
    <w:rsid w:val="003303D8"/>
    <w:rsid w:val="0033255D"/>
    <w:rsid w:val="00337C27"/>
    <w:rsid w:val="00340CA6"/>
    <w:rsid w:val="00346362"/>
    <w:rsid w:val="00353DF3"/>
    <w:rsid w:val="00360988"/>
    <w:rsid w:val="00366B79"/>
    <w:rsid w:val="00373591"/>
    <w:rsid w:val="00375AC5"/>
    <w:rsid w:val="003875A0"/>
    <w:rsid w:val="00387E73"/>
    <w:rsid w:val="0039248E"/>
    <w:rsid w:val="00393CB8"/>
    <w:rsid w:val="0039627A"/>
    <w:rsid w:val="003963BD"/>
    <w:rsid w:val="003A2E53"/>
    <w:rsid w:val="003A3C03"/>
    <w:rsid w:val="003A42B4"/>
    <w:rsid w:val="003A4D81"/>
    <w:rsid w:val="003A6F8E"/>
    <w:rsid w:val="003B52C6"/>
    <w:rsid w:val="003B6EC0"/>
    <w:rsid w:val="003C2671"/>
    <w:rsid w:val="003D4EC2"/>
    <w:rsid w:val="003D4F61"/>
    <w:rsid w:val="003D6D6B"/>
    <w:rsid w:val="003E0F4D"/>
    <w:rsid w:val="003E3071"/>
    <w:rsid w:val="003F0B80"/>
    <w:rsid w:val="003F5025"/>
    <w:rsid w:val="003F6B8D"/>
    <w:rsid w:val="00401B2E"/>
    <w:rsid w:val="00405DB0"/>
    <w:rsid w:val="00413A15"/>
    <w:rsid w:val="00413E22"/>
    <w:rsid w:val="00417D94"/>
    <w:rsid w:val="00423325"/>
    <w:rsid w:val="00426CF8"/>
    <w:rsid w:val="00426DBF"/>
    <w:rsid w:val="004308BD"/>
    <w:rsid w:val="00432977"/>
    <w:rsid w:val="004352D9"/>
    <w:rsid w:val="00435809"/>
    <w:rsid w:val="004359D4"/>
    <w:rsid w:val="00435CA5"/>
    <w:rsid w:val="00436F87"/>
    <w:rsid w:val="00437582"/>
    <w:rsid w:val="00442D12"/>
    <w:rsid w:val="004472DB"/>
    <w:rsid w:val="00454FB2"/>
    <w:rsid w:val="004608DC"/>
    <w:rsid w:val="0046193C"/>
    <w:rsid w:val="0046552A"/>
    <w:rsid w:val="004677AF"/>
    <w:rsid w:val="00475C18"/>
    <w:rsid w:val="004803C3"/>
    <w:rsid w:val="0048154E"/>
    <w:rsid w:val="0048277A"/>
    <w:rsid w:val="004938BC"/>
    <w:rsid w:val="004942CC"/>
    <w:rsid w:val="00494310"/>
    <w:rsid w:val="004A1271"/>
    <w:rsid w:val="004A40E6"/>
    <w:rsid w:val="004A4823"/>
    <w:rsid w:val="004A5885"/>
    <w:rsid w:val="004A64FB"/>
    <w:rsid w:val="004B21B7"/>
    <w:rsid w:val="004C0D95"/>
    <w:rsid w:val="004C701B"/>
    <w:rsid w:val="004E2BD9"/>
    <w:rsid w:val="004E5E0C"/>
    <w:rsid w:val="004E67B9"/>
    <w:rsid w:val="004E7DA3"/>
    <w:rsid w:val="004F5B4A"/>
    <w:rsid w:val="00521A45"/>
    <w:rsid w:val="005244D5"/>
    <w:rsid w:val="005246F4"/>
    <w:rsid w:val="00531D57"/>
    <w:rsid w:val="0053464A"/>
    <w:rsid w:val="00534E6F"/>
    <w:rsid w:val="00536B07"/>
    <w:rsid w:val="00536C74"/>
    <w:rsid w:val="00541C4F"/>
    <w:rsid w:val="0054294B"/>
    <w:rsid w:val="00547442"/>
    <w:rsid w:val="005509A4"/>
    <w:rsid w:val="00550F56"/>
    <w:rsid w:val="00555E46"/>
    <w:rsid w:val="005570F0"/>
    <w:rsid w:val="0056216F"/>
    <w:rsid w:val="0056463B"/>
    <w:rsid w:val="00565F95"/>
    <w:rsid w:val="00567552"/>
    <w:rsid w:val="0057267A"/>
    <w:rsid w:val="00576260"/>
    <w:rsid w:val="005816BA"/>
    <w:rsid w:val="00585A48"/>
    <w:rsid w:val="00592A33"/>
    <w:rsid w:val="005A08D7"/>
    <w:rsid w:val="005A2932"/>
    <w:rsid w:val="005A5F3B"/>
    <w:rsid w:val="005A62B2"/>
    <w:rsid w:val="005B13B3"/>
    <w:rsid w:val="005C02BB"/>
    <w:rsid w:val="005C6CBD"/>
    <w:rsid w:val="005D4CE5"/>
    <w:rsid w:val="005D590B"/>
    <w:rsid w:val="005D6710"/>
    <w:rsid w:val="005E4169"/>
    <w:rsid w:val="005E72DC"/>
    <w:rsid w:val="005F2E6A"/>
    <w:rsid w:val="005F3BFF"/>
    <w:rsid w:val="005F627B"/>
    <w:rsid w:val="00607282"/>
    <w:rsid w:val="00607690"/>
    <w:rsid w:val="006103F5"/>
    <w:rsid w:val="00611F63"/>
    <w:rsid w:val="006135AF"/>
    <w:rsid w:val="00615624"/>
    <w:rsid w:val="006169CD"/>
    <w:rsid w:val="006173DE"/>
    <w:rsid w:val="00617A19"/>
    <w:rsid w:val="00623572"/>
    <w:rsid w:val="00632BB7"/>
    <w:rsid w:val="00643E70"/>
    <w:rsid w:val="00651784"/>
    <w:rsid w:val="006518E4"/>
    <w:rsid w:val="00652B6C"/>
    <w:rsid w:val="00672027"/>
    <w:rsid w:val="006836AE"/>
    <w:rsid w:val="00685AC5"/>
    <w:rsid w:val="00685C0E"/>
    <w:rsid w:val="00690D62"/>
    <w:rsid w:val="00691D26"/>
    <w:rsid w:val="0069224B"/>
    <w:rsid w:val="006952A4"/>
    <w:rsid w:val="006A427F"/>
    <w:rsid w:val="006B0279"/>
    <w:rsid w:val="006B3A8D"/>
    <w:rsid w:val="006C30CA"/>
    <w:rsid w:val="006C38E0"/>
    <w:rsid w:val="006C3D92"/>
    <w:rsid w:val="006D2A41"/>
    <w:rsid w:val="006D3E5A"/>
    <w:rsid w:val="006D6C6E"/>
    <w:rsid w:val="006E1E4B"/>
    <w:rsid w:val="006E278F"/>
    <w:rsid w:val="006F1F03"/>
    <w:rsid w:val="006F573E"/>
    <w:rsid w:val="007062B0"/>
    <w:rsid w:val="007075CA"/>
    <w:rsid w:val="0071270F"/>
    <w:rsid w:val="00720F9A"/>
    <w:rsid w:val="0072124A"/>
    <w:rsid w:val="00721D40"/>
    <w:rsid w:val="00724202"/>
    <w:rsid w:val="00725841"/>
    <w:rsid w:val="00733DBE"/>
    <w:rsid w:val="0073481A"/>
    <w:rsid w:val="0073713F"/>
    <w:rsid w:val="007402E8"/>
    <w:rsid w:val="0074697C"/>
    <w:rsid w:val="00751A50"/>
    <w:rsid w:val="00752314"/>
    <w:rsid w:val="007543F2"/>
    <w:rsid w:val="00761297"/>
    <w:rsid w:val="00764B5C"/>
    <w:rsid w:val="0077106C"/>
    <w:rsid w:val="007754C1"/>
    <w:rsid w:val="00780E6B"/>
    <w:rsid w:val="00782782"/>
    <w:rsid w:val="00782A1E"/>
    <w:rsid w:val="007841FC"/>
    <w:rsid w:val="00790D3F"/>
    <w:rsid w:val="00794700"/>
    <w:rsid w:val="007964F6"/>
    <w:rsid w:val="00796E8A"/>
    <w:rsid w:val="007977BF"/>
    <w:rsid w:val="007A0603"/>
    <w:rsid w:val="007A1E82"/>
    <w:rsid w:val="007A3402"/>
    <w:rsid w:val="007A4B33"/>
    <w:rsid w:val="007A553B"/>
    <w:rsid w:val="007B0C93"/>
    <w:rsid w:val="007B1DB4"/>
    <w:rsid w:val="007B2FDF"/>
    <w:rsid w:val="007C002C"/>
    <w:rsid w:val="007C28F8"/>
    <w:rsid w:val="007C4038"/>
    <w:rsid w:val="007C5B69"/>
    <w:rsid w:val="007C5C55"/>
    <w:rsid w:val="007D0A07"/>
    <w:rsid w:val="007D7F92"/>
    <w:rsid w:val="007E168C"/>
    <w:rsid w:val="007E1BCA"/>
    <w:rsid w:val="007E272F"/>
    <w:rsid w:val="007E2C01"/>
    <w:rsid w:val="007E3BEC"/>
    <w:rsid w:val="007E402C"/>
    <w:rsid w:val="007F0D8B"/>
    <w:rsid w:val="007F4A8A"/>
    <w:rsid w:val="007F7825"/>
    <w:rsid w:val="008054BD"/>
    <w:rsid w:val="00807A95"/>
    <w:rsid w:val="0081138A"/>
    <w:rsid w:val="008145BD"/>
    <w:rsid w:val="00814F91"/>
    <w:rsid w:val="00815AD3"/>
    <w:rsid w:val="00817934"/>
    <w:rsid w:val="00823E10"/>
    <w:rsid w:val="008271A6"/>
    <w:rsid w:val="00831939"/>
    <w:rsid w:val="00832062"/>
    <w:rsid w:val="00832C26"/>
    <w:rsid w:val="008348FC"/>
    <w:rsid w:val="00835F9D"/>
    <w:rsid w:val="00842767"/>
    <w:rsid w:val="00842896"/>
    <w:rsid w:val="00843DC2"/>
    <w:rsid w:val="00844257"/>
    <w:rsid w:val="00851C27"/>
    <w:rsid w:val="008569CB"/>
    <w:rsid w:val="008574D0"/>
    <w:rsid w:val="008612D3"/>
    <w:rsid w:val="008732C5"/>
    <w:rsid w:val="00874074"/>
    <w:rsid w:val="00875C1B"/>
    <w:rsid w:val="00875CE8"/>
    <w:rsid w:val="008821BB"/>
    <w:rsid w:val="008849FF"/>
    <w:rsid w:val="00886CC6"/>
    <w:rsid w:val="00886F14"/>
    <w:rsid w:val="00892A99"/>
    <w:rsid w:val="008969FF"/>
    <w:rsid w:val="008A1BBF"/>
    <w:rsid w:val="008A2DDD"/>
    <w:rsid w:val="008A2FE3"/>
    <w:rsid w:val="008A5828"/>
    <w:rsid w:val="008B64B6"/>
    <w:rsid w:val="008B6E67"/>
    <w:rsid w:val="008C3409"/>
    <w:rsid w:val="008C6D12"/>
    <w:rsid w:val="008C6D4B"/>
    <w:rsid w:val="008D5CFB"/>
    <w:rsid w:val="008E136D"/>
    <w:rsid w:val="008E205B"/>
    <w:rsid w:val="008E2660"/>
    <w:rsid w:val="008F23D4"/>
    <w:rsid w:val="008F308F"/>
    <w:rsid w:val="008F3B99"/>
    <w:rsid w:val="008F712D"/>
    <w:rsid w:val="008F7C25"/>
    <w:rsid w:val="009009DC"/>
    <w:rsid w:val="00901D5D"/>
    <w:rsid w:val="00903DF5"/>
    <w:rsid w:val="00903ECA"/>
    <w:rsid w:val="009061F3"/>
    <w:rsid w:val="00912D82"/>
    <w:rsid w:val="00914B23"/>
    <w:rsid w:val="009150CE"/>
    <w:rsid w:val="00921979"/>
    <w:rsid w:val="009272A8"/>
    <w:rsid w:val="0093181D"/>
    <w:rsid w:val="00932906"/>
    <w:rsid w:val="00936E1A"/>
    <w:rsid w:val="00936E86"/>
    <w:rsid w:val="0094116E"/>
    <w:rsid w:val="00951DD8"/>
    <w:rsid w:val="00953C3F"/>
    <w:rsid w:val="00955B0F"/>
    <w:rsid w:val="00955CEF"/>
    <w:rsid w:val="00961088"/>
    <w:rsid w:val="00963933"/>
    <w:rsid w:val="009648A0"/>
    <w:rsid w:val="00965221"/>
    <w:rsid w:val="00980A00"/>
    <w:rsid w:val="00982920"/>
    <w:rsid w:val="0098705E"/>
    <w:rsid w:val="0099193B"/>
    <w:rsid w:val="009924BC"/>
    <w:rsid w:val="00992F27"/>
    <w:rsid w:val="00996763"/>
    <w:rsid w:val="009A0AE2"/>
    <w:rsid w:val="009B3C46"/>
    <w:rsid w:val="009C2513"/>
    <w:rsid w:val="009C3C31"/>
    <w:rsid w:val="009C4E6E"/>
    <w:rsid w:val="009C588C"/>
    <w:rsid w:val="009C7C06"/>
    <w:rsid w:val="009C7C7B"/>
    <w:rsid w:val="009D12C8"/>
    <w:rsid w:val="009D205F"/>
    <w:rsid w:val="009D42A7"/>
    <w:rsid w:val="009D4A29"/>
    <w:rsid w:val="009D5F28"/>
    <w:rsid w:val="009E030E"/>
    <w:rsid w:val="009E329F"/>
    <w:rsid w:val="009E46B3"/>
    <w:rsid w:val="009E4A6C"/>
    <w:rsid w:val="009F581A"/>
    <w:rsid w:val="00A04F33"/>
    <w:rsid w:val="00A062AB"/>
    <w:rsid w:val="00A07527"/>
    <w:rsid w:val="00A114A6"/>
    <w:rsid w:val="00A131C2"/>
    <w:rsid w:val="00A16FDF"/>
    <w:rsid w:val="00A25637"/>
    <w:rsid w:val="00A258B6"/>
    <w:rsid w:val="00A37C64"/>
    <w:rsid w:val="00A4095C"/>
    <w:rsid w:val="00A42552"/>
    <w:rsid w:val="00A521CE"/>
    <w:rsid w:val="00A54968"/>
    <w:rsid w:val="00A54FBA"/>
    <w:rsid w:val="00A57F04"/>
    <w:rsid w:val="00A636F9"/>
    <w:rsid w:val="00A67AF7"/>
    <w:rsid w:val="00A7131E"/>
    <w:rsid w:val="00A734EF"/>
    <w:rsid w:val="00A86E76"/>
    <w:rsid w:val="00A92A7B"/>
    <w:rsid w:val="00A9370B"/>
    <w:rsid w:val="00A95088"/>
    <w:rsid w:val="00A96A96"/>
    <w:rsid w:val="00AA0A75"/>
    <w:rsid w:val="00AA353E"/>
    <w:rsid w:val="00AA4A75"/>
    <w:rsid w:val="00AB33BC"/>
    <w:rsid w:val="00AB347A"/>
    <w:rsid w:val="00AB3B27"/>
    <w:rsid w:val="00AB4F62"/>
    <w:rsid w:val="00AB7975"/>
    <w:rsid w:val="00AB7E1D"/>
    <w:rsid w:val="00AC0B1A"/>
    <w:rsid w:val="00AC2F99"/>
    <w:rsid w:val="00AC5FB3"/>
    <w:rsid w:val="00AD0529"/>
    <w:rsid w:val="00AD1474"/>
    <w:rsid w:val="00AD2FF3"/>
    <w:rsid w:val="00AD5C87"/>
    <w:rsid w:val="00AD6D74"/>
    <w:rsid w:val="00AE0A07"/>
    <w:rsid w:val="00AE1599"/>
    <w:rsid w:val="00AE676B"/>
    <w:rsid w:val="00B00902"/>
    <w:rsid w:val="00B01C94"/>
    <w:rsid w:val="00B0224C"/>
    <w:rsid w:val="00B02973"/>
    <w:rsid w:val="00B02AF4"/>
    <w:rsid w:val="00B06CC6"/>
    <w:rsid w:val="00B11161"/>
    <w:rsid w:val="00B11238"/>
    <w:rsid w:val="00B11A4F"/>
    <w:rsid w:val="00B14F13"/>
    <w:rsid w:val="00B17DCA"/>
    <w:rsid w:val="00B20F8B"/>
    <w:rsid w:val="00B216B4"/>
    <w:rsid w:val="00B23ECA"/>
    <w:rsid w:val="00B26922"/>
    <w:rsid w:val="00B302C1"/>
    <w:rsid w:val="00B30DD7"/>
    <w:rsid w:val="00B32209"/>
    <w:rsid w:val="00B345BC"/>
    <w:rsid w:val="00B35B81"/>
    <w:rsid w:val="00B40B3E"/>
    <w:rsid w:val="00B420E6"/>
    <w:rsid w:val="00B42577"/>
    <w:rsid w:val="00B4294F"/>
    <w:rsid w:val="00B46923"/>
    <w:rsid w:val="00B46AF1"/>
    <w:rsid w:val="00B52CF7"/>
    <w:rsid w:val="00B539C4"/>
    <w:rsid w:val="00B53E92"/>
    <w:rsid w:val="00B55CAB"/>
    <w:rsid w:val="00B62B78"/>
    <w:rsid w:val="00B62D2A"/>
    <w:rsid w:val="00B6608B"/>
    <w:rsid w:val="00B7234D"/>
    <w:rsid w:val="00B73C1E"/>
    <w:rsid w:val="00B7470C"/>
    <w:rsid w:val="00B755FE"/>
    <w:rsid w:val="00B75AEC"/>
    <w:rsid w:val="00B7620D"/>
    <w:rsid w:val="00B7637A"/>
    <w:rsid w:val="00B8553C"/>
    <w:rsid w:val="00B85840"/>
    <w:rsid w:val="00B859F5"/>
    <w:rsid w:val="00B86CD3"/>
    <w:rsid w:val="00B9669E"/>
    <w:rsid w:val="00B96858"/>
    <w:rsid w:val="00B96F57"/>
    <w:rsid w:val="00BA0E57"/>
    <w:rsid w:val="00BA1150"/>
    <w:rsid w:val="00BA40EF"/>
    <w:rsid w:val="00BA4B99"/>
    <w:rsid w:val="00BA635B"/>
    <w:rsid w:val="00BA75B5"/>
    <w:rsid w:val="00BB185A"/>
    <w:rsid w:val="00BC08A1"/>
    <w:rsid w:val="00BC1BEF"/>
    <w:rsid w:val="00BC37F1"/>
    <w:rsid w:val="00BC725B"/>
    <w:rsid w:val="00BD1FD8"/>
    <w:rsid w:val="00BD5FFC"/>
    <w:rsid w:val="00BE15CA"/>
    <w:rsid w:val="00BE2150"/>
    <w:rsid w:val="00BE552A"/>
    <w:rsid w:val="00BE5A3C"/>
    <w:rsid w:val="00BF5408"/>
    <w:rsid w:val="00BF586D"/>
    <w:rsid w:val="00BF6F5E"/>
    <w:rsid w:val="00BF7F72"/>
    <w:rsid w:val="00C01868"/>
    <w:rsid w:val="00C0373D"/>
    <w:rsid w:val="00C05199"/>
    <w:rsid w:val="00C065A5"/>
    <w:rsid w:val="00C12803"/>
    <w:rsid w:val="00C14320"/>
    <w:rsid w:val="00C16EEA"/>
    <w:rsid w:val="00C229A7"/>
    <w:rsid w:val="00C24226"/>
    <w:rsid w:val="00C30D1E"/>
    <w:rsid w:val="00C3100D"/>
    <w:rsid w:val="00C324AE"/>
    <w:rsid w:val="00C34711"/>
    <w:rsid w:val="00C3771A"/>
    <w:rsid w:val="00C41154"/>
    <w:rsid w:val="00C47EBC"/>
    <w:rsid w:val="00C5374A"/>
    <w:rsid w:val="00C570F1"/>
    <w:rsid w:val="00C62D48"/>
    <w:rsid w:val="00C650CD"/>
    <w:rsid w:val="00C65A02"/>
    <w:rsid w:val="00C74E11"/>
    <w:rsid w:val="00C756C6"/>
    <w:rsid w:val="00C80691"/>
    <w:rsid w:val="00C81857"/>
    <w:rsid w:val="00C8185A"/>
    <w:rsid w:val="00C81897"/>
    <w:rsid w:val="00C85149"/>
    <w:rsid w:val="00C87AE1"/>
    <w:rsid w:val="00C87DAE"/>
    <w:rsid w:val="00C906D4"/>
    <w:rsid w:val="00C909B9"/>
    <w:rsid w:val="00C90E8E"/>
    <w:rsid w:val="00C918C9"/>
    <w:rsid w:val="00C9196A"/>
    <w:rsid w:val="00C94003"/>
    <w:rsid w:val="00CA2BF8"/>
    <w:rsid w:val="00CA3826"/>
    <w:rsid w:val="00CA54B2"/>
    <w:rsid w:val="00CA5C4F"/>
    <w:rsid w:val="00CB0D3F"/>
    <w:rsid w:val="00CB2AB7"/>
    <w:rsid w:val="00CB6AB9"/>
    <w:rsid w:val="00CC16B2"/>
    <w:rsid w:val="00CC295D"/>
    <w:rsid w:val="00CC3015"/>
    <w:rsid w:val="00CC3C20"/>
    <w:rsid w:val="00CC5789"/>
    <w:rsid w:val="00CD0048"/>
    <w:rsid w:val="00CD3E3A"/>
    <w:rsid w:val="00CD6369"/>
    <w:rsid w:val="00CD697F"/>
    <w:rsid w:val="00CE08EE"/>
    <w:rsid w:val="00CE206B"/>
    <w:rsid w:val="00CE4F68"/>
    <w:rsid w:val="00CE5801"/>
    <w:rsid w:val="00CE5F65"/>
    <w:rsid w:val="00CE6CE4"/>
    <w:rsid w:val="00CE73FE"/>
    <w:rsid w:val="00CF030D"/>
    <w:rsid w:val="00D037A7"/>
    <w:rsid w:val="00D07936"/>
    <w:rsid w:val="00D135B8"/>
    <w:rsid w:val="00D14BD5"/>
    <w:rsid w:val="00D204EA"/>
    <w:rsid w:val="00D226F0"/>
    <w:rsid w:val="00D23C6E"/>
    <w:rsid w:val="00D242AA"/>
    <w:rsid w:val="00D2432F"/>
    <w:rsid w:val="00D2619F"/>
    <w:rsid w:val="00D278CD"/>
    <w:rsid w:val="00D27C13"/>
    <w:rsid w:val="00D32C7D"/>
    <w:rsid w:val="00D3758B"/>
    <w:rsid w:val="00D47FE8"/>
    <w:rsid w:val="00D54D98"/>
    <w:rsid w:val="00D565AE"/>
    <w:rsid w:val="00D621E0"/>
    <w:rsid w:val="00D63B84"/>
    <w:rsid w:val="00D66E8F"/>
    <w:rsid w:val="00D73947"/>
    <w:rsid w:val="00D76DE6"/>
    <w:rsid w:val="00D7734D"/>
    <w:rsid w:val="00D812B6"/>
    <w:rsid w:val="00D821A2"/>
    <w:rsid w:val="00D83D49"/>
    <w:rsid w:val="00D8421F"/>
    <w:rsid w:val="00D847EF"/>
    <w:rsid w:val="00D87AF4"/>
    <w:rsid w:val="00D90E9E"/>
    <w:rsid w:val="00D9712F"/>
    <w:rsid w:val="00DA229D"/>
    <w:rsid w:val="00DA28F8"/>
    <w:rsid w:val="00DA6E9B"/>
    <w:rsid w:val="00DB101D"/>
    <w:rsid w:val="00DB2356"/>
    <w:rsid w:val="00DB5733"/>
    <w:rsid w:val="00DC0888"/>
    <w:rsid w:val="00DC2FDC"/>
    <w:rsid w:val="00DC4404"/>
    <w:rsid w:val="00DC6B0C"/>
    <w:rsid w:val="00DC7507"/>
    <w:rsid w:val="00DC7D98"/>
    <w:rsid w:val="00DD0C27"/>
    <w:rsid w:val="00DD3258"/>
    <w:rsid w:val="00DD638B"/>
    <w:rsid w:val="00DD6A7D"/>
    <w:rsid w:val="00DE0418"/>
    <w:rsid w:val="00DE2B5F"/>
    <w:rsid w:val="00DE3EAB"/>
    <w:rsid w:val="00DF2A92"/>
    <w:rsid w:val="00DF6B04"/>
    <w:rsid w:val="00DF6FE2"/>
    <w:rsid w:val="00E10408"/>
    <w:rsid w:val="00E1115A"/>
    <w:rsid w:val="00E12080"/>
    <w:rsid w:val="00E12A80"/>
    <w:rsid w:val="00E15F51"/>
    <w:rsid w:val="00E24190"/>
    <w:rsid w:val="00E27DD3"/>
    <w:rsid w:val="00E3300F"/>
    <w:rsid w:val="00E34173"/>
    <w:rsid w:val="00E41221"/>
    <w:rsid w:val="00E41839"/>
    <w:rsid w:val="00E425FD"/>
    <w:rsid w:val="00E44B74"/>
    <w:rsid w:val="00E46B81"/>
    <w:rsid w:val="00E47C7F"/>
    <w:rsid w:val="00E51C1F"/>
    <w:rsid w:val="00E52B95"/>
    <w:rsid w:val="00E56F7A"/>
    <w:rsid w:val="00E57140"/>
    <w:rsid w:val="00E72568"/>
    <w:rsid w:val="00E73681"/>
    <w:rsid w:val="00E7501F"/>
    <w:rsid w:val="00E75C2F"/>
    <w:rsid w:val="00E84F5A"/>
    <w:rsid w:val="00E85084"/>
    <w:rsid w:val="00E8603D"/>
    <w:rsid w:val="00E916BB"/>
    <w:rsid w:val="00E9501E"/>
    <w:rsid w:val="00EA3F35"/>
    <w:rsid w:val="00EB0F0B"/>
    <w:rsid w:val="00EB1C51"/>
    <w:rsid w:val="00EB2B03"/>
    <w:rsid w:val="00EB4506"/>
    <w:rsid w:val="00EB5A91"/>
    <w:rsid w:val="00EC36B6"/>
    <w:rsid w:val="00EC4BB4"/>
    <w:rsid w:val="00ED012B"/>
    <w:rsid w:val="00ED05F7"/>
    <w:rsid w:val="00ED32D5"/>
    <w:rsid w:val="00ED6D8F"/>
    <w:rsid w:val="00EE3B9A"/>
    <w:rsid w:val="00EE3C1C"/>
    <w:rsid w:val="00EF0E62"/>
    <w:rsid w:val="00EF10D1"/>
    <w:rsid w:val="00EF6440"/>
    <w:rsid w:val="00EF77E1"/>
    <w:rsid w:val="00F02458"/>
    <w:rsid w:val="00F049F3"/>
    <w:rsid w:val="00F1545A"/>
    <w:rsid w:val="00F1638F"/>
    <w:rsid w:val="00F17F3A"/>
    <w:rsid w:val="00F24C7D"/>
    <w:rsid w:val="00F30602"/>
    <w:rsid w:val="00F3181F"/>
    <w:rsid w:val="00F3378F"/>
    <w:rsid w:val="00F35031"/>
    <w:rsid w:val="00F35F9D"/>
    <w:rsid w:val="00F371D9"/>
    <w:rsid w:val="00F378B6"/>
    <w:rsid w:val="00F42699"/>
    <w:rsid w:val="00F43076"/>
    <w:rsid w:val="00F43101"/>
    <w:rsid w:val="00F4473F"/>
    <w:rsid w:val="00F457F8"/>
    <w:rsid w:val="00F503F7"/>
    <w:rsid w:val="00F52B73"/>
    <w:rsid w:val="00F6120C"/>
    <w:rsid w:val="00F62CC0"/>
    <w:rsid w:val="00F62DB2"/>
    <w:rsid w:val="00F637C0"/>
    <w:rsid w:val="00F63847"/>
    <w:rsid w:val="00F76002"/>
    <w:rsid w:val="00F80457"/>
    <w:rsid w:val="00F8065B"/>
    <w:rsid w:val="00F81499"/>
    <w:rsid w:val="00F81D10"/>
    <w:rsid w:val="00F825DC"/>
    <w:rsid w:val="00F841C9"/>
    <w:rsid w:val="00F8430A"/>
    <w:rsid w:val="00F85DCB"/>
    <w:rsid w:val="00F85F23"/>
    <w:rsid w:val="00F87DC6"/>
    <w:rsid w:val="00F9173C"/>
    <w:rsid w:val="00F93A12"/>
    <w:rsid w:val="00FA1E9B"/>
    <w:rsid w:val="00FA4A5D"/>
    <w:rsid w:val="00FA6B74"/>
    <w:rsid w:val="00FA7BFD"/>
    <w:rsid w:val="00FB0DAB"/>
    <w:rsid w:val="00FB1D32"/>
    <w:rsid w:val="00FB3AAF"/>
    <w:rsid w:val="00FB6EEF"/>
    <w:rsid w:val="00FC1E3A"/>
    <w:rsid w:val="00FC3A00"/>
    <w:rsid w:val="00FC3BCF"/>
    <w:rsid w:val="00FC3E3D"/>
    <w:rsid w:val="00FD3038"/>
    <w:rsid w:val="00FD3E2F"/>
    <w:rsid w:val="00FD46D9"/>
    <w:rsid w:val="00FD4821"/>
    <w:rsid w:val="00FD4B47"/>
    <w:rsid w:val="00FD7783"/>
    <w:rsid w:val="00FE1322"/>
    <w:rsid w:val="00FE1B0A"/>
    <w:rsid w:val="00FE1EA9"/>
    <w:rsid w:val="00FE4D44"/>
  </w:rsids>
  <m:mathPr>
    <m:mathFont m:val="Cambria Math"/>
    <m:brkBin m:val="before"/>
    <m:brkBinSub m:val="--"/>
    <m:smallFrac/>
    <m:dispDef/>
    <m:lMargin m:val="0"/>
    <m:rMargin m:val="0"/>
    <m:defJc m:val="centerGroup"/>
    <m:wrapIndent m:val="1440"/>
    <m:intLim m:val="subSup"/>
    <m:naryLim m:val="undOvr"/>
  </m:mathPr>
  <w:themeFontLang w:val="it-IT"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941E2"/>
  <w15:docId w15:val="{E1023B3E-299D-4BDF-A241-304538D8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Heading #"/>
    <w:rsid w:val="009D42A7"/>
    <w:pPr>
      <w:spacing w:after="200" w:line="276" w:lineRule="auto"/>
    </w:pPr>
    <w:rPr>
      <w:rFonts w:ascii="Cambria" w:eastAsia="Cambria" w:hAnsi="Cambria" w:cs="Cambria"/>
      <w:color w:val="000000"/>
      <w:sz w:val="22"/>
      <w:szCs w:val="22"/>
      <w:lang w:val="en-GB" w:eastAsia="en-GB"/>
    </w:rPr>
  </w:style>
  <w:style w:type="paragraph" w:styleId="Heading10">
    <w:name w:val="heading 1"/>
    <w:basedOn w:val="Normal"/>
    <w:next w:val="Normal"/>
    <w:link w:val="Heading1Char"/>
    <w:autoRedefine/>
    <w:qFormat/>
    <w:rsid w:val="00E8603D"/>
    <w:pPr>
      <w:keepNext/>
      <w:tabs>
        <w:tab w:val="num" w:pos="432"/>
      </w:tabs>
      <w:spacing w:before="360"/>
      <w:ind w:left="431" w:hanging="431"/>
      <w:outlineLvl w:val="0"/>
    </w:pPr>
    <w:rPr>
      <w:rFonts w:eastAsia="Times New Roman" w:cs="Arial"/>
      <w:b/>
      <w:bCs/>
      <w:color w:val="800000"/>
      <w:kern w:val="32"/>
      <w:sz w:val="28"/>
      <w:szCs w:val="32"/>
      <w:lang w:val="it-IT"/>
    </w:rPr>
  </w:style>
  <w:style w:type="paragraph" w:styleId="Heading3">
    <w:name w:val="heading 3"/>
    <w:basedOn w:val="Normal"/>
    <w:next w:val="Normal"/>
    <w:link w:val="Heading3Char"/>
    <w:uiPriority w:val="9"/>
    <w:unhideWhenUsed/>
    <w:qFormat/>
    <w:rsid w:val="00E8603D"/>
    <w:pPr>
      <w:keepNext/>
      <w:keepLines/>
      <w:spacing w:before="200"/>
      <w:outlineLvl w:val="2"/>
    </w:pPr>
    <w:rPr>
      <w:rFonts w:asciiTheme="majorHAnsi" w:eastAsiaTheme="majorEastAsia" w:hAnsiTheme="majorHAnsi" w:cstheme="majorBidi"/>
      <w:bCs/>
      <w:color w:val="4F81BD" w:themeColor="accent1"/>
      <w:sz w:val="28"/>
      <w:szCs w:val="24"/>
      <w:lang w:val="it-IT"/>
    </w:rPr>
  </w:style>
  <w:style w:type="paragraph" w:styleId="Heading4">
    <w:name w:val="heading 4"/>
    <w:basedOn w:val="Normal"/>
    <w:next w:val="Normal"/>
    <w:link w:val="Heading4Char"/>
    <w:uiPriority w:val="9"/>
    <w:unhideWhenUsed/>
    <w:qFormat/>
    <w:rsid w:val="00E8603D"/>
    <w:pPr>
      <w:keepNext/>
      <w:keepLines/>
      <w:spacing w:before="200"/>
      <w:outlineLvl w:val="3"/>
    </w:pPr>
    <w:rPr>
      <w:rFonts w:asciiTheme="majorHAnsi" w:eastAsiaTheme="majorEastAsia" w:hAnsiTheme="majorHAnsi" w:cstheme="majorBidi"/>
      <w:bCs/>
      <w:i/>
      <w:iCs/>
      <w:color w:val="4F81BD" w:themeColor="accent1"/>
      <w:sz w:val="28"/>
      <w:szCs w:val="24"/>
      <w:lang w:val="it-IT"/>
    </w:rPr>
  </w:style>
  <w:style w:type="paragraph" w:styleId="Heading5">
    <w:name w:val="heading 5"/>
    <w:basedOn w:val="Normal"/>
    <w:next w:val="Normal"/>
    <w:link w:val="Heading5Char"/>
    <w:uiPriority w:val="9"/>
    <w:unhideWhenUsed/>
    <w:qFormat/>
    <w:rsid w:val="00E8603D"/>
    <w:pPr>
      <w:keepNext/>
      <w:keepLines/>
      <w:spacing w:before="200"/>
      <w:outlineLvl w:val="4"/>
    </w:pPr>
    <w:rPr>
      <w:rFonts w:asciiTheme="majorHAnsi" w:eastAsiaTheme="majorEastAsia" w:hAnsiTheme="majorHAnsi" w:cstheme="majorBidi"/>
      <w:b/>
      <w:color w:val="243F60" w:themeColor="accent1" w:themeShade="7F"/>
      <w:sz w:val="28"/>
      <w:szCs w:val="24"/>
      <w:lang w:val="it-IT"/>
    </w:rPr>
  </w:style>
  <w:style w:type="paragraph" w:styleId="Heading6">
    <w:name w:val="heading 6"/>
    <w:basedOn w:val="Normal"/>
    <w:next w:val="Normal"/>
    <w:link w:val="Heading6Char"/>
    <w:uiPriority w:val="9"/>
    <w:unhideWhenUsed/>
    <w:qFormat/>
    <w:rsid w:val="00E8603D"/>
    <w:pPr>
      <w:keepNext/>
      <w:keepLines/>
      <w:spacing w:before="200"/>
      <w:outlineLvl w:val="5"/>
    </w:pPr>
    <w:rPr>
      <w:rFonts w:asciiTheme="majorHAnsi" w:eastAsiaTheme="majorEastAsia" w:hAnsiTheme="majorHAnsi" w:cstheme="majorBidi"/>
      <w:b/>
      <w:i/>
      <w:iCs/>
      <w:color w:val="243F60" w:themeColor="accent1" w:themeShade="7F"/>
      <w:sz w:val="28"/>
      <w:szCs w:val="24"/>
      <w:lang w:val="it-IT"/>
    </w:rPr>
  </w:style>
  <w:style w:type="paragraph" w:styleId="Heading7">
    <w:name w:val="heading 7"/>
    <w:basedOn w:val="Normal"/>
    <w:next w:val="Normal"/>
    <w:link w:val="Heading7Char"/>
    <w:uiPriority w:val="9"/>
    <w:unhideWhenUsed/>
    <w:qFormat/>
    <w:rsid w:val="00E8603D"/>
    <w:pPr>
      <w:keepNext/>
      <w:keepLines/>
      <w:spacing w:before="200"/>
      <w:outlineLvl w:val="6"/>
    </w:pPr>
    <w:rPr>
      <w:rFonts w:asciiTheme="majorHAnsi" w:eastAsiaTheme="majorEastAsia" w:hAnsiTheme="majorHAnsi" w:cstheme="majorBidi"/>
      <w:b/>
      <w:i/>
      <w:iCs/>
      <w:color w:val="404040" w:themeColor="text1" w:themeTint="BF"/>
      <w:sz w:val="28"/>
      <w:szCs w:val="24"/>
      <w:lang w:val="it-IT"/>
    </w:rPr>
  </w:style>
  <w:style w:type="paragraph" w:styleId="Heading8">
    <w:name w:val="heading 8"/>
    <w:basedOn w:val="Normal"/>
    <w:next w:val="Normal"/>
    <w:link w:val="Heading8Char"/>
    <w:uiPriority w:val="9"/>
    <w:unhideWhenUsed/>
    <w:qFormat/>
    <w:rsid w:val="00E8603D"/>
    <w:pPr>
      <w:keepNext/>
      <w:keepLines/>
      <w:spacing w:before="200"/>
      <w:outlineLvl w:val="7"/>
    </w:pPr>
    <w:rPr>
      <w:rFonts w:asciiTheme="majorHAnsi" w:eastAsiaTheme="majorEastAsia" w:hAnsiTheme="majorHAnsi" w:cstheme="majorBidi"/>
      <w:b/>
      <w:color w:val="404040" w:themeColor="text1" w:themeTint="BF"/>
      <w:sz w:val="20"/>
      <w:szCs w:val="20"/>
      <w:lang w:val="it-IT"/>
    </w:rPr>
  </w:style>
  <w:style w:type="paragraph" w:styleId="Heading9">
    <w:name w:val="heading 9"/>
    <w:basedOn w:val="Normal"/>
    <w:next w:val="Normal"/>
    <w:link w:val="Heading9Char"/>
    <w:uiPriority w:val="9"/>
    <w:unhideWhenUsed/>
    <w:qFormat/>
    <w:rsid w:val="00E8603D"/>
    <w:pPr>
      <w:keepNext/>
      <w:keepLines/>
      <w:spacing w:before="200"/>
      <w:outlineLvl w:val="8"/>
    </w:pPr>
    <w:rPr>
      <w:rFonts w:asciiTheme="majorHAnsi" w:eastAsiaTheme="majorEastAsia" w:hAnsiTheme="majorHAnsi" w:cstheme="majorBidi"/>
      <w:b/>
      <w:i/>
      <w:iCs/>
      <w:color w:val="404040" w:themeColor="text1" w:themeTint="BF"/>
      <w:sz w:val="20"/>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2A7"/>
    <w:pPr>
      <w:spacing w:after="0" w:line="240" w:lineRule="auto"/>
    </w:pPr>
    <w:rPr>
      <w:rFonts w:ascii="Tahoma" w:hAnsi="Tahoma" w:cs="Tahoma"/>
      <w:sz w:val="16"/>
      <w:szCs w:val="16"/>
    </w:rPr>
  </w:style>
  <w:style w:type="character" w:customStyle="1" w:styleId="TestofumettoCarattere">
    <w:name w:val="Testo fumetto Carattere"/>
    <w:basedOn w:val="DefaultParagraphFont"/>
    <w:uiPriority w:val="99"/>
    <w:semiHidden/>
    <w:rsid w:val="001F057F"/>
    <w:rPr>
      <w:rFonts w:ascii="Lucida Grande" w:hAnsi="Lucida Grande" w:cs="Lucida Grande"/>
      <w:sz w:val="18"/>
      <w:szCs w:val="18"/>
    </w:rPr>
  </w:style>
  <w:style w:type="paragraph" w:customStyle="1" w:styleId="Headinginfo">
    <w:name w:val="Heading info"/>
    <w:basedOn w:val="Normal"/>
    <w:autoRedefine/>
    <w:qFormat/>
    <w:rsid w:val="00E8603D"/>
    <w:rPr>
      <w:b/>
      <w:color w:val="800000"/>
    </w:rPr>
  </w:style>
  <w:style w:type="paragraph" w:customStyle="1" w:styleId="Titolo1">
    <w:name w:val="Titolo1"/>
    <w:basedOn w:val="Normal"/>
    <w:autoRedefine/>
    <w:qFormat/>
    <w:rsid w:val="00E8603D"/>
    <w:rPr>
      <w:b/>
      <w:color w:val="800000"/>
      <w:sz w:val="32"/>
      <w:szCs w:val="28"/>
    </w:rPr>
  </w:style>
  <w:style w:type="paragraph" w:customStyle="1" w:styleId="Heading1no">
    <w:name w:val="Heading 1 no #"/>
    <w:basedOn w:val="Normal"/>
    <w:autoRedefine/>
    <w:qFormat/>
    <w:rsid w:val="00E8603D"/>
    <w:pPr>
      <w:spacing w:before="360"/>
    </w:pPr>
    <w:rPr>
      <w:b/>
      <w:color w:val="800000"/>
    </w:rPr>
  </w:style>
  <w:style w:type="paragraph" w:customStyle="1" w:styleId="Reference">
    <w:name w:val="Reference"/>
    <w:basedOn w:val="Normal"/>
    <w:autoRedefine/>
    <w:qFormat/>
    <w:rsid w:val="00E8603D"/>
    <w:pPr>
      <w:ind w:left="567" w:hanging="567"/>
    </w:pPr>
  </w:style>
  <w:style w:type="paragraph" w:customStyle="1" w:styleId="Footnote">
    <w:name w:val="Footnote"/>
    <w:basedOn w:val="FootnoteText"/>
    <w:autoRedefine/>
    <w:qFormat/>
    <w:rsid w:val="00E8603D"/>
    <w:rPr>
      <w:rFonts w:asciiTheme="minorHAnsi" w:eastAsiaTheme="minorHAnsi" w:hAnsiTheme="minorHAnsi"/>
      <w:b/>
    </w:rPr>
  </w:style>
  <w:style w:type="paragraph" w:styleId="FootnoteText">
    <w:name w:val="footnote text"/>
    <w:aliases w:val="#Footnote"/>
    <w:basedOn w:val="Normal"/>
    <w:link w:val="FootnoteTextChar"/>
    <w:autoRedefine/>
    <w:uiPriority w:val="99"/>
    <w:unhideWhenUsed/>
    <w:qFormat/>
    <w:rsid w:val="00831939"/>
    <w:pPr>
      <w:spacing w:after="0"/>
      <w:jc w:val="both"/>
    </w:pPr>
    <w:rPr>
      <w:rFonts w:ascii="Garamond" w:eastAsiaTheme="minorEastAsia" w:hAnsi="Garamond"/>
      <w:sz w:val="20"/>
      <w:szCs w:val="20"/>
    </w:rPr>
  </w:style>
  <w:style w:type="character" w:customStyle="1" w:styleId="FootnoteTextChar">
    <w:name w:val="Footnote Text Char"/>
    <w:aliases w:val="#Footnote Char"/>
    <w:basedOn w:val="DefaultParagraphFont"/>
    <w:link w:val="FootnoteText"/>
    <w:uiPriority w:val="99"/>
    <w:rsid w:val="00831939"/>
    <w:rPr>
      <w:rFonts w:ascii="Garamond" w:eastAsiaTheme="minorEastAsia" w:hAnsi="Garamond" w:cs="Cambria"/>
      <w:color w:val="000000"/>
      <w:sz w:val="20"/>
      <w:szCs w:val="20"/>
      <w:lang w:val="en-GB" w:eastAsia="en-GB"/>
    </w:rPr>
  </w:style>
  <w:style w:type="paragraph" w:customStyle="1" w:styleId="Heading3no">
    <w:name w:val="Heading 3 no #"/>
    <w:basedOn w:val="Normal"/>
    <w:autoRedefine/>
    <w:qFormat/>
    <w:rsid w:val="00E8603D"/>
    <w:rPr>
      <w:rFonts w:ascii="Georgia" w:hAnsi="Georgia"/>
      <w:i/>
      <w:color w:val="984806" w:themeColor="accent6" w:themeShade="80"/>
    </w:rPr>
  </w:style>
  <w:style w:type="paragraph" w:customStyle="1" w:styleId="TableFigure">
    <w:name w:val="Table &amp; Figure"/>
    <w:basedOn w:val="Caption"/>
    <w:autoRedefine/>
    <w:qFormat/>
    <w:rsid w:val="00E8603D"/>
    <w:pPr>
      <w:spacing w:before="240"/>
      <w:ind w:left="720" w:hanging="720"/>
    </w:pPr>
    <w:rPr>
      <w:color w:val="800000"/>
      <w:sz w:val="24"/>
    </w:rPr>
  </w:style>
  <w:style w:type="paragraph" w:styleId="Caption">
    <w:name w:val="caption"/>
    <w:aliases w:val="#Table heading"/>
    <w:basedOn w:val="Normal"/>
    <w:next w:val="Normal0"/>
    <w:autoRedefine/>
    <w:uiPriority w:val="35"/>
    <w:unhideWhenUsed/>
    <w:qFormat/>
    <w:rsid w:val="00E8603D"/>
    <w:pPr>
      <w:spacing w:after="80"/>
    </w:pPr>
    <w:rPr>
      <w:b/>
      <w:bCs/>
      <w:szCs w:val="18"/>
    </w:rPr>
  </w:style>
  <w:style w:type="paragraph" w:customStyle="1" w:styleId="Titolo2">
    <w:name w:val="Titolo2"/>
    <w:basedOn w:val="Normal"/>
    <w:autoRedefine/>
    <w:qFormat/>
    <w:rsid w:val="00E8603D"/>
    <w:rPr>
      <w:b/>
      <w:color w:val="800000"/>
      <w:sz w:val="32"/>
      <w:szCs w:val="28"/>
      <w:lang w:val="it-IT"/>
    </w:rPr>
  </w:style>
  <w:style w:type="paragraph" w:customStyle="1" w:styleId="Title">
    <w:name w:val="#Title"/>
    <w:basedOn w:val="Normal"/>
    <w:next w:val="Normal0"/>
    <w:autoRedefine/>
    <w:qFormat/>
    <w:rsid w:val="00E8603D"/>
    <w:pPr>
      <w:spacing w:after="120"/>
      <w:jc w:val="both"/>
    </w:pPr>
    <w:rPr>
      <w:b/>
      <w:bCs/>
      <w:color w:val="4F81BD" w:themeColor="accent1"/>
      <w:sz w:val="36"/>
      <w:szCs w:val="32"/>
    </w:rPr>
  </w:style>
  <w:style w:type="paragraph" w:customStyle="1" w:styleId="Heading1">
    <w:name w:val="#Heading 1"/>
    <w:basedOn w:val="Normal"/>
    <w:next w:val="Normal0"/>
    <w:autoRedefine/>
    <w:qFormat/>
    <w:rsid w:val="00E8603D"/>
    <w:pPr>
      <w:numPr>
        <w:numId w:val="7"/>
      </w:numPr>
    </w:pPr>
    <w:rPr>
      <w:szCs w:val="28"/>
    </w:rPr>
  </w:style>
  <w:style w:type="paragraph" w:customStyle="1" w:styleId="Heading11">
    <w:name w:val="#Heading 1.1"/>
    <w:basedOn w:val="Normal"/>
    <w:next w:val="Normal0"/>
    <w:autoRedefine/>
    <w:qFormat/>
    <w:rsid w:val="00E8603D"/>
    <w:pPr>
      <w:numPr>
        <w:ilvl w:val="1"/>
        <w:numId w:val="8"/>
      </w:numPr>
      <w:spacing w:before="120" w:after="120"/>
    </w:pPr>
    <w:rPr>
      <w:b/>
      <w:color w:val="4F81BD" w:themeColor="accent1"/>
      <w:sz w:val="24"/>
    </w:rPr>
  </w:style>
  <w:style w:type="paragraph" w:customStyle="1" w:styleId="Normal0">
    <w:name w:val="#Normal"/>
    <w:basedOn w:val="Normal"/>
    <w:autoRedefine/>
    <w:qFormat/>
    <w:rsid w:val="00E8603D"/>
    <w:pPr>
      <w:spacing w:before="120" w:after="120"/>
      <w:jc w:val="both"/>
    </w:pPr>
    <w:rPr>
      <w:b/>
      <w:sz w:val="24"/>
    </w:rPr>
  </w:style>
  <w:style w:type="paragraph" w:customStyle="1" w:styleId="Quote">
    <w:name w:val="#Quote"/>
    <w:basedOn w:val="Normal"/>
    <w:next w:val="Normal0"/>
    <w:autoRedefine/>
    <w:qFormat/>
    <w:rsid w:val="00E8603D"/>
    <w:pPr>
      <w:spacing w:before="120" w:after="120"/>
      <w:ind w:firstLine="567"/>
      <w:jc w:val="right"/>
    </w:pPr>
    <w:rPr>
      <w:b/>
      <w:i/>
      <w:sz w:val="24"/>
    </w:rPr>
  </w:style>
  <w:style w:type="paragraph" w:customStyle="1" w:styleId="Reference0">
    <w:name w:val="#Reference"/>
    <w:basedOn w:val="Normal"/>
    <w:autoRedefine/>
    <w:qFormat/>
    <w:rsid w:val="00E8603D"/>
    <w:pPr>
      <w:spacing w:before="120" w:after="120"/>
      <w:ind w:left="567" w:hanging="567"/>
    </w:pPr>
    <w:rPr>
      <w:b/>
    </w:rPr>
  </w:style>
  <w:style w:type="paragraph" w:customStyle="1" w:styleId="1stpage">
    <w:name w:val="#1st page"/>
    <w:basedOn w:val="Normal"/>
    <w:next w:val="Normal0"/>
    <w:autoRedefine/>
    <w:qFormat/>
    <w:rsid w:val="00E8603D"/>
    <w:pPr>
      <w:jc w:val="both"/>
    </w:pPr>
    <w:rPr>
      <w:b/>
      <w:szCs w:val="20"/>
    </w:rPr>
  </w:style>
  <w:style w:type="paragraph" w:customStyle="1" w:styleId="Number">
    <w:name w:val="#Number"/>
    <w:basedOn w:val="ListParagraph"/>
    <w:autoRedefine/>
    <w:qFormat/>
    <w:rsid w:val="00E8603D"/>
    <w:pPr>
      <w:numPr>
        <w:numId w:val="9"/>
      </w:numPr>
      <w:spacing w:before="120" w:after="120"/>
      <w:jc w:val="both"/>
    </w:pPr>
    <w:rPr>
      <w:b/>
      <w:sz w:val="24"/>
    </w:rPr>
  </w:style>
  <w:style w:type="paragraph" w:styleId="ListParagraph">
    <w:name w:val="List Paragraph"/>
    <w:basedOn w:val="Normal"/>
    <w:uiPriority w:val="34"/>
    <w:rsid w:val="00E8603D"/>
    <w:pPr>
      <w:ind w:left="720"/>
      <w:contextualSpacing/>
    </w:pPr>
  </w:style>
  <w:style w:type="paragraph" w:customStyle="1" w:styleId="Bullet">
    <w:name w:val="#Bullet"/>
    <w:basedOn w:val="Number"/>
    <w:autoRedefine/>
    <w:qFormat/>
    <w:rsid w:val="00E8603D"/>
    <w:pPr>
      <w:numPr>
        <w:numId w:val="10"/>
      </w:numPr>
    </w:pPr>
  </w:style>
  <w:style w:type="paragraph" w:customStyle="1" w:styleId="Heading111">
    <w:name w:val="#Heading 1.1.1"/>
    <w:basedOn w:val="Heading11"/>
    <w:next w:val="Normal0"/>
    <w:autoRedefine/>
    <w:qFormat/>
    <w:rsid w:val="00E8603D"/>
    <w:pPr>
      <w:numPr>
        <w:ilvl w:val="2"/>
        <w:numId w:val="11"/>
      </w:numPr>
    </w:pPr>
    <w:rPr>
      <w:i/>
    </w:rPr>
  </w:style>
  <w:style w:type="paragraph" w:customStyle="1" w:styleId="Headingsimple">
    <w:name w:val="#Heading simple"/>
    <w:basedOn w:val="Normal0"/>
    <w:next w:val="Normal0"/>
    <w:autoRedefine/>
    <w:qFormat/>
    <w:rsid w:val="00E8603D"/>
    <w:pPr>
      <w:ind w:firstLine="357"/>
      <w:jc w:val="left"/>
    </w:pPr>
    <w:rPr>
      <w:i/>
      <w:color w:val="4F81BD" w:themeColor="accent1"/>
    </w:rPr>
  </w:style>
  <w:style w:type="paragraph" w:customStyle="1" w:styleId="Tablecontent">
    <w:name w:val="#Table content"/>
    <w:basedOn w:val="Normal0"/>
    <w:autoRedefine/>
    <w:qFormat/>
    <w:rsid w:val="00E8603D"/>
    <w:pPr>
      <w:spacing w:before="0" w:after="0"/>
      <w:jc w:val="left"/>
    </w:pPr>
    <w:rPr>
      <w:sz w:val="20"/>
      <w:szCs w:val="20"/>
    </w:rPr>
  </w:style>
  <w:style w:type="paragraph" w:customStyle="1" w:styleId="Titolo3">
    <w:name w:val="Titolo3"/>
    <w:basedOn w:val="Normal"/>
    <w:autoRedefine/>
    <w:qFormat/>
    <w:rsid w:val="00E8603D"/>
    <w:rPr>
      <w:b/>
      <w:color w:val="800000"/>
      <w:sz w:val="32"/>
      <w:szCs w:val="28"/>
      <w:lang w:val="it-IT"/>
    </w:rPr>
  </w:style>
  <w:style w:type="character" w:customStyle="1" w:styleId="Heading1Char">
    <w:name w:val="Heading 1 Char"/>
    <w:basedOn w:val="DefaultParagraphFont"/>
    <w:link w:val="Heading10"/>
    <w:rsid w:val="00E8603D"/>
    <w:rPr>
      <w:rFonts w:ascii="Cambria" w:eastAsia="Times New Roman" w:hAnsi="Cambria" w:cs="Arial"/>
      <w:b/>
      <w:bCs/>
      <w:color w:val="800000"/>
      <w:kern w:val="32"/>
      <w:sz w:val="28"/>
      <w:szCs w:val="32"/>
    </w:rPr>
  </w:style>
  <w:style w:type="character" w:customStyle="1" w:styleId="Heading3Char">
    <w:name w:val="Heading 3 Char"/>
    <w:basedOn w:val="DefaultParagraphFont"/>
    <w:link w:val="Heading3"/>
    <w:uiPriority w:val="9"/>
    <w:rsid w:val="00E8603D"/>
    <w:rPr>
      <w:rFonts w:asciiTheme="majorHAnsi" w:eastAsiaTheme="majorEastAsia" w:hAnsiTheme="majorHAnsi" w:cstheme="majorBidi"/>
      <w:bCs/>
      <w:color w:val="4F81BD" w:themeColor="accent1"/>
      <w:sz w:val="28"/>
    </w:rPr>
  </w:style>
  <w:style w:type="character" w:customStyle="1" w:styleId="Heading4Char">
    <w:name w:val="Heading 4 Char"/>
    <w:basedOn w:val="DefaultParagraphFont"/>
    <w:link w:val="Heading4"/>
    <w:uiPriority w:val="9"/>
    <w:rsid w:val="00E8603D"/>
    <w:rPr>
      <w:rFonts w:asciiTheme="majorHAnsi" w:eastAsiaTheme="majorEastAsia" w:hAnsiTheme="majorHAnsi" w:cstheme="majorBidi"/>
      <w:bCs/>
      <w:i/>
      <w:iCs/>
      <w:color w:val="4F81BD" w:themeColor="accent1"/>
      <w:sz w:val="28"/>
    </w:rPr>
  </w:style>
  <w:style w:type="character" w:customStyle="1" w:styleId="Heading5Char">
    <w:name w:val="Heading 5 Char"/>
    <w:basedOn w:val="DefaultParagraphFont"/>
    <w:link w:val="Heading5"/>
    <w:uiPriority w:val="9"/>
    <w:rsid w:val="00E8603D"/>
    <w:rPr>
      <w:rFonts w:asciiTheme="majorHAnsi" w:eastAsiaTheme="majorEastAsia" w:hAnsiTheme="majorHAnsi" w:cstheme="majorBidi"/>
      <w:b/>
      <w:color w:val="243F60" w:themeColor="accent1" w:themeShade="7F"/>
      <w:sz w:val="28"/>
    </w:rPr>
  </w:style>
  <w:style w:type="character" w:customStyle="1" w:styleId="Heading6Char">
    <w:name w:val="Heading 6 Char"/>
    <w:basedOn w:val="DefaultParagraphFont"/>
    <w:link w:val="Heading6"/>
    <w:uiPriority w:val="9"/>
    <w:rsid w:val="00E8603D"/>
    <w:rPr>
      <w:rFonts w:asciiTheme="majorHAnsi" w:eastAsiaTheme="majorEastAsia" w:hAnsiTheme="majorHAnsi" w:cstheme="majorBidi"/>
      <w:b/>
      <w:i/>
      <w:iCs/>
      <w:color w:val="243F60" w:themeColor="accent1" w:themeShade="7F"/>
      <w:sz w:val="28"/>
    </w:rPr>
  </w:style>
  <w:style w:type="character" w:customStyle="1" w:styleId="Heading7Char">
    <w:name w:val="Heading 7 Char"/>
    <w:basedOn w:val="DefaultParagraphFont"/>
    <w:link w:val="Heading7"/>
    <w:uiPriority w:val="9"/>
    <w:rsid w:val="00E8603D"/>
    <w:rPr>
      <w:rFonts w:asciiTheme="majorHAnsi" w:eastAsiaTheme="majorEastAsia" w:hAnsiTheme="majorHAnsi" w:cstheme="majorBidi"/>
      <w:b/>
      <w:i/>
      <w:iCs/>
      <w:color w:val="404040" w:themeColor="text1" w:themeTint="BF"/>
      <w:sz w:val="28"/>
    </w:rPr>
  </w:style>
  <w:style w:type="character" w:customStyle="1" w:styleId="Heading8Char">
    <w:name w:val="Heading 8 Char"/>
    <w:basedOn w:val="DefaultParagraphFont"/>
    <w:link w:val="Heading8"/>
    <w:uiPriority w:val="9"/>
    <w:rsid w:val="00E8603D"/>
    <w:rPr>
      <w:rFonts w:asciiTheme="majorHAnsi" w:eastAsiaTheme="majorEastAsia" w:hAnsiTheme="majorHAnsi" w:cstheme="majorBidi"/>
      <w:b/>
      <w:color w:val="404040" w:themeColor="text1" w:themeTint="BF"/>
      <w:sz w:val="20"/>
      <w:szCs w:val="20"/>
    </w:rPr>
  </w:style>
  <w:style w:type="character" w:customStyle="1" w:styleId="Heading9Char">
    <w:name w:val="Heading 9 Char"/>
    <w:basedOn w:val="DefaultParagraphFont"/>
    <w:link w:val="Heading9"/>
    <w:uiPriority w:val="9"/>
    <w:rsid w:val="00E8603D"/>
    <w:rPr>
      <w:rFonts w:asciiTheme="majorHAnsi" w:eastAsiaTheme="majorEastAsia" w:hAnsiTheme="majorHAnsi" w:cstheme="majorBidi"/>
      <w:b/>
      <w:i/>
      <w:iCs/>
      <w:color w:val="404040" w:themeColor="text1" w:themeTint="BF"/>
      <w:sz w:val="20"/>
      <w:szCs w:val="20"/>
    </w:rPr>
  </w:style>
  <w:style w:type="character" w:styleId="Emphasis">
    <w:name w:val="Emphasis"/>
    <w:basedOn w:val="DefaultParagraphFont"/>
    <w:uiPriority w:val="20"/>
    <w:qFormat/>
    <w:rsid w:val="00E8603D"/>
    <w:rPr>
      <w:i/>
      <w:iCs/>
    </w:rPr>
  </w:style>
  <w:style w:type="paragraph" w:styleId="Quote0">
    <w:name w:val="Quote"/>
    <w:basedOn w:val="Normal"/>
    <w:next w:val="Normal"/>
    <w:link w:val="QuoteChar"/>
    <w:uiPriority w:val="29"/>
    <w:qFormat/>
    <w:rsid w:val="00E8603D"/>
    <w:rPr>
      <w:rFonts w:eastAsia="Times New Roman" w:cs="Times New Roman"/>
      <w:i/>
      <w:iCs/>
      <w:color w:val="000000" w:themeColor="text1"/>
      <w:sz w:val="24"/>
      <w:szCs w:val="24"/>
      <w:lang w:val="it-IT"/>
    </w:rPr>
  </w:style>
  <w:style w:type="character" w:customStyle="1" w:styleId="QuoteChar">
    <w:name w:val="Quote Char"/>
    <w:basedOn w:val="DefaultParagraphFont"/>
    <w:link w:val="Quote0"/>
    <w:uiPriority w:val="29"/>
    <w:rsid w:val="00E8603D"/>
    <w:rPr>
      <w:rFonts w:ascii="Cambria" w:eastAsia="Times New Roman" w:hAnsi="Cambria" w:cs="Times New Roman"/>
      <w:i/>
      <w:iCs/>
      <w:color w:val="000000" w:themeColor="text1"/>
    </w:rPr>
  </w:style>
  <w:style w:type="character" w:customStyle="1" w:styleId="BalloonTextChar">
    <w:name w:val="Balloon Text Char"/>
    <w:basedOn w:val="DefaultParagraphFont"/>
    <w:link w:val="BalloonText"/>
    <w:uiPriority w:val="99"/>
    <w:semiHidden/>
    <w:rsid w:val="009D42A7"/>
    <w:rPr>
      <w:rFonts w:ascii="Tahoma" w:eastAsia="Cambria" w:hAnsi="Tahoma" w:cs="Tahoma"/>
      <w:color w:val="000000"/>
      <w:sz w:val="16"/>
      <w:szCs w:val="16"/>
      <w:lang w:val="en-GB" w:eastAsia="en-GB"/>
    </w:rPr>
  </w:style>
  <w:style w:type="character" w:styleId="CommentReference">
    <w:name w:val="annotation reference"/>
    <w:basedOn w:val="DefaultParagraphFont"/>
    <w:uiPriority w:val="99"/>
    <w:semiHidden/>
    <w:unhideWhenUsed/>
    <w:rsid w:val="008F308F"/>
    <w:rPr>
      <w:sz w:val="16"/>
      <w:szCs w:val="16"/>
    </w:rPr>
  </w:style>
  <w:style w:type="paragraph" w:styleId="CommentText">
    <w:name w:val="annotation text"/>
    <w:basedOn w:val="Normal"/>
    <w:link w:val="CommentTextChar"/>
    <w:uiPriority w:val="99"/>
    <w:semiHidden/>
    <w:unhideWhenUsed/>
    <w:rsid w:val="008F308F"/>
    <w:pPr>
      <w:spacing w:line="240" w:lineRule="auto"/>
    </w:pPr>
    <w:rPr>
      <w:sz w:val="20"/>
      <w:szCs w:val="20"/>
    </w:rPr>
  </w:style>
  <w:style w:type="character" w:customStyle="1" w:styleId="CommentTextChar">
    <w:name w:val="Comment Text Char"/>
    <w:basedOn w:val="DefaultParagraphFont"/>
    <w:link w:val="CommentText"/>
    <w:uiPriority w:val="99"/>
    <w:semiHidden/>
    <w:rsid w:val="008F308F"/>
    <w:rPr>
      <w:rFonts w:ascii="Cambria" w:eastAsia="Cambria" w:hAnsi="Cambria" w:cs="Cambria"/>
      <w:color w:val="000000"/>
      <w:sz w:val="20"/>
      <w:szCs w:val="20"/>
      <w:lang w:val="en-GB" w:eastAsia="en-GB"/>
    </w:rPr>
  </w:style>
  <w:style w:type="paragraph" w:styleId="CommentSubject">
    <w:name w:val="annotation subject"/>
    <w:basedOn w:val="CommentText"/>
    <w:next w:val="CommentText"/>
    <w:link w:val="CommentSubjectChar"/>
    <w:uiPriority w:val="99"/>
    <w:semiHidden/>
    <w:unhideWhenUsed/>
    <w:rsid w:val="008F308F"/>
    <w:rPr>
      <w:b/>
      <w:bCs/>
    </w:rPr>
  </w:style>
  <w:style w:type="character" w:customStyle="1" w:styleId="CommentSubjectChar">
    <w:name w:val="Comment Subject Char"/>
    <w:basedOn w:val="CommentTextChar"/>
    <w:link w:val="CommentSubject"/>
    <w:uiPriority w:val="99"/>
    <w:semiHidden/>
    <w:rsid w:val="008F308F"/>
    <w:rPr>
      <w:rFonts w:ascii="Cambria" w:eastAsia="Cambria" w:hAnsi="Cambria" w:cs="Cambria"/>
      <w:b/>
      <w:bCs/>
      <w:color w:val="000000"/>
      <w:sz w:val="20"/>
      <w:szCs w:val="20"/>
      <w:lang w:val="en-GB" w:eastAsia="en-GB"/>
    </w:rPr>
  </w:style>
  <w:style w:type="character" w:styleId="FootnoteReference">
    <w:name w:val="footnote reference"/>
    <w:basedOn w:val="DefaultParagraphFont"/>
    <w:uiPriority w:val="99"/>
    <w:semiHidden/>
    <w:unhideWhenUsed/>
    <w:rsid w:val="00D812B6"/>
    <w:rPr>
      <w:vertAlign w:val="superscript"/>
    </w:rPr>
  </w:style>
  <w:style w:type="character" w:customStyle="1" w:styleId="apple-converted-space">
    <w:name w:val="apple-converted-space"/>
    <w:basedOn w:val="DefaultParagraphFont"/>
    <w:rsid w:val="000D59BF"/>
  </w:style>
  <w:style w:type="table" w:styleId="TableGrid">
    <w:name w:val="Table Grid"/>
    <w:basedOn w:val="TableNormal"/>
    <w:uiPriority w:val="59"/>
    <w:rsid w:val="00564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2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24B"/>
    <w:rPr>
      <w:rFonts w:ascii="Cambria" w:eastAsia="Cambria" w:hAnsi="Cambria" w:cs="Cambria"/>
      <w:color w:val="000000"/>
      <w:sz w:val="22"/>
      <w:szCs w:val="22"/>
      <w:lang w:val="en-GB" w:eastAsia="en-GB"/>
    </w:rPr>
  </w:style>
  <w:style w:type="paragraph" w:styleId="Footer">
    <w:name w:val="footer"/>
    <w:basedOn w:val="Normal"/>
    <w:link w:val="FooterChar"/>
    <w:uiPriority w:val="99"/>
    <w:unhideWhenUsed/>
    <w:rsid w:val="00692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24B"/>
    <w:rPr>
      <w:rFonts w:ascii="Cambria" w:eastAsia="Cambria" w:hAnsi="Cambria" w:cs="Cambria"/>
      <w:color w:val="000000"/>
      <w:sz w:val="22"/>
      <w:szCs w:val="22"/>
      <w:lang w:val="en-GB" w:eastAsia="en-GB"/>
    </w:rPr>
  </w:style>
  <w:style w:type="character" w:styleId="Hyperlink">
    <w:name w:val="Hyperlink"/>
    <w:basedOn w:val="DefaultParagraphFont"/>
    <w:uiPriority w:val="99"/>
    <w:unhideWhenUsed/>
    <w:rsid w:val="002C69F8"/>
    <w:rPr>
      <w:color w:val="0000FF" w:themeColor="hyperlink"/>
      <w:u w:val="single"/>
    </w:rPr>
  </w:style>
  <w:style w:type="character" w:styleId="FollowedHyperlink">
    <w:name w:val="FollowedHyperlink"/>
    <w:basedOn w:val="DefaultParagraphFont"/>
    <w:uiPriority w:val="99"/>
    <w:semiHidden/>
    <w:unhideWhenUsed/>
    <w:rsid w:val="00312EF1"/>
    <w:rPr>
      <w:color w:val="800080" w:themeColor="followedHyperlink"/>
      <w:u w:val="single"/>
    </w:rPr>
  </w:style>
  <w:style w:type="paragraph" w:styleId="Revision">
    <w:name w:val="Revision"/>
    <w:hidden/>
    <w:uiPriority w:val="99"/>
    <w:semiHidden/>
    <w:rsid w:val="009E46B3"/>
    <w:rPr>
      <w:rFonts w:ascii="Cambria" w:eastAsia="Cambria" w:hAnsi="Cambria" w:cs="Cambria"/>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222">
      <w:bodyDiv w:val="1"/>
      <w:marLeft w:val="0"/>
      <w:marRight w:val="0"/>
      <w:marTop w:val="0"/>
      <w:marBottom w:val="0"/>
      <w:divBdr>
        <w:top w:val="none" w:sz="0" w:space="0" w:color="auto"/>
        <w:left w:val="none" w:sz="0" w:space="0" w:color="auto"/>
        <w:bottom w:val="none" w:sz="0" w:space="0" w:color="auto"/>
        <w:right w:val="none" w:sz="0" w:space="0" w:color="auto"/>
      </w:divBdr>
    </w:div>
    <w:div w:id="1407146752">
      <w:bodyDiv w:val="1"/>
      <w:marLeft w:val="0"/>
      <w:marRight w:val="0"/>
      <w:marTop w:val="0"/>
      <w:marBottom w:val="0"/>
      <w:divBdr>
        <w:top w:val="none" w:sz="0" w:space="0" w:color="auto"/>
        <w:left w:val="none" w:sz="0" w:space="0" w:color="auto"/>
        <w:bottom w:val="none" w:sz="0" w:space="0" w:color="auto"/>
        <w:right w:val="none" w:sz="0" w:space="0" w:color="auto"/>
      </w:divBdr>
      <w:divsChild>
        <w:div w:id="35085224">
          <w:marLeft w:val="0"/>
          <w:marRight w:val="0"/>
          <w:marTop w:val="0"/>
          <w:marBottom w:val="0"/>
          <w:divBdr>
            <w:top w:val="none" w:sz="0" w:space="0" w:color="auto"/>
            <w:left w:val="none" w:sz="0" w:space="0" w:color="auto"/>
            <w:bottom w:val="none" w:sz="0" w:space="0" w:color="auto"/>
            <w:right w:val="none" w:sz="0" w:space="0" w:color="auto"/>
          </w:divBdr>
        </w:div>
        <w:div w:id="115760375">
          <w:marLeft w:val="0"/>
          <w:marRight w:val="0"/>
          <w:marTop w:val="0"/>
          <w:marBottom w:val="0"/>
          <w:divBdr>
            <w:top w:val="none" w:sz="0" w:space="0" w:color="auto"/>
            <w:left w:val="none" w:sz="0" w:space="0" w:color="auto"/>
            <w:bottom w:val="none" w:sz="0" w:space="0" w:color="auto"/>
            <w:right w:val="none" w:sz="0" w:space="0" w:color="auto"/>
          </w:divBdr>
        </w:div>
        <w:div w:id="998730044">
          <w:marLeft w:val="0"/>
          <w:marRight w:val="0"/>
          <w:marTop w:val="0"/>
          <w:marBottom w:val="0"/>
          <w:divBdr>
            <w:top w:val="none" w:sz="0" w:space="0" w:color="auto"/>
            <w:left w:val="none" w:sz="0" w:space="0" w:color="auto"/>
            <w:bottom w:val="none" w:sz="0" w:space="0" w:color="auto"/>
            <w:right w:val="none" w:sz="0" w:space="0" w:color="auto"/>
          </w:divBdr>
        </w:div>
        <w:div w:id="1087188540">
          <w:marLeft w:val="0"/>
          <w:marRight w:val="0"/>
          <w:marTop w:val="0"/>
          <w:marBottom w:val="0"/>
          <w:divBdr>
            <w:top w:val="none" w:sz="0" w:space="0" w:color="auto"/>
            <w:left w:val="none" w:sz="0" w:space="0" w:color="auto"/>
            <w:bottom w:val="none" w:sz="0" w:space="0" w:color="auto"/>
            <w:right w:val="none" w:sz="0" w:space="0" w:color="auto"/>
          </w:divBdr>
        </w:div>
        <w:div w:id="1199665921">
          <w:marLeft w:val="0"/>
          <w:marRight w:val="0"/>
          <w:marTop w:val="0"/>
          <w:marBottom w:val="0"/>
          <w:divBdr>
            <w:top w:val="none" w:sz="0" w:space="0" w:color="auto"/>
            <w:left w:val="none" w:sz="0" w:space="0" w:color="auto"/>
            <w:bottom w:val="none" w:sz="0" w:space="0" w:color="auto"/>
            <w:right w:val="none" w:sz="0" w:space="0" w:color="auto"/>
          </w:divBdr>
        </w:div>
      </w:divsChild>
    </w:div>
    <w:div w:id="184077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1508</Words>
  <Characters>8602</Characters>
  <Application>Microsoft Office Word</Application>
  <DocSecurity>0</DocSecurity>
  <Lines>71</Lines>
  <Paragraphs>20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user</Company>
  <LinksUpToDate>false</LinksUpToDate>
  <CharactersWithSpaces>10090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Ugo</dc:creator>
  <cp:lastModifiedBy>Lomallo, Eustacio Jr.</cp:lastModifiedBy>
  <cp:revision>2</cp:revision>
  <cp:lastPrinted>2017-01-04T08:59:00Z</cp:lastPrinted>
  <dcterms:created xsi:type="dcterms:W3CDTF">2017-09-15T07:10:00Z</dcterms:created>
  <dcterms:modified xsi:type="dcterms:W3CDTF">2017-09-15T07:10:00Z</dcterms:modified>
</cp:coreProperties>
</file>