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D62" w:rsidRDefault="003970AC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970A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Appendix (available online) to Formal and Informal Entrepreneurship: A Cross-country Policy Perspective</w:t>
      </w:r>
    </w:p>
    <w:p w:rsidR="003970AC" w:rsidRDefault="003970AC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bookmarkStart w:id="0" w:name="_GoBack"/>
      <w:bookmarkEnd w:id="0"/>
    </w:p>
    <w:tbl>
      <w:tblPr>
        <w:tblW w:w="12900" w:type="dxa"/>
        <w:tblLayout w:type="fixed"/>
        <w:tblLook w:val="04A0" w:firstRow="1" w:lastRow="0" w:firstColumn="1" w:lastColumn="0" w:noHBand="0" w:noVBand="1"/>
      </w:tblPr>
      <w:tblGrid>
        <w:gridCol w:w="2032"/>
        <w:gridCol w:w="2032"/>
        <w:gridCol w:w="2032"/>
        <w:gridCol w:w="2268"/>
        <w:gridCol w:w="1134"/>
        <w:gridCol w:w="1134"/>
        <w:gridCol w:w="1134"/>
        <w:gridCol w:w="1134"/>
      </w:tblGrid>
      <w:tr w:rsidR="00802509" w:rsidRPr="00C219B3" w:rsidTr="006E154F">
        <w:trPr>
          <w:trHeight w:val="702"/>
        </w:trPr>
        <w:tc>
          <w:tcPr>
            <w:tcW w:w="12900" w:type="dxa"/>
            <w:gridSpan w:val="8"/>
            <w:shd w:val="clear" w:color="auto" w:fill="auto"/>
            <w:vAlign w:val="center"/>
          </w:tcPr>
          <w:p w:rsidR="00802509" w:rsidRPr="00C219B3" w:rsidRDefault="00802509" w:rsidP="006E154F">
            <w:pPr>
              <w:spacing w:line="480" w:lineRule="auto"/>
              <w:jc w:val="both"/>
              <w:rPr>
                <w:rFonts w:ascii="Times New Roman" w:hAnsi="Times New Roman"/>
                <w:b/>
              </w:rPr>
            </w:pPr>
            <w:r w:rsidRPr="00C219B3">
              <w:rPr>
                <w:rFonts w:ascii="Times New Roman" w:hAnsi="Times New Roman"/>
                <w:b/>
              </w:rPr>
              <w:t xml:space="preserve">Table </w:t>
            </w:r>
            <w:r w:rsidR="005A4D03">
              <w:rPr>
                <w:rFonts w:ascii="Times New Roman" w:hAnsi="Times New Roman"/>
                <w:b/>
              </w:rPr>
              <w:t>A</w:t>
            </w:r>
            <w:r w:rsidRPr="00C219B3">
              <w:rPr>
                <w:rFonts w:ascii="Times New Roman" w:hAnsi="Times New Roman"/>
                <w:b/>
              </w:rPr>
              <w:t>1: Variable definitions, sources and expected signs</w:t>
            </w:r>
          </w:p>
        </w:tc>
      </w:tr>
      <w:tr w:rsidR="00802509" w:rsidRPr="00C219B3" w:rsidTr="006E154F">
        <w:trPr>
          <w:trHeight w:val="702"/>
        </w:trPr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219B3">
              <w:rPr>
                <w:rFonts w:ascii="Times New Roman" w:hAnsi="Times New Roman"/>
                <w:b/>
                <w:bCs/>
                <w:sz w:val="16"/>
                <w:szCs w:val="16"/>
              </w:rPr>
              <w:t>Variable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219B3">
              <w:rPr>
                <w:rFonts w:ascii="Times New Roman" w:hAnsi="Times New Roman"/>
                <w:b/>
                <w:bCs/>
                <w:sz w:val="16"/>
                <w:szCs w:val="16"/>
              </w:rPr>
              <w:t>Description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219B3">
              <w:rPr>
                <w:rFonts w:ascii="Times New Roman" w:hAnsi="Times New Roman"/>
                <w:b/>
                <w:bCs/>
                <w:sz w:val="16"/>
                <w:szCs w:val="16"/>
              </w:rPr>
              <w:t>Source</w:t>
            </w:r>
          </w:p>
        </w:tc>
        <w:tc>
          <w:tcPr>
            <w:tcW w:w="6804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spacing w:before="24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219B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Literature Background </w:t>
            </w:r>
          </w:p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219B3">
              <w:rPr>
                <w:rFonts w:ascii="Times New Roman" w:hAnsi="Times New Roman"/>
                <w:b/>
                <w:bCs/>
                <w:sz w:val="16"/>
                <w:szCs w:val="16"/>
              </w:rPr>
              <w:t>(macro-level studies only)</w:t>
            </w:r>
          </w:p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802509" w:rsidRPr="00C219B3" w:rsidTr="006E154F">
        <w:trPr>
          <w:trHeight w:val="299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219B3">
              <w:rPr>
                <w:rFonts w:ascii="Times New Roman" w:hAnsi="Times New Roman"/>
                <w:b/>
                <w:bCs/>
                <w:sz w:val="16"/>
                <w:szCs w:val="16"/>
              </w:rPr>
              <w:t>Dependent variables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6804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802509" w:rsidRPr="00C219B3" w:rsidTr="006E154F">
        <w:trPr>
          <w:trHeight w:val="985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spacing w:before="120"/>
              <w:rPr>
                <w:rFonts w:ascii="Times New Roman" w:hAnsi="Times New Roman"/>
                <w:b/>
                <w:sz w:val="16"/>
                <w:szCs w:val="16"/>
              </w:rPr>
            </w:pPr>
            <w:r w:rsidRPr="00C219B3">
              <w:rPr>
                <w:rFonts w:ascii="Times New Roman" w:hAnsi="Times New Roman"/>
                <w:b/>
                <w:sz w:val="16"/>
                <w:szCs w:val="16"/>
              </w:rPr>
              <w:t>Formal entrepreneurship</w:t>
            </w:r>
          </w:p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 xml:space="preserve">New business density (new registrations per 100 people aged 15-64) </w:t>
            </w:r>
            <w:r w:rsidRPr="00C219B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New businesses registered are the number of new limited liability corporations registered in the calendar year.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World Bank Group Entrepreneur-ship Survey (WBGES)</w:t>
            </w:r>
          </w:p>
        </w:tc>
        <w:tc>
          <w:tcPr>
            <w:tcW w:w="68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 xml:space="preserve">Acs et al. (2008); Autio and Fu (2015); Dau and Cuervo-Cazurra (2014); </w:t>
            </w:r>
            <w:r w:rsidRPr="00C219B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Klapper et al. </w:t>
            </w:r>
            <w:r w:rsidRPr="00C219B3">
              <w:rPr>
                <w:rFonts w:ascii="Times New Roman" w:hAnsi="Times New Roman"/>
                <w:sz w:val="16"/>
                <w:szCs w:val="16"/>
                <w:lang w:val="nl-NL"/>
              </w:rPr>
              <w:t xml:space="preserve">(2010); Stenholm et al. </w:t>
            </w:r>
            <w:r w:rsidRPr="00C219B3">
              <w:rPr>
                <w:rFonts w:ascii="Times New Roman" w:hAnsi="Times New Roman"/>
                <w:sz w:val="16"/>
                <w:szCs w:val="16"/>
              </w:rPr>
              <w:t>(2013); Thai and Turkina (2014).</w:t>
            </w:r>
          </w:p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02509" w:rsidRPr="00C219B3" w:rsidTr="006E154F">
        <w:trPr>
          <w:trHeight w:val="1124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509" w:rsidRPr="00C219B3" w:rsidRDefault="00802509" w:rsidP="006E154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C219B3">
              <w:rPr>
                <w:rFonts w:ascii="Times New Roman" w:hAnsi="Times New Roman"/>
                <w:b/>
                <w:sz w:val="16"/>
                <w:szCs w:val="16"/>
              </w:rPr>
              <w:t>Informal entrepreneurship</w:t>
            </w:r>
          </w:p>
          <w:p w:rsidR="00802509" w:rsidRPr="00C219B3" w:rsidRDefault="00802509" w:rsidP="006E154F">
            <w:pPr>
              <w:spacing w:after="100" w:afterAutospacing="1"/>
              <w:outlineLvl w:val="1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Young business entrepreneur-ship rate (YB rate)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509" w:rsidRPr="00C219B3" w:rsidRDefault="00802509" w:rsidP="006E154F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YB = Percentage of 18-64 population who are currently an owner-manager of a new or young business (&lt; 42 months).</w:t>
            </w:r>
          </w:p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Global Entrepreneurship Monitor (GEM)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509" w:rsidRPr="00C219B3" w:rsidRDefault="00802509" w:rsidP="006E154F">
            <w:pPr>
              <w:spacing w:after="360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Acs et al. (2008); Autio and Fu (2015); Dau and Cuervo-Cazurra (2014); Thai and Turkina (2014); Van Stel et al. (2007).</w:t>
            </w:r>
          </w:p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02509" w:rsidRPr="00C219B3" w:rsidTr="006E154F">
        <w:trPr>
          <w:trHeight w:val="270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spacing w:before="24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219B3">
              <w:rPr>
                <w:rFonts w:ascii="Times New Roman" w:hAnsi="Times New Roman"/>
                <w:b/>
                <w:bCs/>
                <w:sz w:val="16"/>
                <w:szCs w:val="16"/>
              </w:rPr>
              <w:t>Independent variables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spacing w:before="240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b/>
                <w:bCs/>
                <w:sz w:val="16"/>
                <w:szCs w:val="16"/>
              </w:rPr>
              <w:t>Description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spacing w:before="240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b/>
                <w:bCs/>
                <w:sz w:val="16"/>
                <w:szCs w:val="16"/>
              </w:rPr>
              <w:t>Source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spacing w:before="240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b/>
                <w:bCs/>
                <w:sz w:val="16"/>
                <w:szCs w:val="16"/>
              </w:rPr>
              <w:t>Literature Background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spacing w:before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b/>
                <w:bCs/>
                <w:sz w:val="16"/>
                <w:szCs w:val="16"/>
              </w:rPr>
              <w:t>Expected sign</w:t>
            </w:r>
          </w:p>
        </w:tc>
      </w:tr>
      <w:tr w:rsidR="00802509" w:rsidRPr="00C219B3" w:rsidTr="006E154F">
        <w:trPr>
          <w:trHeight w:val="270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509" w:rsidRPr="00C219B3" w:rsidRDefault="00802509" w:rsidP="006E154F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509" w:rsidRPr="00C219B3" w:rsidRDefault="00802509" w:rsidP="006E154F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219B3">
              <w:rPr>
                <w:rFonts w:ascii="Times New Roman" w:hAnsi="Times New Roman"/>
                <w:b/>
                <w:bCs/>
                <w:sz w:val="16"/>
                <w:szCs w:val="16"/>
              </w:rPr>
              <w:t>High-income,</w:t>
            </w:r>
          </w:p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b/>
                <w:bCs/>
                <w:sz w:val="16"/>
                <w:szCs w:val="16"/>
              </w:rPr>
              <w:t>Formal entr.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2509" w:rsidRPr="00C219B3" w:rsidRDefault="00802509" w:rsidP="006E154F">
            <w:pPr>
              <w:spacing w:before="24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219B3">
              <w:rPr>
                <w:rFonts w:ascii="Times New Roman" w:hAnsi="Times New Roman"/>
                <w:b/>
                <w:bCs/>
                <w:sz w:val="16"/>
                <w:szCs w:val="16"/>
              </w:rPr>
              <w:t>High-income,</w:t>
            </w:r>
          </w:p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b/>
                <w:bCs/>
                <w:sz w:val="16"/>
                <w:szCs w:val="16"/>
              </w:rPr>
              <w:t>Informal entr.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2509" w:rsidRPr="00C219B3" w:rsidRDefault="00802509" w:rsidP="006E154F">
            <w:pPr>
              <w:spacing w:before="24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219B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Low income, </w:t>
            </w:r>
          </w:p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b/>
                <w:bCs/>
                <w:sz w:val="16"/>
                <w:szCs w:val="16"/>
              </w:rPr>
              <w:t>Formal entr.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2509" w:rsidRPr="00C219B3" w:rsidRDefault="00802509" w:rsidP="006E154F">
            <w:pPr>
              <w:spacing w:before="24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219B3">
              <w:rPr>
                <w:rFonts w:ascii="Times New Roman" w:hAnsi="Times New Roman"/>
                <w:b/>
                <w:bCs/>
                <w:sz w:val="16"/>
                <w:szCs w:val="16"/>
              </w:rPr>
              <w:t>Low income,</w:t>
            </w:r>
          </w:p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b/>
                <w:bCs/>
                <w:sz w:val="16"/>
                <w:szCs w:val="16"/>
              </w:rPr>
              <w:t>Informal entr.</w:t>
            </w:r>
          </w:p>
        </w:tc>
      </w:tr>
      <w:tr w:rsidR="00802509" w:rsidRPr="00C219B3" w:rsidTr="006E154F">
        <w:trPr>
          <w:trHeight w:val="388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509" w:rsidRPr="00C219B3" w:rsidRDefault="00802509" w:rsidP="006E154F">
            <w:p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b/>
                <w:sz w:val="16"/>
                <w:szCs w:val="16"/>
              </w:rPr>
              <w:t>DTF_Starting</w:t>
            </w:r>
            <w:r w:rsidRPr="00C219B3">
              <w:rPr>
                <w:rFonts w:ascii="Times New Roman" w:hAnsi="Times New Roman"/>
                <w:sz w:val="16"/>
                <w:szCs w:val="16"/>
              </w:rPr>
              <w:t>: Distance to frontier (DTF) for starting a business.</w:t>
            </w:r>
          </w:p>
          <w:p w:rsidR="00802509" w:rsidRPr="00C219B3" w:rsidRDefault="00802509" w:rsidP="006E154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The distance to frontier measures the distance of each economy to the “frontier”, which represents the best performance observed across all economies in the </w:t>
            </w:r>
            <w:r w:rsidRPr="00C219B3">
              <w:rPr>
                <w:rFonts w:ascii="Times New Roman" w:hAnsi="Times New Roman"/>
                <w:i/>
                <w:iCs/>
                <w:sz w:val="16"/>
                <w:szCs w:val="16"/>
              </w:rPr>
              <w:t>Doing Business</w:t>
            </w:r>
            <w:r w:rsidRPr="00C219B3">
              <w:rPr>
                <w:rFonts w:ascii="Times New Roman" w:hAnsi="Times New Roman"/>
                <w:sz w:val="16"/>
                <w:szCs w:val="16"/>
              </w:rPr>
              <w:t xml:space="preserve"> sample since 2005.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An economy’s distance to frontier is reflected on a scale from 0 to 100, where 0 represents the lowest performance and 100 </w:t>
            </w:r>
            <w:r w:rsidRPr="00C219B3">
              <w:rPr>
                <w:rFonts w:ascii="Times New Roman" w:hAnsi="Times New Roman"/>
                <w:sz w:val="16"/>
                <w:szCs w:val="16"/>
              </w:rPr>
              <w:lastRenderedPageBreak/>
              <w:t>represents the frontier. A higher score thus indicates that it is easier to start a business, more specifically, to start a limited liability company with between 10 and 50 employees.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lastRenderedPageBreak/>
              <w:t>World Bank Doing Business database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  <w:lang w:val="nl-NL"/>
              </w:rPr>
            </w:pPr>
            <w:r w:rsidRPr="00C219B3">
              <w:rPr>
                <w:rFonts w:ascii="Times New Roman" w:hAnsi="Times New Roman"/>
                <w:sz w:val="16"/>
                <w:szCs w:val="16"/>
                <w:lang w:val="nl-NL"/>
              </w:rPr>
              <w:t>Djankov et al. (2002);</w:t>
            </w:r>
            <w:r w:rsidR="003D6CE2">
              <w:rPr>
                <w:rFonts w:ascii="Times New Roman" w:hAnsi="Times New Roman"/>
                <w:sz w:val="16"/>
                <w:szCs w:val="16"/>
                <w:lang w:val="nl-NL"/>
              </w:rPr>
              <w:t xml:space="preserve"> De Jong et al. (2020);</w:t>
            </w:r>
            <w:r w:rsidRPr="00C219B3">
              <w:rPr>
                <w:rFonts w:ascii="Times New Roman" w:hAnsi="Times New Roman"/>
                <w:sz w:val="16"/>
                <w:szCs w:val="16"/>
                <w:lang w:val="nl-NL"/>
              </w:rPr>
              <w:t xml:space="preserve"> Levie and Autio (2011); Nyström (2008); </w:t>
            </w:r>
            <w:r w:rsidRPr="00C219B3">
              <w:rPr>
                <w:rFonts w:ascii="Times New Roman" w:hAnsi="Times New Roman"/>
                <w:sz w:val="16"/>
                <w:szCs w:val="16"/>
                <w:lang w:val="nl-NL"/>
              </w:rPr>
              <w:lastRenderedPageBreak/>
              <w:t>Stenholm et al. (2013); Van Stel et al. (2007).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lastRenderedPageBreak/>
              <w:t>(+)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(+)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(0)</w:t>
            </w:r>
          </w:p>
        </w:tc>
      </w:tr>
      <w:tr w:rsidR="00802509" w:rsidRPr="00C219B3" w:rsidTr="006E154F">
        <w:trPr>
          <w:trHeight w:val="388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509" w:rsidRPr="00C219B3" w:rsidRDefault="00802509" w:rsidP="006E154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C219B3">
              <w:rPr>
                <w:rFonts w:ascii="Times New Roman" w:hAnsi="Times New Roman"/>
                <w:b/>
                <w:sz w:val="16"/>
                <w:szCs w:val="16"/>
              </w:rPr>
              <w:t xml:space="preserve">WGI index: </w:t>
            </w:r>
            <w:r w:rsidRPr="00C219B3">
              <w:rPr>
                <w:rFonts w:ascii="Times New Roman" w:hAnsi="Times New Roman"/>
                <w:sz w:val="16"/>
                <w:szCs w:val="16"/>
              </w:rPr>
              <w:t>Worldwide Governance Indicators index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509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 xml:space="preserve">Average of the six WGI subindices: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(1) </w:t>
            </w:r>
            <w:r w:rsidRPr="00C219B3">
              <w:rPr>
                <w:rFonts w:ascii="Times New Roman" w:hAnsi="Times New Roman"/>
                <w:sz w:val="16"/>
                <w:szCs w:val="16"/>
              </w:rPr>
              <w:t>Voice and Accountability;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(2)</w:t>
            </w:r>
            <w:r w:rsidRPr="00C219B3">
              <w:rPr>
                <w:rFonts w:ascii="Times New Roman" w:hAnsi="Times New Roman"/>
                <w:sz w:val="16"/>
                <w:szCs w:val="16"/>
              </w:rPr>
              <w:t xml:space="preserve"> Political Stability and Absence of Violence</w:t>
            </w:r>
            <w:r>
              <w:rPr>
                <w:rFonts w:ascii="Times New Roman" w:hAnsi="Times New Roman"/>
                <w:sz w:val="16"/>
                <w:szCs w:val="16"/>
              </w:rPr>
              <w:t>/Terrorism</w:t>
            </w:r>
            <w:r w:rsidRPr="00C219B3">
              <w:rPr>
                <w:rFonts w:ascii="Times New Roman" w:hAnsi="Times New Roman"/>
                <w:sz w:val="16"/>
                <w:szCs w:val="16"/>
              </w:rPr>
              <w:t xml:space="preserve">;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(3) </w:t>
            </w:r>
            <w:r w:rsidRPr="00C219B3">
              <w:rPr>
                <w:rFonts w:ascii="Times New Roman" w:hAnsi="Times New Roman"/>
                <w:sz w:val="16"/>
                <w:szCs w:val="16"/>
              </w:rPr>
              <w:t xml:space="preserve">Government Effectiveness;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(4) </w:t>
            </w:r>
            <w:r w:rsidRPr="00C219B3">
              <w:rPr>
                <w:rFonts w:ascii="Times New Roman" w:hAnsi="Times New Roman"/>
                <w:sz w:val="16"/>
                <w:szCs w:val="16"/>
              </w:rPr>
              <w:t xml:space="preserve">Regulatory Quality;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(5) </w:t>
            </w:r>
            <w:r w:rsidRPr="00C219B3">
              <w:rPr>
                <w:rFonts w:ascii="Times New Roman" w:hAnsi="Times New Roman"/>
                <w:sz w:val="16"/>
                <w:szCs w:val="16"/>
              </w:rPr>
              <w:t>Rule of Law; and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(6)</w:t>
            </w:r>
            <w:r w:rsidRPr="00C219B3">
              <w:rPr>
                <w:rFonts w:ascii="Times New Roman" w:hAnsi="Times New Roman"/>
                <w:sz w:val="16"/>
                <w:szCs w:val="16"/>
              </w:rPr>
              <w:t xml:space="preserve"> Control of Corruption. </w:t>
            </w:r>
          </w:p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Each subindex varies between -2.5 and 2.5.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World Bank WGI database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  <w:lang w:val="nl-NL"/>
              </w:rPr>
            </w:pPr>
            <w:r w:rsidRPr="00C219B3">
              <w:rPr>
                <w:rFonts w:ascii="Times New Roman" w:hAnsi="Times New Roman"/>
                <w:sz w:val="16"/>
                <w:szCs w:val="16"/>
                <w:lang w:val="nl-NL"/>
              </w:rPr>
              <w:t>Kaufmann et al. (2011); Klapper et al. (2010); Levie and Autio (2011).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(+)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(+)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(0)</w:t>
            </w:r>
          </w:p>
        </w:tc>
      </w:tr>
      <w:tr w:rsidR="00802509" w:rsidRPr="00C219B3" w:rsidTr="006E154F">
        <w:trPr>
          <w:trHeight w:val="388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509" w:rsidRPr="00C219B3" w:rsidRDefault="00802509" w:rsidP="006E154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b/>
                <w:sz w:val="16"/>
                <w:szCs w:val="16"/>
              </w:rPr>
              <w:t>Self-employment:</w:t>
            </w:r>
          </w:p>
          <w:p w:rsidR="00802509" w:rsidRPr="00C219B3" w:rsidRDefault="00802509" w:rsidP="006E154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(% of total employed)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Self-employed workers include four sub-categories of employers, own-account workers, members of producers' cooperatives, and contributing family workers.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International Labour Organization (ILO)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  <w:lang w:val="nl-NL"/>
              </w:rPr>
            </w:pPr>
            <w:r w:rsidRPr="00C219B3">
              <w:rPr>
                <w:rFonts w:ascii="Times New Roman" w:hAnsi="Times New Roman"/>
                <w:sz w:val="16"/>
                <w:szCs w:val="16"/>
                <w:lang w:val="nl-NL"/>
              </w:rPr>
              <w:t>Bosma et al. (2012); Cieslik (2015); Fain (1980).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(+)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(+)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(+)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(+)</w:t>
            </w:r>
          </w:p>
        </w:tc>
      </w:tr>
      <w:tr w:rsidR="00802509" w:rsidRPr="00C219B3" w:rsidTr="006E154F">
        <w:trPr>
          <w:trHeight w:val="388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b/>
                <w:sz w:val="16"/>
                <w:szCs w:val="16"/>
              </w:rPr>
              <w:t>Share agriculture:</w:t>
            </w:r>
            <w:r w:rsidRPr="00C219B3">
              <w:rPr>
                <w:rFonts w:ascii="Times New Roman" w:hAnsi="Times New Roman"/>
                <w:sz w:val="16"/>
                <w:szCs w:val="16"/>
              </w:rPr>
              <w:t xml:space="preserve"> Employment in agriculture (% of total employment)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The agriculture sector consists of activities in agriculture, hunting, forestry and fishing.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International Labour Organization (ILO)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Chenery (1960); Fain (1980); Wennekers et al. (2010).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(+)</w:t>
            </w:r>
          </w:p>
        </w:tc>
      </w:tr>
      <w:tr w:rsidR="00802509" w:rsidRPr="00C219B3" w:rsidTr="006E154F">
        <w:trPr>
          <w:trHeight w:val="1128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b/>
                <w:sz w:val="16"/>
                <w:szCs w:val="16"/>
              </w:rPr>
              <w:t>Share services:</w:t>
            </w:r>
            <w:r w:rsidRPr="00C219B3">
              <w:rPr>
                <w:rFonts w:ascii="Times New Roman" w:hAnsi="Times New Roman"/>
                <w:sz w:val="16"/>
                <w:szCs w:val="16"/>
              </w:rPr>
              <w:t xml:space="preserve"> Employment in services (% of total employment)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The services sector consists of wholesale and retail trade and restaurants and hotels; transport, storage, and communications; financing, insurance, real estate, and business services; and community, social, and personal services.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International Labour Organization (ILO)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  <w:lang w:val="nl-NL"/>
              </w:rPr>
            </w:pPr>
            <w:r w:rsidRPr="00C219B3">
              <w:rPr>
                <w:rFonts w:ascii="Times New Roman" w:hAnsi="Times New Roman"/>
                <w:sz w:val="16"/>
                <w:szCs w:val="16"/>
                <w:lang w:val="nl-NL"/>
              </w:rPr>
              <w:t>Verheul et al. (2006); Wennekers et al. (2010).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(+)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(+)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(+)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(+)</w:t>
            </w:r>
          </w:p>
        </w:tc>
      </w:tr>
      <w:tr w:rsidR="00802509" w:rsidRPr="00C219B3" w:rsidTr="006E154F">
        <w:trPr>
          <w:trHeight w:val="1128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509" w:rsidRPr="00C219B3" w:rsidRDefault="00802509" w:rsidP="006E154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C219B3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Per capita income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GDP per capita, PPP (constant 2011 international $), in thousands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World Bank World Development Indicators (WDI)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  <w:lang w:val="nl-NL"/>
              </w:rPr>
            </w:pPr>
            <w:r w:rsidRPr="00C219B3">
              <w:rPr>
                <w:rFonts w:ascii="Times New Roman" w:hAnsi="Times New Roman"/>
                <w:sz w:val="16"/>
                <w:szCs w:val="16"/>
                <w:lang w:val="nl-NL"/>
              </w:rPr>
              <w:t>Acs et al. (2008); Klapper et al. (2010); Wennekers et al. (2010).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(+)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(+)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(+)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(-)</w:t>
            </w:r>
          </w:p>
        </w:tc>
      </w:tr>
      <w:tr w:rsidR="00802509" w:rsidRPr="00C219B3" w:rsidTr="006E154F">
        <w:trPr>
          <w:trHeight w:val="1039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b/>
                <w:sz w:val="16"/>
                <w:szCs w:val="16"/>
              </w:rPr>
              <w:t>Secondary education</w:t>
            </w:r>
            <w:r w:rsidRPr="00C219B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Labour force with secondary education (% of total labour force)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International Labour Organization (ILO)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219B3">
              <w:rPr>
                <w:rFonts w:ascii="Times New Roman" w:hAnsi="Times New Roman"/>
                <w:sz w:val="16"/>
                <w:szCs w:val="16"/>
                <w:lang w:val="en-US"/>
              </w:rPr>
              <w:t>Millán et al. (2014); Uhlaner and Thurik (2007).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(+)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(0)</w:t>
            </w:r>
          </w:p>
        </w:tc>
      </w:tr>
      <w:tr w:rsidR="00802509" w:rsidRPr="00C219B3" w:rsidTr="006E154F">
        <w:trPr>
          <w:trHeight w:val="949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b/>
                <w:sz w:val="16"/>
                <w:szCs w:val="16"/>
              </w:rPr>
              <w:t xml:space="preserve">FDI: 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Foreign direct investment, net inflows (% of GDP)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World Bank World Development Indicators (WDI)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  <w:lang w:val="nl-NL"/>
              </w:rPr>
            </w:pPr>
            <w:r w:rsidRPr="00C219B3">
              <w:rPr>
                <w:rFonts w:ascii="Times New Roman" w:hAnsi="Times New Roman"/>
                <w:sz w:val="16"/>
                <w:szCs w:val="16"/>
                <w:lang w:val="nl-NL"/>
              </w:rPr>
              <w:t>De Backer and Sleuwaegen (2003); De Clercq et al. (2008); Lee et al. (2014).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(+)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(+)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(+)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(0)</w:t>
            </w:r>
          </w:p>
        </w:tc>
      </w:tr>
      <w:tr w:rsidR="00802509" w:rsidRPr="00C219B3" w:rsidTr="006E154F">
        <w:trPr>
          <w:trHeight w:val="949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509" w:rsidRPr="00C219B3" w:rsidRDefault="00802509" w:rsidP="006E154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C219B3">
              <w:rPr>
                <w:rFonts w:ascii="Times New Roman" w:hAnsi="Times New Roman"/>
                <w:b/>
                <w:sz w:val="16"/>
                <w:szCs w:val="16"/>
              </w:rPr>
              <w:t>Gov. cons.:</w:t>
            </w:r>
            <w:r w:rsidRPr="00C219B3">
              <w:rPr>
                <w:rFonts w:ascii="Times New Roman" w:hAnsi="Times New Roman"/>
                <w:sz w:val="16"/>
                <w:szCs w:val="16"/>
              </w:rPr>
              <w:t xml:space="preserve"> General government final consumption expenditure (% of GDP)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 xml:space="preserve">This variable includes all government current expenditures for purchases of goods and services (including compensation of employees). 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World Bank World Development Indicators (WDI)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Aidis et al. (2012); Nyström (2008).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(0)</w:t>
            </w:r>
          </w:p>
        </w:tc>
      </w:tr>
      <w:tr w:rsidR="00802509" w:rsidRPr="00C219B3" w:rsidTr="006E154F">
        <w:trPr>
          <w:trHeight w:val="949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509" w:rsidRPr="00C219B3" w:rsidRDefault="00802509" w:rsidP="006E154F">
            <w:pPr>
              <w:spacing w:before="100" w:beforeAutospacing="1" w:afterAutospacing="1"/>
              <w:outlineLvl w:val="1"/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Female labor force part.:</w:t>
            </w:r>
          </w:p>
          <w:p w:rsidR="00802509" w:rsidRPr="00C219B3" w:rsidRDefault="00802509" w:rsidP="006E154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 xml:space="preserve">Female labor force participation rate 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% of female population aged 15+ that is economically active (modeled ILO estimate)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International Labour Organization (ILO)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  <w:lang w:val="nl-NL"/>
              </w:rPr>
            </w:pPr>
            <w:r w:rsidRPr="00C219B3">
              <w:rPr>
                <w:rFonts w:ascii="Times New Roman" w:hAnsi="Times New Roman"/>
                <w:sz w:val="16"/>
                <w:szCs w:val="16"/>
                <w:lang w:val="nl-NL"/>
              </w:rPr>
              <w:t>Okamuro and Ikeuchi (2017); Verheul (2005); Verheul et al. (2006).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(+)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(+)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(0)</w:t>
            </w:r>
          </w:p>
        </w:tc>
      </w:tr>
      <w:tr w:rsidR="00802509" w:rsidRPr="00C219B3" w:rsidTr="006E154F">
        <w:trPr>
          <w:trHeight w:val="627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b/>
                <w:sz w:val="16"/>
                <w:szCs w:val="16"/>
              </w:rPr>
              <w:t>GDP Growth</w:t>
            </w:r>
            <w:r w:rsidRPr="00C219B3">
              <w:rPr>
                <w:rFonts w:ascii="Times New Roman" w:hAnsi="Times New Roman"/>
                <w:sz w:val="16"/>
                <w:szCs w:val="16"/>
              </w:rPr>
              <w:t xml:space="preserve"> (annual %) </w:t>
            </w:r>
            <w:r w:rsidRPr="00C219B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Annual percentage growth rate of GDP at market prices based on constant local currency.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World Bank World Development Indicators (WDI)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  <w:lang w:val="nl-NL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 xml:space="preserve">Autio and Fu (2015); Dau and Cuervo-Cazurra (2014); Levie and Autio (2011); Van Stel et al. </w:t>
            </w:r>
            <w:r w:rsidRPr="00C219B3">
              <w:rPr>
                <w:rFonts w:ascii="Times New Roman" w:hAnsi="Times New Roman"/>
                <w:sz w:val="16"/>
                <w:szCs w:val="16"/>
                <w:lang w:val="nl-NL"/>
              </w:rPr>
              <w:t>(2007).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(+)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(+)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(-)</w:t>
            </w:r>
          </w:p>
        </w:tc>
      </w:tr>
      <w:tr w:rsidR="00802509" w:rsidRPr="00C219B3" w:rsidTr="006E154F">
        <w:trPr>
          <w:trHeight w:val="703"/>
        </w:trPr>
        <w:tc>
          <w:tcPr>
            <w:tcW w:w="2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b/>
                <w:sz w:val="16"/>
                <w:szCs w:val="16"/>
              </w:rPr>
              <w:t>Unemployment</w:t>
            </w:r>
            <w:r w:rsidRPr="00C219B3">
              <w:rPr>
                <w:rFonts w:ascii="Times New Roman" w:hAnsi="Times New Roman"/>
                <w:sz w:val="16"/>
                <w:szCs w:val="16"/>
              </w:rPr>
              <w:t>, total (% of total labor force) (modeled ILO estimate)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Unemployment refers to the share of the labor force that is without work but available for and seeking employment.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World Bank World Development Indicators (WDI)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  <w:lang w:val="nl-NL"/>
              </w:rPr>
              <w:t xml:space="preserve">Storey (1991); Thurik et al. (2008); Verheul et al. </w:t>
            </w:r>
            <w:r w:rsidRPr="00C219B3">
              <w:rPr>
                <w:rFonts w:ascii="Times New Roman" w:hAnsi="Times New Roman"/>
                <w:sz w:val="16"/>
                <w:szCs w:val="16"/>
              </w:rPr>
              <w:t>(2006).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509" w:rsidRPr="00C219B3" w:rsidRDefault="00802509" w:rsidP="006E154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19B3">
              <w:rPr>
                <w:rFonts w:ascii="Times New Roman" w:hAnsi="Times New Roman"/>
                <w:sz w:val="16"/>
                <w:szCs w:val="16"/>
              </w:rPr>
              <w:t>(0)</w:t>
            </w:r>
          </w:p>
        </w:tc>
      </w:tr>
    </w:tbl>
    <w:p w:rsidR="00802509" w:rsidRDefault="00802509" w:rsidP="00802509">
      <w:pPr>
        <w:spacing w:before="120" w:after="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Notes:</w:t>
      </w:r>
    </w:p>
    <w:p w:rsidR="00802509" w:rsidRPr="00D44293" w:rsidRDefault="00802509" w:rsidP="00802509">
      <w:pPr>
        <w:spacing w:before="120" w:after="0"/>
        <w:rPr>
          <w:rFonts w:ascii="Times New Roman" w:hAnsi="Times New Roman"/>
          <w:sz w:val="16"/>
          <w:szCs w:val="16"/>
        </w:rPr>
      </w:pPr>
      <w:r w:rsidRPr="00FB6E77">
        <w:rPr>
          <w:rFonts w:ascii="Times New Roman" w:hAnsi="Times New Roman"/>
          <w:sz w:val="24"/>
          <w:szCs w:val="24"/>
          <w:vertAlign w:val="superscript"/>
        </w:rPr>
        <w:t>1</w:t>
      </w:r>
      <w:r w:rsidRPr="00D44293">
        <w:rPr>
          <w:rFonts w:ascii="Times New Roman" w:hAnsi="Times New Roman"/>
          <w:sz w:val="16"/>
          <w:szCs w:val="16"/>
        </w:rPr>
        <w:t xml:space="preserve"> The original variable was expressed per 1000 people. We recalculated the variable in order to make the n</w:t>
      </w:r>
      <w:r>
        <w:rPr>
          <w:rFonts w:ascii="Times New Roman" w:hAnsi="Times New Roman"/>
          <w:sz w:val="16"/>
          <w:szCs w:val="16"/>
        </w:rPr>
        <w:t xml:space="preserve">umbers directly comparable with </w:t>
      </w:r>
      <w:r w:rsidRPr="00D44293">
        <w:rPr>
          <w:rFonts w:ascii="Times New Roman" w:hAnsi="Times New Roman"/>
          <w:sz w:val="16"/>
          <w:szCs w:val="16"/>
        </w:rPr>
        <w:t>GEM’s entrepreneurship measures, which are expressed as percentages of the adult population.</w:t>
      </w:r>
    </w:p>
    <w:p w:rsidR="000E6B94" w:rsidRDefault="00802509" w:rsidP="00802509">
      <w:pPr>
        <w:spacing w:before="120"/>
        <w:rPr>
          <w:rFonts w:ascii="Times New Roman" w:hAnsi="Times New Roman"/>
          <w:sz w:val="16"/>
          <w:szCs w:val="16"/>
        </w:rPr>
        <w:sectPr w:rsidR="000E6B94" w:rsidSect="009D4010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FB6E77">
        <w:rPr>
          <w:rFonts w:ascii="Times New Roman" w:hAnsi="Times New Roman"/>
          <w:sz w:val="24"/>
          <w:szCs w:val="24"/>
          <w:vertAlign w:val="superscript"/>
        </w:rPr>
        <w:t>2</w:t>
      </w:r>
      <w:r w:rsidRPr="00D44293">
        <w:rPr>
          <w:rFonts w:ascii="Times New Roman" w:hAnsi="Times New Roman"/>
          <w:sz w:val="16"/>
          <w:szCs w:val="16"/>
        </w:rPr>
        <w:t xml:space="preserve"> We only list studies that use GDP growth as a determinant of entrepreneurship, rather than studies investigating the impact of entrepreneurship on GDP growth.</w:t>
      </w:r>
    </w:p>
    <w:p w:rsidR="00447B2B" w:rsidRPr="002D7DB3" w:rsidRDefault="00447B2B" w:rsidP="00447B2B">
      <w:pPr>
        <w:rPr>
          <w:rFonts w:ascii="Times New Roman" w:hAnsi="Times New Roman"/>
          <w:b/>
        </w:rPr>
      </w:pPr>
      <w:r w:rsidRPr="002D7DB3">
        <w:rPr>
          <w:rFonts w:ascii="Times New Roman" w:hAnsi="Times New Roman"/>
          <w:b/>
        </w:rPr>
        <w:lastRenderedPageBreak/>
        <w:t>Table A</w:t>
      </w:r>
      <w:r w:rsidR="005A4D03">
        <w:rPr>
          <w:rFonts w:ascii="Times New Roman" w:hAnsi="Times New Roman"/>
          <w:b/>
        </w:rPr>
        <w:t>2</w:t>
      </w:r>
      <w:r w:rsidRPr="002D7DB3">
        <w:rPr>
          <w:rFonts w:ascii="Times New Roman" w:hAnsi="Times New Roman"/>
          <w:b/>
        </w:rPr>
        <w:t>: Sampled Countries</w:t>
      </w:r>
    </w:p>
    <w:tbl>
      <w:tblPr>
        <w:tblW w:w="9596" w:type="dxa"/>
        <w:tblLook w:val="04A0" w:firstRow="1" w:lastRow="0" w:firstColumn="1" w:lastColumn="0" w:noHBand="0" w:noVBand="1"/>
      </w:tblPr>
      <w:tblGrid>
        <w:gridCol w:w="436"/>
        <w:gridCol w:w="2043"/>
        <w:gridCol w:w="2368"/>
        <w:gridCol w:w="271"/>
        <w:gridCol w:w="2241"/>
        <w:gridCol w:w="2368"/>
      </w:tblGrid>
      <w:tr w:rsidR="00447B2B" w:rsidRPr="009E2068" w:rsidTr="006E154F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647DFA" w:rsidRDefault="00447B2B" w:rsidP="006E154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647DFA">
              <w:rPr>
                <w:rFonts w:ascii="Times New Roman" w:hAnsi="Times New Roman"/>
                <w:bCs/>
                <w:color w:val="000000"/>
                <w:szCs w:val="24"/>
              </w:rPr>
              <w:t xml:space="preserve">Formal entrepreneurship sample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647DFA" w:rsidRDefault="00447B2B" w:rsidP="006E154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647DFA">
              <w:rPr>
                <w:rFonts w:ascii="Times New Roman" w:hAnsi="Times New Roman"/>
                <w:bCs/>
                <w:color w:val="000000"/>
                <w:szCs w:val="24"/>
              </w:rPr>
              <w:t> </w:t>
            </w:r>
          </w:p>
        </w:tc>
        <w:tc>
          <w:tcPr>
            <w:tcW w:w="4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647DFA" w:rsidRDefault="00447B2B" w:rsidP="006E154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647DFA">
              <w:rPr>
                <w:rFonts w:ascii="Times New Roman" w:hAnsi="Times New Roman"/>
                <w:bCs/>
                <w:color w:val="000000"/>
                <w:szCs w:val="24"/>
              </w:rPr>
              <w:t xml:space="preserve">Informal entrepreneurship sample </w:t>
            </w:r>
          </w:p>
        </w:tc>
      </w:tr>
      <w:tr w:rsidR="00447B2B" w:rsidRPr="00EB4DEF" w:rsidTr="006E154F">
        <w:trPr>
          <w:trHeight w:val="6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47B2B" w:rsidRDefault="00447B2B" w:rsidP="006E154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647DFA">
              <w:rPr>
                <w:rFonts w:ascii="Times New Roman" w:hAnsi="Times New Roman"/>
                <w:bCs/>
                <w:color w:val="000000"/>
                <w:szCs w:val="24"/>
              </w:rPr>
              <w:t>Low</w:t>
            </w:r>
            <w:r>
              <w:rPr>
                <w:rFonts w:ascii="Times New Roman" w:hAnsi="Times New Roman"/>
                <w:bCs/>
                <w:color w:val="000000"/>
                <w:szCs w:val="24"/>
              </w:rPr>
              <w:t>-</w:t>
            </w:r>
            <w:r w:rsidRPr="00647DFA">
              <w:rPr>
                <w:rFonts w:ascii="Times New Roman" w:hAnsi="Times New Roman"/>
                <w:bCs/>
                <w:color w:val="000000"/>
                <w:szCs w:val="24"/>
              </w:rPr>
              <w:t xml:space="preserve">income </w:t>
            </w:r>
          </w:p>
          <w:p w:rsidR="00447B2B" w:rsidRPr="00647DFA" w:rsidRDefault="00447B2B" w:rsidP="006E154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>(Panel 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47B2B" w:rsidRDefault="00447B2B" w:rsidP="006E154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647DFA">
              <w:rPr>
                <w:rFonts w:ascii="Times New Roman" w:hAnsi="Times New Roman"/>
                <w:bCs/>
                <w:color w:val="000000"/>
                <w:szCs w:val="24"/>
              </w:rPr>
              <w:t>High</w:t>
            </w:r>
            <w:r>
              <w:rPr>
                <w:rFonts w:ascii="Times New Roman" w:hAnsi="Times New Roman"/>
                <w:bCs/>
                <w:color w:val="000000"/>
                <w:szCs w:val="24"/>
              </w:rPr>
              <w:t>-</w:t>
            </w:r>
            <w:r w:rsidRPr="00647DFA">
              <w:rPr>
                <w:rFonts w:ascii="Times New Roman" w:hAnsi="Times New Roman"/>
                <w:bCs/>
                <w:color w:val="000000"/>
                <w:szCs w:val="24"/>
              </w:rPr>
              <w:t>income</w:t>
            </w:r>
          </w:p>
          <w:p w:rsidR="00447B2B" w:rsidRPr="00647DFA" w:rsidRDefault="00447B2B" w:rsidP="006E154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>(Panel 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47B2B" w:rsidRPr="00647DFA" w:rsidRDefault="00447B2B" w:rsidP="006E154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647DFA">
              <w:rPr>
                <w:rFonts w:ascii="Times New Roman" w:hAnsi="Times New Roman"/>
                <w:bCs/>
                <w:color w:val="000000"/>
                <w:szCs w:val="24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47B2B" w:rsidRDefault="00447B2B" w:rsidP="006E154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647DFA">
              <w:rPr>
                <w:rFonts w:ascii="Times New Roman" w:hAnsi="Times New Roman"/>
                <w:bCs/>
                <w:color w:val="000000"/>
                <w:szCs w:val="24"/>
              </w:rPr>
              <w:t>Low</w:t>
            </w:r>
            <w:r>
              <w:rPr>
                <w:rFonts w:ascii="Times New Roman" w:hAnsi="Times New Roman"/>
                <w:bCs/>
                <w:color w:val="000000"/>
                <w:szCs w:val="24"/>
              </w:rPr>
              <w:t>-</w:t>
            </w:r>
            <w:r w:rsidRPr="00647DFA">
              <w:rPr>
                <w:rFonts w:ascii="Times New Roman" w:hAnsi="Times New Roman"/>
                <w:bCs/>
                <w:color w:val="000000"/>
                <w:szCs w:val="24"/>
              </w:rPr>
              <w:t xml:space="preserve">income </w:t>
            </w:r>
          </w:p>
          <w:p w:rsidR="00447B2B" w:rsidRPr="00647DFA" w:rsidRDefault="00447B2B" w:rsidP="006E154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>(Panel 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47B2B" w:rsidRDefault="00447B2B" w:rsidP="006E154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647DFA">
              <w:rPr>
                <w:rFonts w:ascii="Times New Roman" w:hAnsi="Times New Roman"/>
                <w:bCs/>
                <w:color w:val="000000"/>
                <w:szCs w:val="24"/>
              </w:rPr>
              <w:t>High</w:t>
            </w:r>
            <w:r>
              <w:rPr>
                <w:rFonts w:ascii="Times New Roman" w:hAnsi="Times New Roman"/>
                <w:bCs/>
                <w:color w:val="000000"/>
                <w:szCs w:val="24"/>
              </w:rPr>
              <w:t>-</w:t>
            </w:r>
            <w:r w:rsidRPr="00647DFA">
              <w:rPr>
                <w:rFonts w:ascii="Times New Roman" w:hAnsi="Times New Roman"/>
                <w:bCs/>
                <w:color w:val="000000"/>
                <w:szCs w:val="24"/>
              </w:rPr>
              <w:t>income</w:t>
            </w:r>
          </w:p>
          <w:p w:rsidR="00447B2B" w:rsidRPr="00647DFA" w:rsidRDefault="00447B2B" w:rsidP="006E154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Cs w:val="24"/>
              </w:rPr>
              <w:t>(Panel C)</w:t>
            </w: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 xml:space="preserve">Albania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 xml:space="preserve">Algeria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Australia</w:t>
            </w: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Algeria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Austria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Bolivia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Austria</w:t>
            </w: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Armenia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Belgium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Brazil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Belgium</w:t>
            </w: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Azerbaijan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Chile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Canada</w:t>
            </w: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Belarus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Croatia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Colombia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Croatia</w:t>
            </w: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Belize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Cyprus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Costa 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Czech Republic</w:t>
            </w: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Bolivia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Czech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Dominican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Denmark</w:t>
            </w: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Botswana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Denmark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Ecuador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Estonia</w:t>
            </w: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Brazil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Estonia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Egypt, Arab Rep.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Finland</w:t>
            </w: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Bulgaria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Finland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El Salvador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France</w:t>
            </w: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Chile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Ethiopia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Germany</w:t>
            </w: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Colombia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Guatemala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Greece</w:t>
            </w: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Costa 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Greece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India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Hong Kong SAR, China</w:t>
            </w: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Dominican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Hong Kong SAR, 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Indonesia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Hungary</w:t>
            </w: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El Salvador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Hungary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Iran, Islamic Rep.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Iceland</w:t>
            </w: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Georgia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Iceland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Jordan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Ireland</w:t>
            </w: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Ghana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Ireland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Kazakhstan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Israel</w:t>
            </w: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Guatemala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Israel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Lithuania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Italy</w:t>
            </w: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India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Italy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Macedonia, FYR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Korea, Rep.</w:t>
            </w: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Indonesia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Korea, Rep.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Malaysia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Latvia</w:t>
            </w: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Jordan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Latvia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Mexico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Luxembourg</w:t>
            </w: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Kazakhstan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Luxembourg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Montenegro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Netherlands</w:t>
            </w: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Kyrgyz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Malta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Morocco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New Zealand</w:t>
            </w: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Lithuania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Netherlands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Namibia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Norway</w:t>
            </w: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Macedonia, FYR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New Zealand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Panama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Poland</w:t>
            </w: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Malaysia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Norway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Peru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Portugal</w:t>
            </w: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Mauritius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Poland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Philippines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Saudi Arabia</w:t>
            </w: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Mexico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Portugal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Romania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Singapore</w:t>
            </w: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Moldova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Singapore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Russian Federation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Slovak Republic</w:t>
            </w: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Montenegro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Slovak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Serbia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Slovenia</w:t>
            </w: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Morocco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Slovenia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South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Spain</w:t>
            </w: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Namibia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Spain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Thailand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Sweden</w:t>
            </w: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Pakistan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Sweden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Tunisia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Switzerland</w:t>
            </w: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Panama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Switzerland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Turkey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United Arab Emirates</w:t>
            </w: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Peru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United Arab Emirates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Uruguay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United Kingdom</w:t>
            </w: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Philippines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United Kingdom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Venezuela, 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United States</w:t>
            </w: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Romania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Russian Federation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Serbia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South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Sri Lanka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Thailand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lastRenderedPageBreak/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Tunisia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Turkey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447B2B" w:rsidRPr="00EB4DEF" w:rsidTr="006E154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>Uruguay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7B2B" w:rsidRPr="009E2068" w:rsidRDefault="00447B2B" w:rsidP="006E154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447B2B" w:rsidRPr="009E2068" w:rsidTr="006E154F">
        <w:trPr>
          <w:trHeight w:val="540"/>
        </w:trPr>
        <w:tc>
          <w:tcPr>
            <w:tcW w:w="95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47B2B" w:rsidRPr="009E2068" w:rsidRDefault="00447B2B" w:rsidP="006E154F">
            <w:pPr>
              <w:spacing w:before="120"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9E2068">
              <w:rPr>
                <w:rFonts w:ascii="Times New Roman" w:hAnsi="Times New Roman"/>
                <w:color w:val="000000"/>
                <w:szCs w:val="24"/>
              </w:rPr>
              <w:t xml:space="preserve">Notes: </w:t>
            </w:r>
            <w:r>
              <w:rPr>
                <w:rFonts w:ascii="Times New Roman" w:hAnsi="Times New Roman"/>
                <w:color w:val="000000"/>
                <w:szCs w:val="24"/>
              </w:rPr>
              <w:t>C</w:t>
            </w:r>
            <w:r w:rsidRPr="009E2068">
              <w:rPr>
                <w:rFonts w:ascii="Times New Roman" w:hAnsi="Times New Roman"/>
                <w:color w:val="000000"/>
                <w:szCs w:val="24"/>
              </w:rPr>
              <w:t>ountries are classified according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to</w:t>
            </w:r>
            <w:r w:rsidRPr="009E2068">
              <w:rPr>
                <w:rFonts w:ascii="Times New Roman" w:hAnsi="Times New Roman"/>
                <w:color w:val="000000"/>
                <w:szCs w:val="24"/>
              </w:rPr>
              <w:t xml:space="preserve"> the 2009 World Bank Income Classification</w:t>
            </w:r>
            <w:r>
              <w:rPr>
                <w:rFonts w:ascii="Times New Roman" w:hAnsi="Times New Roman"/>
                <w:color w:val="000000"/>
                <w:szCs w:val="24"/>
              </w:rPr>
              <w:t>, where the label “Low-income” corresponds to Low- &amp; middle-income countries according to this classification</w:t>
            </w:r>
            <w:r w:rsidRPr="009E2068">
              <w:rPr>
                <w:rFonts w:ascii="Times New Roman" w:hAnsi="Times New Roman"/>
                <w:color w:val="000000"/>
                <w:szCs w:val="24"/>
              </w:rPr>
              <w:t xml:space="preserve">. </w:t>
            </w:r>
            <w:hyperlink r:id="rId4" w:history="1">
              <w:r w:rsidRPr="00F510DC">
                <w:rPr>
                  <w:rStyle w:val="Hyperlink"/>
                  <w:rFonts w:ascii="Times New Roman" w:hAnsi="Times New Roman"/>
                  <w:szCs w:val="24"/>
                </w:rPr>
                <w:t>https://data.worldbank.org/income-level</w:t>
              </w:r>
            </w:hyperlink>
          </w:p>
        </w:tc>
      </w:tr>
    </w:tbl>
    <w:p w:rsidR="00447B2B" w:rsidRDefault="00447B2B" w:rsidP="00447B2B"/>
    <w:p w:rsidR="00447B2B" w:rsidRDefault="00447B2B" w:rsidP="00447B2B"/>
    <w:p w:rsidR="00447B2B" w:rsidRDefault="00447B2B" w:rsidP="00447B2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447B2B" w:rsidRPr="002B68CE" w:rsidRDefault="00447B2B" w:rsidP="00447B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2B68CE">
        <w:rPr>
          <w:rFonts w:ascii="Times New Roman" w:hAnsi="Times New Roman"/>
          <w:b/>
        </w:rPr>
        <w:lastRenderedPageBreak/>
        <w:t>Table</w:t>
      </w:r>
      <w:r w:rsidR="005A4D03">
        <w:rPr>
          <w:rFonts w:ascii="Times New Roman" w:hAnsi="Times New Roman"/>
          <w:b/>
        </w:rPr>
        <w:t xml:space="preserve"> A3</w:t>
      </w:r>
      <w:r w:rsidRPr="002B68CE">
        <w:rPr>
          <w:rFonts w:ascii="Times New Roman" w:hAnsi="Times New Roman"/>
          <w:b/>
        </w:rPr>
        <w:t>: Between-</w:t>
      </w:r>
      <w:r>
        <w:rPr>
          <w:rFonts w:ascii="Times New Roman" w:hAnsi="Times New Roman"/>
          <w:b/>
        </w:rPr>
        <w:t>estimator</w:t>
      </w:r>
      <w:r w:rsidRPr="002B68CE">
        <w:rPr>
          <w:rFonts w:ascii="Times New Roman" w:hAnsi="Times New Roman"/>
          <w:b/>
        </w:rPr>
        <w:t xml:space="preserve"> Regression </w:t>
      </w:r>
      <w:r>
        <w:rPr>
          <w:rFonts w:ascii="Times New Roman" w:hAnsi="Times New Roman"/>
          <w:b/>
        </w:rPr>
        <w:t>Results</w:t>
      </w:r>
      <w:r w:rsidRPr="002B68CE">
        <w:rPr>
          <w:rFonts w:ascii="Times New Roman" w:hAnsi="Times New Roman"/>
          <w:b/>
        </w:rPr>
        <w:t xml:space="preserve"> </w:t>
      </w:r>
    </w:p>
    <w:p w:rsidR="00447B2B" w:rsidRPr="003009ED" w:rsidRDefault="00447B2B" w:rsidP="00447B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10"/>
          <w:szCs w:val="24"/>
        </w:rPr>
      </w:pPr>
    </w:p>
    <w:p w:rsidR="00447B2B" w:rsidRPr="003009ED" w:rsidRDefault="00447B2B" w:rsidP="00447B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0"/>
          <w:szCs w:val="24"/>
        </w:rPr>
      </w:pPr>
    </w:p>
    <w:tbl>
      <w:tblPr>
        <w:tblW w:w="5331" w:type="pct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003"/>
        <w:gridCol w:w="1277"/>
        <w:gridCol w:w="1278"/>
        <w:gridCol w:w="1278"/>
        <w:gridCol w:w="1278"/>
        <w:gridCol w:w="1278"/>
        <w:gridCol w:w="1278"/>
      </w:tblGrid>
      <w:tr w:rsidR="00447B2B" w:rsidRPr="00E15DE7" w:rsidTr="006E154F">
        <w:tc>
          <w:tcPr>
            <w:tcW w:w="1035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661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661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  <w:tc>
          <w:tcPr>
            <w:tcW w:w="661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(4)</w:t>
            </w:r>
          </w:p>
        </w:tc>
        <w:tc>
          <w:tcPr>
            <w:tcW w:w="661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(5)</w:t>
            </w:r>
          </w:p>
        </w:tc>
        <w:tc>
          <w:tcPr>
            <w:tcW w:w="661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(6)</w:t>
            </w:r>
          </w:p>
        </w:tc>
      </w:tr>
      <w:tr w:rsidR="00447B2B" w:rsidRPr="00E15DE7" w:rsidTr="006E154F">
        <w:trPr>
          <w:trHeight w:val="249"/>
        </w:trPr>
        <w:tc>
          <w:tcPr>
            <w:tcW w:w="1035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Panel A: All countries</w:t>
            </w:r>
          </w:p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2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Panel B: Low-income countries</w:t>
            </w:r>
          </w:p>
        </w:tc>
        <w:tc>
          <w:tcPr>
            <w:tcW w:w="1322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Panel C: High-income countries</w:t>
            </w:r>
          </w:p>
        </w:tc>
      </w:tr>
      <w:tr w:rsidR="00447B2B" w:rsidRPr="00E15DE7" w:rsidTr="006E154F">
        <w:trPr>
          <w:trHeight w:val="45"/>
        </w:trPr>
        <w:tc>
          <w:tcPr>
            <w:tcW w:w="1035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Formal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Informal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Formal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Informal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Formal</w:t>
            </w:r>
          </w:p>
        </w:tc>
        <w:tc>
          <w:tcPr>
            <w:tcW w:w="66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Informal</w:t>
            </w:r>
          </w:p>
        </w:tc>
      </w:tr>
      <w:tr w:rsidR="00447B2B" w:rsidRPr="00E15DE7" w:rsidTr="006E154F"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7B2B" w:rsidRPr="00E15DE7" w:rsidTr="006E154F"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15DE7">
              <w:rPr>
                <w:rFonts w:ascii="Times New Roman" w:hAnsi="Times New Roman"/>
                <w:i/>
                <w:sz w:val="20"/>
                <w:szCs w:val="20"/>
              </w:rPr>
              <w:t>Group (i)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7B2B" w:rsidRPr="00E15DE7" w:rsidTr="006E154F"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bCs/>
                <w:iCs/>
                <w:sz w:val="20"/>
                <w:szCs w:val="20"/>
              </w:rPr>
              <w:t>DTF_Starting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0.031***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-0.004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0.038***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-0.003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0.060**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-0.004</w:t>
            </w:r>
          </w:p>
        </w:tc>
      </w:tr>
      <w:tr w:rsidR="00447B2B" w:rsidRPr="00E15DE7" w:rsidTr="006E154F"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(0.010)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(0.006)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(0.013)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(0.010)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(0.028)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(0.014)</w:t>
            </w:r>
          </w:p>
        </w:tc>
      </w:tr>
      <w:tr w:rsidR="00447B2B" w:rsidRPr="00E15DE7" w:rsidTr="006E154F"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WGI index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0.223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0.077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0.858***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0.197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-0.777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-0.084</w:t>
            </w:r>
          </w:p>
        </w:tc>
      </w:tr>
      <w:tr w:rsidR="00447B2B" w:rsidRPr="00E15DE7" w:rsidTr="006E154F"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(0.223)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(0.117)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(0.306)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(0.160)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(0.751)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(0.324)</w:t>
            </w:r>
          </w:p>
        </w:tc>
      </w:tr>
      <w:tr w:rsidR="00447B2B" w:rsidRPr="00E15DE7" w:rsidTr="006E154F"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Self-employment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-0.020*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0.009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-0.007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0.041**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0.076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-0.005</w:t>
            </w:r>
          </w:p>
        </w:tc>
      </w:tr>
      <w:tr w:rsidR="00447B2B" w:rsidRPr="00E15DE7" w:rsidTr="006E154F"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(0.012)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(0.009)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(0.014)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(0.016)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(0.056)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(0.019)</w:t>
            </w:r>
          </w:p>
        </w:tc>
      </w:tr>
      <w:tr w:rsidR="00447B2B" w:rsidRPr="00E15DE7" w:rsidTr="006E154F"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15DE7">
              <w:rPr>
                <w:rFonts w:ascii="Times New Roman" w:hAnsi="Times New Roman"/>
                <w:i/>
                <w:sz w:val="20"/>
                <w:szCs w:val="20"/>
              </w:rPr>
              <w:t>Group (ii)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7B2B" w:rsidRPr="00E15DE7" w:rsidTr="006E154F"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bCs/>
                <w:iCs/>
                <w:sz w:val="20"/>
                <w:szCs w:val="20"/>
              </w:rPr>
              <w:t>Share agriculture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-0.024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0.016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-0.022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0.004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-0.091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0.030</w:t>
            </w:r>
          </w:p>
        </w:tc>
      </w:tr>
      <w:tr w:rsidR="00447B2B" w:rsidRPr="00E15DE7" w:rsidTr="006E154F"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(0.020)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(0.016)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(0.026)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(0.038)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(0.083)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(0.034)</w:t>
            </w:r>
          </w:p>
        </w:tc>
      </w:tr>
      <w:tr w:rsidR="00447B2B" w:rsidRPr="00E15DE7" w:rsidTr="006E154F"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bCs/>
                <w:iCs/>
                <w:sz w:val="20"/>
                <w:szCs w:val="20"/>
              </w:rPr>
              <w:t>Share services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0.002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0.007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0.004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0.023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0.002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0.007</w:t>
            </w:r>
          </w:p>
        </w:tc>
      </w:tr>
      <w:tr w:rsidR="00447B2B" w:rsidRPr="00E15DE7" w:rsidTr="006E154F"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(0.018)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(0.012)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(0.026)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(0.027)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(0.036)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(0.022)</w:t>
            </w:r>
          </w:p>
        </w:tc>
      </w:tr>
      <w:tr w:rsidR="00447B2B" w:rsidRPr="00E15DE7" w:rsidTr="006E154F"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Per capita income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-0.021**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-0.007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-0.008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0.023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0.005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-0.014</w:t>
            </w:r>
          </w:p>
        </w:tc>
      </w:tr>
      <w:tr w:rsidR="00447B2B" w:rsidRPr="00E15DE7" w:rsidTr="006E154F"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(0.009)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(0.005)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(0.035)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(0.028)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(0.022)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(0.009)</w:t>
            </w:r>
          </w:p>
        </w:tc>
      </w:tr>
      <w:tr w:rsidR="00447B2B" w:rsidRPr="00E15DE7" w:rsidTr="006E154F"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15DE7">
              <w:rPr>
                <w:rFonts w:ascii="Times New Roman" w:hAnsi="Times New Roman"/>
                <w:i/>
                <w:sz w:val="20"/>
                <w:szCs w:val="20"/>
              </w:rPr>
              <w:t>Group (iii)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7B2B" w:rsidRPr="00E15DE7" w:rsidTr="006E154F"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Sec. education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-0.005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-0.004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-0.002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-0.005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-0.002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0.000</w:t>
            </w:r>
          </w:p>
        </w:tc>
      </w:tr>
      <w:tr w:rsidR="00447B2B" w:rsidRPr="00E15DE7" w:rsidTr="006E154F"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(0.007)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(0.004)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(0.010)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(0.008)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(0.014)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(0.007)</w:t>
            </w:r>
          </w:p>
        </w:tc>
      </w:tr>
      <w:tr w:rsidR="00447B2B" w:rsidRPr="00E15DE7" w:rsidTr="006E154F"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FDI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0.344***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0.066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0.235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0.004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0.125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0.070</w:t>
            </w:r>
          </w:p>
        </w:tc>
      </w:tr>
      <w:tr w:rsidR="00447B2B" w:rsidRPr="00E15DE7" w:rsidTr="006E154F"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(0.112)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(0.057)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(0.208)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(0.145)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(0.214)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(0.082)</w:t>
            </w:r>
          </w:p>
        </w:tc>
      </w:tr>
      <w:tr w:rsidR="00447B2B" w:rsidRPr="00E15DE7" w:rsidTr="006E154F"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Gov. cons.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-0.065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-0.327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0.819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0.395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-0.418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-0.814**</w:t>
            </w:r>
          </w:p>
        </w:tc>
      </w:tr>
      <w:tr w:rsidR="00447B2B" w:rsidRPr="00E15DE7" w:rsidTr="006E154F"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(0.383)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(0.210)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(0.546)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(0.334)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(0.790)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(0.315)</w:t>
            </w:r>
          </w:p>
        </w:tc>
      </w:tr>
      <w:tr w:rsidR="00447B2B" w:rsidRPr="00E15DE7" w:rsidTr="006E154F"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Female l. f. part.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0.031***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0.008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0.036***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0.002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0.065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0.034*</w:t>
            </w:r>
          </w:p>
        </w:tc>
      </w:tr>
      <w:tr w:rsidR="00447B2B" w:rsidRPr="00E15DE7" w:rsidTr="006E154F"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(0.010)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(0.005)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(0.012)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(0.008)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(0.045)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(0.019)</w:t>
            </w:r>
          </w:p>
        </w:tc>
      </w:tr>
      <w:tr w:rsidR="00447B2B" w:rsidRPr="00E15DE7" w:rsidTr="006E154F"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Constant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-2.428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1.890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-5.724*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-4.949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-6.545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2.443</w:t>
            </w:r>
          </w:p>
        </w:tc>
      </w:tr>
      <w:tr w:rsidR="00447B2B" w:rsidRPr="00E15DE7" w:rsidTr="006E154F"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(1.913)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(1.228)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(3.089)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(3.056)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(5.689)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(2.107)</w:t>
            </w:r>
          </w:p>
        </w:tc>
      </w:tr>
      <w:tr w:rsidR="00447B2B" w:rsidRPr="00E15DE7" w:rsidTr="006E154F"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7B2B" w:rsidRPr="00E15DE7" w:rsidTr="006E154F"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# Countries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447B2B" w:rsidRPr="00E15DE7" w:rsidTr="006E154F">
        <w:tblPrEx>
          <w:tblBorders>
            <w:bottom w:val="single" w:sz="6" w:space="0" w:color="auto"/>
          </w:tblBorders>
        </w:tblPrEx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R</w:t>
            </w:r>
            <w:r w:rsidRPr="00E15DE7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Pr="00E15DE7">
              <w:rPr>
                <w:rFonts w:ascii="Times New Roman" w:hAnsi="Times New Roman"/>
                <w:sz w:val="20"/>
                <w:szCs w:val="20"/>
              </w:rPr>
              <w:t xml:space="preserve"> Between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0.715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0.636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0.810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0.775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0.668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7B2B" w:rsidRPr="00E15DE7" w:rsidRDefault="00447B2B" w:rsidP="006E1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sz w:val="20"/>
                <w:szCs w:val="20"/>
              </w:rPr>
              <w:t>0.665</w:t>
            </w:r>
          </w:p>
        </w:tc>
      </w:tr>
      <w:tr w:rsidR="00447B2B" w:rsidRPr="00E15DE7" w:rsidTr="006E154F">
        <w:tblPrEx>
          <w:tblBorders>
            <w:bottom w:val="single" w:sz="6" w:space="0" w:color="auto"/>
          </w:tblBorders>
        </w:tblPrEx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single" w:sz="6" w:space="0" w:color="auto"/>
            </w:tcBorders>
          </w:tcPr>
          <w:p w:rsidR="00447B2B" w:rsidRPr="00E15DE7" w:rsidRDefault="00447B2B" w:rsidP="005A4D03">
            <w:pPr>
              <w:widowControl w:val="0"/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5DE7">
              <w:rPr>
                <w:rFonts w:ascii="Times New Roman" w:hAnsi="Times New Roman"/>
                <w:b/>
                <w:sz w:val="20"/>
                <w:szCs w:val="20"/>
              </w:rPr>
              <w:t>Notes:</w:t>
            </w:r>
            <w:r w:rsidRPr="00E15DE7">
              <w:rPr>
                <w:rFonts w:ascii="Times New Roman" w:hAnsi="Times New Roman"/>
                <w:sz w:val="20"/>
                <w:szCs w:val="20"/>
              </w:rPr>
              <w:t xml:space="preserve"> This table displays results from between-e</w:t>
            </w:r>
            <w:r>
              <w:rPr>
                <w:rFonts w:ascii="Times New Roman" w:hAnsi="Times New Roman"/>
                <w:sz w:val="20"/>
                <w:szCs w:val="20"/>
              </w:rPr>
              <w:t>stimator regressions, where all country data points are averaged over the years data were available for the country in question</w:t>
            </w:r>
            <w:r w:rsidRPr="00E15DE7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The number of observations in the between-estimator regressions thus equals the number of countries.</w:t>
            </w:r>
            <w:r w:rsidRPr="00E15DE7">
              <w:rPr>
                <w:rFonts w:ascii="Times New Roman" w:hAnsi="Times New Roman"/>
                <w:sz w:val="20"/>
                <w:szCs w:val="20"/>
              </w:rPr>
              <w:t xml:space="preserve"> Panels A, B and C present the results for all countries, the low-income and the high-income countries, respectively. Refer to </w:t>
            </w:r>
            <w:r w:rsidR="005A4D03">
              <w:rPr>
                <w:rFonts w:ascii="Times New Roman" w:hAnsi="Times New Roman"/>
                <w:sz w:val="20"/>
                <w:szCs w:val="20"/>
              </w:rPr>
              <w:t xml:space="preserve">Online </w:t>
            </w:r>
            <w:r w:rsidRPr="00E15DE7">
              <w:rPr>
                <w:rFonts w:ascii="Times New Roman" w:hAnsi="Times New Roman"/>
                <w:sz w:val="20"/>
                <w:szCs w:val="20"/>
              </w:rPr>
              <w:t>Appendix Table A</w:t>
            </w:r>
            <w:r w:rsidR="005A4D03">
              <w:rPr>
                <w:rFonts w:ascii="Times New Roman" w:hAnsi="Times New Roman"/>
                <w:sz w:val="20"/>
                <w:szCs w:val="20"/>
              </w:rPr>
              <w:t>2</w:t>
            </w:r>
            <w:r w:rsidRPr="00E15DE7">
              <w:rPr>
                <w:rFonts w:ascii="Times New Roman" w:hAnsi="Times New Roman"/>
                <w:sz w:val="20"/>
                <w:szCs w:val="20"/>
              </w:rPr>
              <w:t xml:space="preserve"> for country income classifications (low- versus high-income). The dependent variables are formal and informal entrepreneurship as defined in</w:t>
            </w:r>
            <w:r w:rsidR="005A4D03">
              <w:rPr>
                <w:rFonts w:ascii="Times New Roman" w:hAnsi="Times New Roman"/>
                <w:sz w:val="20"/>
                <w:szCs w:val="20"/>
              </w:rPr>
              <w:t xml:space="preserve"> Online Appendix</w:t>
            </w:r>
            <w:r w:rsidRPr="00E15DE7">
              <w:rPr>
                <w:rFonts w:ascii="Times New Roman" w:hAnsi="Times New Roman"/>
                <w:sz w:val="20"/>
                <w:szCs w:val="20"/>
              </w:rPr>
              <w:t xml:space="preserve"> Table </w:t>
            </w:r>
            <w:r w:rsidR="005A4D03">
              <w:rPr>
                <w:rFonts w:ascii="Times New Roman" w:hAnsi="Times New Roman"/>
                <w:sz w:val="20"/>
                <w:szCs w:val="20"/>
              </w:rPr>
              <w:t>A</w:t>
            </w:r>
            <w:r w:rsidRPr="00E15DE7">
              <w:rPr>
                <w:rFonts w:ascii="Times New Roman" w:hAnsi="Times New Roman"/>
                <w:sz w:val="20"/>
                <w:szCs w:val="20"/>
              </w:rPr>
              <w:t xml:space="preserve">1. Refer to </w:t>
            </w:r>
            <w:r w:rsidR="005A4D03">
              <w:rPr>
                <w:rFonts w:ascii="Times New Roman" w:hAnsi="Times New Roman"/>
                <w:sz w:val="20"/>
                <w:szCs w:val="20"/>
              </w:rPr>
              <w:t>Online Appendix</w:t>
            </w:r>
            <w:r w:rsidR="005A4D03" w:rsidRPr="00E15DE7">
              <w:rPr>
                <w:rFonts w:ascii="Times New Roman" w:hAnsi="Times New Roman"/>
                <w:sz w:val="20"/>
                <w:szCs w:val="20"/>
              </w:rPr>
              <w:t xml:space="preserve"> Table </w:t>
            </w:r>
            <w:r w:rsidR="005A4D03">
              <w:rPr>
                <w:rFonts w:ascii="Times New Roman" w:hAnsi="Times New Roman"/>
                <w:sz w:val="20"/>
                <w:szCs w:val="20"/>
              </w:rPr>
              <w:t>A</w:t>
            </w:r>
            <w:r w:rsidR="005A4D03" w:rsidRPr="00E15DE7">
              <w:rPr>
                <w:rFonts w:ascii="Times New Roman" w:hAnsi="Times New Roman"/>
                <w:sz w:val="20"/>
                <w:szCs w:val="20"/>
              </w:rPr>
              <w:t>1</w:t>
            </w:r>
            <w:r w:rsidRPr="00E15DE7">
              <w:rPr>
                <w:rFonts w:ascii="Times New Roman" w:hAnsi="Times New Roman"/>
                <w:sz w:val="20"/>
                <w:szCs w:val="20"/>
              </w:rPr>
              <w:t xml:space="preserve"> for detailed variable definitions. Standard errors in parentheses. *, ** and *** indicates significance at the 10, 5 and 1 percent level respectively.</w:t>
            </w:r>
          </w:p>
        </w:tc>
      </w:tr>
    </w:tbl>
    <w:p w:rsidR="00447B2B" w:rsidRDefault="00447B2B" w:rsidP="00447B2B">
      <w:pPr>
        <w:rPr>
          <w:rFonts w:ascii="Times New Roman" w:hAnsi="Times New Roman"/>
          <w:sz w:val="24"/>
          <w:szCs w:val="24"/>
        </w:rPr>
      </w:pPr>
    </w:p>
    <w:p w:rsidR="00150F94" w:rsidRDefault="00150F94" w:rsidP="00802509">
      <w:pPr>
        <w:rPr>
          <w:rFonts w:ascii="Times New Roman" w:hAnsi="Times New Roman"/>
          <w:sz w:val="24"/>
          <w:szCs w:val="24"/>
        </w:rPr>
        <w:sectPr w:rsidR="00150F94" w:rsidSect="00447B2B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3970AC" w:rsidRDefault="00DC05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Robustness test using WGI subindices</w:t>
      </w:r>
    </w:p>
    <w:p w:rsidR="00DC05B1" w:rsidRPr="00DC05B1" w:rsidRDefault="00DC05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order to shed more light on the results for the overall WGI index, we ran 36</w:t>
      </w:r>
      <w:r w:rsidRPr="00DC05B1">
        <w:rPr>
          <w:rFonts w:ascii="Times New Roman" w:hAnsi="Times New Roman" w:cs="Times New Roman"/>
          <w:sz w:val="24"/>
          <w:szCs w:val="24"/>
        </w:rPr>
        <w:t xml:space="preserve"> additional regressions replacing the overall WGI index by its six subindices as outlined in Online </w:t>
      </w:r>
      <w:r w:rsidRPr="00DC05B1">
        <w:rPr>
          <w:rFonts w:ascii="Times New Roman" w:hAnsi="Times New Roman"/>
          <w:sz w:val="24"/>
          <w:szCs w:val="24"/>
        </w:rPr>
        <w:t xml:space="preserve">Appendix Table A1 </w:t>
      </w:r>
      <w:r w:rsidRPr="00DC05B1">
        <w:rPr>
          <w:rFonts w:ascii="Times New Roman" w:hAnsi="Times New Roman" w:cs="Times New Roman"/>
          <w:sz w:val="24"/>
          <w:szCs w:val="24"/>
        </w:rPr>
        <w:t xml:space="preserve">(for each of the six models in Table 3, i.e. 36 regressions in total). This revealed the following patterns. In Model (1), explaining formal entrepreneurship for the all-country sample, the positive sign for the WGI index in </w:t>
      </w:r>
      <w:r w:rsidRPr="00DC05B1">
        <w:rPr>
          <w:rFonts w:ascii="Times New Roman" w:hAnsi="Times New Roman" w:cs="Times New Roman"/>
          <w:sz w:val="24"/>
          <w:szCs w:val="24"/>
          <w:lang w:val="nl-NL"/>
        </w:rPr>
        <w:t>Table 3</w:t>
      </w:r>
      <w:r w:rsidRPr="00DC05B1">
        <w:rPr>
          <w:rFonts w:ascii="Times New Roman" w:hAnsi="Times New Roman" w:cs="Times New Roman"/>
          <w:sz w:val="24"/>
          <w:szCs w:val="24"/>
        </w:rPr>
        <w:t xml:space="preserve"> mainly reflects the effect of the WGI sub-index Political Stability and Absence of Violence/Terrorism (significant at 1% level) and, to a lesser extent, the sub-index of Voice and Accountability (significant at 10% level). The other four sub-indices were not significant in Model (1). An identical pattern was found in Model (3), explaining formal entrepreneurship for the low-income countries. In contrast, for Model (5), explaining formal entrepreneurship for the high-income countries, a more complex picture emerged where the positive sign in Table 3 reflects positive associations of five out of the six sub-indices, all of which are significant at 5% or 1% significance level. Only the Political Stability and Absence of Violence/Terrorism sub-index was found not to be related to formal entrepreneurship in Model (5). Finally, the non-significant coefficients for WGI in Models (2), (4) and (6) in Table 3, explaining informal entrepreneurship, are confirmed when considering separate subindices. F</w:t>
      </w:r>
      <w:r w:rsidRPr="00DC05B1">
        <w:rPr>
          <w:rFonts w:ascii="Times New Roman" w:hAnsi="Times New Roman"/>
          <w:sz w:val="24"/>
          <w:szCs w:val="24"/>
        </w:rPr>
        <w:t>ull regression results for these exercises are available on request from the authors.</w:t>
      </w:r>
    </w:p>
    <w:sectPr w:rsidR="00DC05B1" w:rsidRPr="00DC05B1" w:rsidSect="00DC05B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0AC"/>
    <w:rsid w:val="000E6B94"/>
    <w:rsid w:val="00150F94"/>
    <w:rsid w:val="0016653A"/>
    <w:rsid w:val="003970AC"/>
    <w:rsid w:val="003D6CE2"/>
    <w:rsid w:val="00447B2B"/>
    <w:rsid w:val="00552D62"/>
    <w:rsid w:val="005A4D03"/>
    <w:rsid w:val="006B5BAA"/>
    <w:rsid w:val="006E154F"/>
    <w:rsid w:val="00802509"/>
    <w:rsid w:val="009C149F"/>
    <w:rsid w:val="009D4010"/>
    <w:rsid w:val="009F3B22"/>
    <w:rsid w:val="00A02EA6"/>
    <w:rsid w:val="00DC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noProof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47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ata.worldbank.org/income-leve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1786</Words>
  <Characters>9826</Characters>
  <Application>Microsoft Office Word</Application>
  <DocSecurity>0</DocSecurity>
  <Lines>81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2021-06-30T12:31:00Z</dcterms:created>
  <dcterms:modified xsi:type="dcterms:W3CDTF">2021-07-07T12:53:00Z</dcterms:modified>
</cp:coreProperties>
</file>