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031D1480" w14:textId="2ED9AD19" w:rsidR="005D3095" w:rsidRDefault="007108FE">
      <w:pPr>
        <w:rPr>
          <w:rFonts w:ascii="times roman" w:hAnsi="times roman" w:cs="Times New Roman" w:hint="eastAsia"/>
          <w:b/>
          <w:sz w:val="20"/>
          <w:szCs w:val="20"/>
        </w:rPr>
      </w:pPr>
      <w:r>
        <w:rPr>
          <w:rFonts w:ascii="times roman" w:hAnsi="times roman" w:cs="Times New Roman"/>
          <w:b/>
          <w:sz w:val="20"/>
          <w:szCs w:val="20"/>
        </w:rPr>
        <w:t xml:space="preserve">Online </w:t>
      </w:r>
      <w:r w:rsidR="00A649CF" w:rsidRPr="008C2BED">
        <w:rPr>
          <w:rFonts w:ascii="times roman" w:hAnsi="times roman" w:cs="Times New Roman"/>
          <w:b/>
          <w:sz w:val="20"/>
          <w:szCs w:val="20"/>
        </w:rPr>
        <w:t>Appendix</w:t>
      </w:r>
    </w:p>
    <w:p w14:paraId="2D96927B" w14:textId="3B18D373" w:rsidR="002C0058" w:rsidRDefault="00180793">
      <w:pPr>
        <w:rPr>
          <w:rFonts w:ascii="times roman" w:hAnsi="times roman" w:cs="Times New Roman" w:hint="eastAsia"/>
          <w:bCs/>
          <w:sz w:val="20"/>
          <w:szCs w:val="20"/>
        </w:rPr>
      </w:pPr>
      <w:r>
        <w:rPr>
          <w:rFonts w:ascii="times roman" w:hAnsi="times roman" w:cs="Times New Roman"/>
          <w:bCs/>
          <w:sz w:val="20"/>
          <w:szCs w:val="20"/>
        </w:rPr>
        <w:t xml:space="preserve">Appendix A: </w:t>
      </w:r>
      <w:r w:rsidR="00CB7E1C">
        <w:rPr>
          <w:rFonts w:ascii="times roman" w:hAnsi="times roman" w:cs="Times New Roman"/>
          <w:bCs/>
          <w:sz w:val="20"/>
          <w:szCs w:val="20"/>
        </w:rPr>
        <w:t>Descriptive statistics</w:t>
      </w:r>
      <w:r w:rsidR="00D20491">
        <w:rPr>
          <w:rFonts w:ascii="times roman" w:hAnsi="times roman" w:cs="Times New Roman"/>
          <w:bCs/>
          <w:sz w:val="20"/>
          <w:szCs w:val="20"/>
        </w:rPr>
        <w:t xml:space="preserve"> for</w:t>
      </w:r>
      <w:r w:rsidR="00796C73">
        <w:rPr>
          <w:rFonts w:ascii="times roman" w:hAnsi="times roman" w:cs="Times New Roman"/>
          <w:bCs/>
          <w:sz w:val="20"/>
          <w:szCs w:val="20"/>
        </w:rPr>
        <w:t xml:space="preserve"> </w:t>
      </w:r>
      <w:r w:rsidR="00D20491">
        <w:rPr>
          <w:rFonts w:ascii="times roman" w:hAnsi="times roman" w:cs="Times New Roman"/>
          <w:bCs/>
          <w:sz w:val="20"/>
          <w:szCs w:val="20"/>
        </w:rPr>
        <w:t xml:space="preserve">the </w:t>
      </w:r>
      <w:r w:rsidR="00EF2CE2">
        <w:rPr>
          <w:rFonts w:ascii="times roman" w:hAnsi="times roman" w:cs="Times New Roman"/>
          <w:bCs/>
          <w:sz w:val="20"/>
          <w:szCs w:val="20"/>
        </w:rPr>
        <w:t>treated</w:t>
      </w:r>
      <w:r>
        <w:rPr>
          <w:rFonts w:ascii="times roman" w:hAnsi="times roman" w:cs="Times New Roman"/>
          <w:bCs/>
          <w:sz w:val="20"/>
          <w:szCs w:val="20"/>
        </w:rPr>
        <w:t xml:space="preserve"> </w:t>
      </w:r>
      <w:r w:rsidR="00D20491">
        <w:rPr>
          <w:rFonts w:ascii="times roman" w:hAnsi="times roman" w:cs="Times New Roman"/>
          <w:bCs/>
          <w:sz w:val="20"/>
          <w:szCs w:val="20"/>
        </w:rPr>
        <w:t xml:space="preserve">and </w:t>
      </w:r>
      <w:r w:rsidR="00EF2CE2">
        <w:rPr>
          <w:rFonts w:ascii="times roman" w:hAnsi="times roman" w:cs="Times New Roman"/>
          <w:bCs/>
          <w:sz w:val="20"/>
          <w:szCs w:val="20"/>
        </w:rPr>
        <w:t>control</w:t>
      </w:r>
      <w:r w:rsidR="00D20491">
        <w:rPr>
          <w:rFonts w:ascii="times roman" w:hAnsi="times roman" w:cs="Times New Roman"/>
          <w:bCs/>
          <w:sz w:val="20"/>
          <w:szCs w:val="20"/>
        </w:rPr>
        <w:t xml:space="preserve"> firm</w:t>
      </w:r>
      <w:r w:rsidR="00796C73">
        <w:rPr>
          <w:rFonts w:ascii="times roman" w:hAnsi="times roman" w:cs="Times New Roman"/>
          <w:bCs/>
          <w:sz w:val="20"/>
          <w:szCs w:val="20"/>
        </w:rPr>
        <w:t>s</w:t>
      </w:r>
    </w:p>
    <w:p w14:paraId="7BCA1F1A" w14:textId="696B6DBB" w:rsidR="00796C73" w:rsidRDefault="00796C73">
      <w:pPr>
        <w:rPr>
          <w:rFonts w:ascii="times roman" w:hAnsi="times roman" w:cs="Times New Roman" w:hint="eastAsia"/>
          <w:bCs/>
          <w:sz w:val="20"/>
          <w:szCs w:val="20"/>
        </w:rPr>
      </w:pPr>
    </w:p>
    <w:p w14:paraId="595D9AA4" w14:textId="252944E5" w:rsidR="00420A66" w:rsidRDefault="00420A66">
      <w:pPr>
        <w:rPr>
          <w:rFonts w:ascii="times roman" w:hAnsi="times roman" w:cs="Times New Roman" w:hint="eastAsia"/>
          <w:bCs/>
          <w:sz w:val="20"/>
          <w:szCs w:val="20"/>
        </w:rPr>
      </w:pPr>
      <w:r>
        <w:rPr>
          <w:rFonts w:ascii="times roman" w:hAnsi="times roman" w:cs="Times New Roman"/>
          <w:bCs/>
          <w:sz w:val="20"/>
          <w:szCs w:val="20"/>
        </w:rPr>
        <w:t>Panel A: Eligible and non-eligible firms</w:t>
      </w:r>
    </w:p>
    <w:p w14:paraId="64E032AD" w14:textId="441D7350" w:rsidR="00180793" w:rsidRPr="00796C73" w:rsidRDefault="00796C73">
      <w:pPr>
        <w:rPr>
          <w:rFonts w:ascii="times roman" w:hAnsi="times roman" w:cs="Times New Roman" w:hint="eastAsia"/>
          <w:bCs/>
          <w:sz w:val="20"/>
          <w:szCs w:val="20"/>
        </w:rPr>
      </w:pPr>
      <w:r w:rsidRPr="00796C73">
        <w:rPr>
          <w:noProof/>
        </w:rPr>
        <w:drawing>
          <wp:inline distT="0" distB="0" distL="0" distR="0" wp14:anchorId="561CF116" wp14:editId="117156D9">
            <wp:extent cx="5073650" cy="1263650"/>
            <wp:effectExtent l="0" t="0" r="0"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73650" cy="1263650"/>
                    </a:xfrm>
                    <a:prstGeom prst="rect">
                      <a:avLst/>
                    </a:prstGeom>
                    <a:noFill/>
                    <a:ln>
                      <a:noFill/>
                    </a:ln>
                  </pic:spPr>
                </pic:pic>
              </a:graphicData>
            </a:graphic>
          </wp:inline>
        </w:drawing>
      </w:r>
    </w:p>
    <w:p w14:paraId="14C3743F" w14:textId="72321EBB" w:rsidR="00796C73" w:rsidRDefault="00796C73">
      <w:pPr>
        <w:rPr>
          <w:rFonts w:ascii="times roman" w:hAnsi="times roman" w:cs="Times New Roman" w:hint="eastAsia"/>
          <w:sz w:val="20"/>
          <w:szCs w:val="20"/>
        </w:rPr>
      </w:pPr>
    </w:p>
    <w:p w14:paraId="07D1EDA3" w14:textId="0C5C6755" w:rsidR="00420A66" w:rsidRDefault="00420A66">
      <w:pPr>
        <w:rPr>
          <w:rFonts w:ascii="times roman" w:hAnsi="times roman" w:cs="Times New Roman" w:hint="eastAsia"/>
          <w:sz w:val="20"/>
          <w:szCs w:val="20"/>
        </w:rPr>
      </w:pPr>
      <w:r>
        <w:rPr>
          <w:rFonts w:ascii="times roman" w:hAnsi="times roman" w:cs="Times New Roman" w:hint="eastAsia"/>
          <w:sz w:val="20"/>
          <w:szCs w:val="20"/>
        </w:rPr>
        <w:t>P</w:t>
      </w:r>
      <w:r>
        <w:rPr>
          <w:rFonts w:ascii="times roman" w:hAnsi="times roman" w:cs="Times New Roman"/>
          <w:sz w:val="20"/>
          <w:szCs w:val="20"/>
        </w:rPr>
        <w:t xml:space="preserve">anel B: </w:t>
      </w:r>
      <w:r w:rsidRPr="00420A66">
        <w:rPr>
          <w:rFonts w:ascii="times roman" w:hAnsi="times roman" w:cs="Times New Roman"/>
          <w:sz w:val="20"/>
          <w:szCs w:val="20"/>
        </w:rPr>
        <w:t xml:space="preserve">2014 users </w:t>
      </w:r>
      <w:r>
        <w:rPr>
          <w:rFonts w:ascii="times roman" w:hAnsi="times roman" w:cs="Times New Roman"/>
          <w:sz w:val="20"/>
          <w:szCs w:val="20"/>
        </w:rPr>
        <w:t>and</w:t>
      </w:r>
      <w:r w:rsidRPr="00420A66">
        <w:rPr>
          <w:rFonts w:ascii="times roman" w:hAnsi="times roman" w:cs="Times New Roman"/>
          <w:sz w:val="20"/>
          <w:szCs w:val="20"/>
        </w:rPr>
        <w:t xml:space="preserve"> non-eligible firms</w:t>
      </w:r>
    </w:p>
    <w:p w14:paraId="747A8D62" w14:textId="2132B273" w:rsidR="00420A66" w:rsidRDefault="00420A66">
      <w:pPr>
        <w:rPr>
          <w:rFonts w:ascii="times roman" w:hAnsi="times roman" w:cs="Times New Roman" w:hint="eastAsia"/>
          <w:sz w:val="20"/>
          <w:szCs w:val="20"/>
        </w:rPr>
      </w:pPr>
      <w:r w:rsidRPr="00420A66">
        <w:rPr>
          <w:noProof/>
        </w:rPr>
        <w:drawing>
          <wp:inline distT="0" distB="0" distL="0" distR="0" wp14:anchorId="30B7C33D" wp14:editId="0ECE7387">
            <wp:extent cx="5073650" cy="1263650"/>
            <wp:effectExtent l="0" t="0" r="0" b="0"/>
            <wp:docPr id="16"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73650" cy="1263650"/>
                    </a:xfrm>
                    <a:prstGeom prst="rect">
                      <a:avLst/>
                    </a:prstGeom>
                    <a:noFill/>
                    <a:ln>
                      <a:noFill/>
                    </a:ln>
                  </pic:spPr>
                </pic:pic>
              </a:graphicData>
            </a:graphic>
          </wp:inline>
        </w:drawing>
      </w:r>
    </w:p>
    <w:p w14:paraId="5B23EF42" w14:textId="77777777" w:rsidR="00420A66" w:rsidRPr="00420A66" w:rsidRDefault="00420A66">
      <w:pPr>
        <w:rPr>
          <w:rFonts w:ascii="times roman" w:hAnsi="times roman" w:cs="Times New Roman" w:hint="eastAsia"/>
          <w:sz w:val="20"/>
          <w:szCs w:val="20"/>
        </w:rPr>
      </w:pPr>
    </w:p>
    <w:p w14:paraId="3AAA688D" w14:textId="2D800F60" w:rsidR="00420A66" w:rsidRDefault="00420A66">
      <w:pPr>
        <w:rPr>
          <w:rFonts w:ascii="times roman" w:hAnsi="times roman" w:cs="Times New Roman" w:hint="eastAsia"/>
          <w:sz w:val="20"/>
          <w:szCs w:val="20"/>
        </w:rPr>
      </w:pPr>
      <w:r>
        <w:rPr>
          <w:rFonts w:ascii="times roman" w:hAnsi="times roman" w:cs="Times New Roman" w:hint="eastAsia"/>
          <w:sz w:val="20"/>
          <w:szCs w:val="20"/>
        </w:rPr>
        <w:t>P</w:t>
      </w:r>
      <w:r>
        <w:rPr>
          <w:rFonts w:ascii="times roman" w:hAnsi="times roman" w:cs="Times New Roman"/>
          <w:sz w:val="20"/>
          <w:szCs w:val="20"/>
        </w:rPr>
        <w:t xml:space="preserve">anel C: </w:t>
      </w:r>
      <w:r w:rsidRPr="00420A66">
        <w:rPr>
          <w:rFonts w:ascii="times roman" w:hAnsi="times roman" w:cs="Times New Roman"/>
          <w:sz w:val="20"/>
          <w:szCs w:val="20"/>
        </w:rPr>
        <w:t xml:space="preserve">2015 users </w:t>
      </w:r>
      <w:r>
        <w:rPr>
          <w:rFonts w:ascii="times roman" w:hAnsi="times roman" w:cs="Times New Roman"/>
          <w:sz w:val="20"/>
          <w:szCs w:val="20"/>
        </w:rPr>
        <w:t>and</w:t>
      </w:r>
      <w:r w:rsidRPr="00420A66">
        <w:rPr>
          <w:rFonts w:ascii="times roman" w:hAnsi="times roman" w:cs="Times New Roman"/>
          <w:sz w:val="20"/>
          <w:szCs w:val="20"/>
        </w:rPr>
        <w:t xml:space="preserve"> non-eligible firms</w:t>
      </w:r>
    </w:p>
    <w:p w14:paraId="24DAA706" w14:textId="336DD9AF" w:rsidR="00420A66" w:rsidRDefault="00420A66">
      <w:pPr>
        <w:rPr>
          <w:rFonts w:ascii="times roman" w:hAnsi="times roman" w:cs="Times New Roman" w:hint="eastAsia"/>
          <w:sz w:val="20"/>
          <w:szCs w:val="20"/>
        </w:rPr>
      </w:pPr>
      <w:r w:rsidRPr="00420A66">
        <w:rPr>
          <w:rFonts w:hint="eastAsia"/>
          <w:noProof/>
        </w:rPr>
        <w:drawing>
          <wp:inline distT="0" distB="0" distL="0" distR="0" wp14:anchorId="7FCFAF63" wp14:editId="6E0A2A09">
            <wp:extent cx="5073650" cy="1263650"/>
            <wp:effectExtent l="0" t="0" r="0" b="0"/>
            <wp:docPr id="17" name="図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73650" cy="1263650"/>
                    </a:xfrm>
                    <a:prstGeom prst="rect">
                      <a:avLst/>
                    </a:prstGeom>
                    <a:noFill/>
                    <a:ln>
                      <a:noFill/>
                    </a:ln>
                  </pic:spPr>
                </pic:pic>
              </a:graphicData>
            </a:graphic>
          </wp:inline>
        </w:drawing>
      </w:r>
    </w:p>
    <w:p w14:paraId="30FE6909" w14:textId="52F06449" w:rsidR="00AB2CCC" w:rsidRDefault="00AB2CCC" w:rsidP="00AB2CCC">
      <w:pPr>
        <w:rPr>
          <w:rFonts w:ascii="times roman" w:hAnsi="times roman" w:cs="Times New Roman" w:hint="eastAsia"/>
          <w:sz w:val="20"/>
          <w:szCs w:val="20"/>
        </w:rPr>
      </w:pPr>
      <w:r w:rsidRPr="008C2BED">
        <w:rPr>
          <w:rFonts w:ascii="times roman" w:hAnsi="times roman" w:cs="Times New Roman"/>
          <w:sz w:val="20"/>
          <w:szCs w:val="20"/>
        </w:rPr>
        <w:t xml:space="preserve">Notes: INVRATE is defined as investment divided by the lagged tangible fixed assets. Eligible is a dummy that takes one if firm i is eligible to use the SME tax incentive and zero </w:t>
      </w:r>
      <w:r>
        <w:rPr>
          <w:rFonts w:ascii="times roman" w:hAnsi="times roman" w:cs="Times New Roman"/>
          <w:sz w:val="20"/>
          <w:szCs w:val="20"/>
        </w:rPr>
        <w:t>otherwise</w:t>
      </w:r>
      <w:r w:rsidRPr="008C2BED">
        <w:rPr>
          <w:rFonts w:ascii="times roman" w:hAnsi="times roman" w:cs="Times New Roman"/>
          <w:sz w:val="20"/>
          <w:szCs w:val="20"/>
        </w:rPr>
        <w:t xml:space="preserve">. </w:t>
      </w:r>
      <w:r w:rsidR="008E5490" w:rsidRPr="008C2BED">
        <w:rPr>
          <w:rFonts w:ascii="times roman" w:hAnsi="times roman" w:cs="Times New Roman"/>
          <w:sz w:val="20"/>
          <w:szCs w:val="20"/>
        </w:rPr>
        <w:t xml:space="preserve">User is a dummy variable that takes one if </w:t>
      </w:r>
      <w:r w:rsidR="008E5490" w:rsidRPr="002F75DD">
        <w:rPr>
          <w:rFonts w:ascii="times roman" w:hAnsi="times roman" w:cs="Times New Roman"/>
          <w:sz w:val="20"/>
          <w:szCs w:val="20"/>
        </w:rPr>
        <w:t>firm i first used the tax incentive in 2014 (or 2015) and zero if it is not eligible to use the tax incentive.</w:t>
      </w:r>
      <w:r w:rsidR="008E5490" w:rsidRPr="002F75DD">
        <w:rPr>
          <w:rFonts w:ascii="times roman" w:hAnsi="times roman" w:cs="Times New Roman" w:hint="eastAsia"/>
          <w:sz w:val="20"/>
          <w:szCs w:val="20"/>
        </w:rPr>
        <w:t xml:space="preserve"> </w:t>
      </w:r>
      <w:r w:rsidRPr="002F75DD">
        <w:rPr>
          <w:rFonts w:ascii="times roman" w:hAnsi="times roman" w:cs="Times New Roman"/>
          <w:sz w:val="20"/>
          <w:szCs w:val="20"/>
        </w:rPr>
        <w:t>Profitability is the operating profit divided by the tangible fixed assets.</w:t>
      </w:r>
      <w:r w:rsidR="00623492" w:rsidRPr="002F75DD">
        <w:rPr>
          <w:rFonts w:ascii="times roman" w:hAnsi="times roman" w:cs="Times New Roman"/>
          <w:sz w:val="20"/>
          <w:szCs w:val="20"/>
        </w:rPr>
        <w:t xml:space="preserve"> The null hypothesis that the difference between </w:t>
      </w:r>
      <w:r w:rsidR="00D92FAE" w:rsidRPr="002F75DD">
        <w:rPr>
          <w:rFonts w:ascii="times roman" w:hAnsi="times roman" w:cs="Times New Roman"/>
          <w:sz w:val="20"/>
          <w:szCs w:val="20"/>
        </w:rPr>
        <w:t>Eligible (</w:t>
      </w:r>
      <w:r w:rsidR="00623492" w:rsidRPr="002F75DD">
        <w:rPr>
          <w:rFonts w:ascii="times roman" w:hAnsi="times roman" w:cs="Times New Roman"/>
          <w:sz w:val="20"/>
          <w:szCs w:val="20"/>
        </w:rPr>
        <w:t>User</w:t>
      </w:r>
      <w:r w:rsidR="00D92FAE" w:rsidRPr="002F75DD">
        <w:rPr>
          <w:rFonts w:ascii="times roman" w:hAnsi="times roman" w:cs="Times New Roman"/>
          <w:sz w:val="20"/>
          <w:szCs w:val="20"/>
        </w:rPr>
        <w:t>)</w:t>
      </w:r>
      <w:r w:rsidR="00623492" w:rsidRPr="002F75DD">
        <w:rPr>
          <w:rFonts w:ascii="times roman" w:hAnsi="times roman" w:cs="Times New Roman"/>
          <w:sz w:val="20"/>
          <w:szCs w:val="20"/>
        </w:rPr>
        <w:t xml:space="preserve">=1 and </w:t>
      </w:r>
      <w:r w:rsidR="00D92FAE" w:rsidRPr="002F75DD">
        <w:rPr>
          <w:rFonts w:ascii="times roman" w:hAnsi="times roman" w:cs="Times New Roman"/>
          <w:sz w:val="20"/>
          <w:szCs w:val="20"/>
        </w:rPr>
        <w:t>Eligible (</w:t>
      </w:r>
      <w:r w:rsidR="00623492" w:rsidRPr="002F75DD">
        <w:rPr>
          <w:rFonts w:ascii="times roman" w:hAnsi="times roman" w:cs="Times New Roman"/>
          <w:sz w:val="20"/>
          <w:szCs w:val="20"/>
        </w:rPr>
        <w:t>User</w:t>
      </w:r>
      <w:r w:rsidR="00D92FAE" w:rsidRPr="002F75DD">
        <w:rPr>
          <w:rFonts w:ascii="times roman" w:hAnsi="times roman" w:cs="Times New Roman"/>
          <w:sz w:val="20"/>
          <w:szCs w:val="20"/>
        </w:rPr>
        <w:t>)</w:t>
      </w:r>
      <w:r w:rsidR="00623492" w:rsidRPr="002F75DD">
        <w:rPr>
          <w:rFonts w:ascii="times roman" w:hAnsi="times roman" w:cs="Times New Roman"/>
          <w:sz w:val="20"/>
          <w:szCs w:val="20"/>
        </w:rPr>
        <w:t>=0 is zero is tested. ***, **, and * indicates statistical significance at the 1%, 5%, and 10% level respectively.</w:t>
      </w:r>
    </w:p>
    <w:p w14:paraId="1844E7AB" w14:textId="77777777" w:rsidR="00AB2CCC" w:rsidRPr="00AB2CCC" w:rsidRDefault="00AB2CCC">
      <w:pPr>
        <w:rPr>
          <w:rFonts w:ascii="times roman" w:hAnsi="times roman" w:cs="Times New Roman" w:hint="eastAsia"/>
          <w:sz w:val="20"/>
          <w:szCs w:val="20"/>
        </w:rPr>
      </w:pPr>
    </w:p>
    <w:p w14:paraId="16BEAB21" w14:textId="09DDD729" w:rsidR="00826BBA" w:rsidRDefault="00826BBA">
      <w:pPr>
        <w:widowControl/>
        <w:jc w:val="left"/>
        <w:rPr>
          <w:rFonts w:ascii="times roman" w:hAnsi="times roman" w:cs="Times New Roman" w:hint="eastAsia"/>
          <w:bCs/>
          <w:sz w:val="20"/>
          <w:szCs w:val="20"/>
        </w:rPr>
      </w:pPr>
      <w:r>
        <w:rPr>
          <w:rFonts w:ascii="times roman" w:hAnsi="times roman" w:cs="Times New Roman" w:hint="eastAsia"/>
          <w:bCs/>
          <w:sz w:val="20"/>
          <w:szCs w:val="20"/>
        </w:rPr>
        <w:br w:type="page"/>
      </w:r>
    </w:p>
    <w:p w14:paraId="03CC705D" w14:textId="06C17711" w:rsidR="002E5A7A" w:rsidRDefault="002E5A7A">
      <w:pPr>
        <w:rPr>
          <w:rFonts w:ascii="times roman" w:hAnsi="times roman" w:cs="Times New Roman" w:hint="eastAsia"/>
          <w:bCs/>
          <w:sz w:val="20"/>
          <w:szCs w:val="20"/>
        </w:rPr>
      </w:pPr>
      <w:r>
        <w:rPr>
          <w:rFonts w:ascii="times roman" w:hAnsi="times roman" w:cs="Times New Roman"/>
          <w:bCs/>
          <w:sz w:val="20"/>
          <w:szCs w:val="20"/>
        </w:rPr>
        <w:lastRenderedPageBreak/>
        <w:t xml:space="preserve">Appendix </w:t>
      </w:r>
      <w:r w:rsidR="00826BBA">
        <w:rPr>
          <w:rFonts w:ascii="times roman" w:hAnsi="times roman" w:cs="Times New Roman"/>
          <w:bCs/>
          <w:sz w:val="20"/>
          <w:szCs w:val="20"/>
        </w:rPr>
        <w:t>B</w:t>
      </w:r>
      <w:r>
        <w:rPr>
          <w:rFonts w:ascii="times roman" w:hAnsi="times roman" w:cs="Times New Roman"/>
          <w:bCs/>
          <w:sz w:val="20"/>
          <w:szCs w:val="20"/>
        </w:rPr>
        <w:t xml:space="preserve">: </w:t>
      </w:r>
      <w:r w:rsidRPr="002E5A7A">
        <w:rPr>
          <w:rFonts w:ascii="times roman" w:hAnsi="times roman" w:cs="Times New Roman"/>
          <w:bCs/>
          <w:sz w:val="20"/>
          <w:szCs w:val="20"/>
        </w:rPr>
        <w:t xml:space="preserve">Treatment effect of the tax incentive on </w:t>
      </w:r>
      <w:r w:rsidR="00DB5CF2">
        <w:rPr>
          <w:rFonts w:ascii="times roman" w:hAnsi="times roman" w:cs="Times New Roman"/>
          <w:bCs/>
          <w:sz w:val="20"/>
          <w:szCs w:val="20"/>
        </w:rPr>
        <w:t>investment rate</w:t>
      </w:r>
      <w:r w:rsidRPr="002E5A7A">
        <w:rPr>
          <w:rFonts w:ascii="times roman" w:hAnsi="times roman" w:cs="Times New Roman"/>
          <w:bCs/>
          <w:sz w:val="20"/>
          <w:szCs w:val="20"/>
        </w:rPr>
        <w:t xml:space="preserve"> in each year: the results from using first use as the treatment. </w:t>
      </w:r>
    </w:p>
    <w:p w14:paraId="62CAFBC5" w14:textId="77777777" w:rsidR="002E5A7A" w:rsidRDefault="002E5A7A">
      <w:pPr>
        <w:rPr>
          <w:rFonts w:ascii="times roman" w:hAnsi="times roman" w:cs="Times New Roman" w:hint="eastAsia"/>
          <w:bCs/>
          <w:sz w:val="20"/>
          <w:szCs w:val="20"/>
        </w:rPr>
      </w:pPr>
    </w:p>
    <w:p w14:paraId="7520BF43" w14:textId="2E94ADF3" w:rsidR="002E5A7A" w:rsidRDefault="002E5A7A">
      <w:pPr>
        <w:rPr>
          <w:rFonts w:ascii="times roman" w:hAnsi="times roman" w:cs="Times New Roman" w:hint="eastAsia"/>
          <w:bCs/>
          <w:sz w:val="20"/>
          <w:szCs w:val="20"/>
        </w:rPr>
      </w:pPr>
      <w:r w:rsidRPr="008C2BED">
        <w:rPr>
          <w:rFonts w:ascii="times roman" w:hAnsi="times roman" w:cs="Times New Roman"/>
          <w:sz w:val="20"/>
          <w:szCs w:val="20"/>
        </w:rPr>
        <w:t>Panel A: 201</w:t>
      </w:r>
      <w:r>
        <w:rPr>
          <w:rFonts w:ascii="times roman" w:hAnsi="times roman" w:cs="Times New Roman"/>
          <w:sz w:val="20"/>
          <w:szCs w:val="20"/>
        </w:rPr>
        <w:t>6</w:t>
      </w:r>
      <w:r w:rsidRPr="008C2BED">
        <w:rPr>
          <w:rFonts w:ascii="times roman" w:hAnsi="times roman" w:cs="Times New Roman"/>
          <w:sz w:val="20"/>
          <w:szCs w:val="20"/>
        </w:rPr>
        <w:t xml:space="preserve"> users</w:t>
      </w:r>
    </w:p>
    <w:p w14:paraId="7FC9E0DD" w14:textId="36CA78D1" w:rsidR="002E5A7A" w:rsidRDefault="0005018D">
      <w:pPr>
        <w:rPr>
          <w:rFonts w:ascii="times roman" w:hAnsi="times roman" w:cs="Times New Roman" w:hint="eastAsia"/>
          <w:bCs/>
          <w:sz w:val="20"/>
          <w:szCs w:val="20"/>
        </w:rPr>
      </w:pPr>
      <w:r>
        <w:rPr>
          <w:rFonts w:ascii="times roman" w:hAnsi="times roman" w:cs="Times New Roman" w:hint="eastAsia"/>
          <w:bCs/>
          <w:noProof/>
          <w:sz w:val="20"/>
          <w:szCs w:val="20"/>
        </w:rPr>
        <w:drawing>
          <wp:inline distT="0" distB="0" distL="0" distR="0" wp14:anchorId="6569F9BB" wp14:editId="4340C7DE">
            <wp:extent cx="3968418" cy="2395070"/>
            <wp:effectExtent l="0" t="0" r="0" b="5715"/>
            <wp:docPr id="46" name="図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1742" cy="2415182"/>
                    </a:xfrm>
                    <a:prstGeom prst="rect">
                      <a:avLst/>
                    </a:prstGeom>
                    <a:noFill/>
                    <a:ln>
                      <a:noFill/>
                    </a:ln>
                  </pic:spPr>
                </pic:pic>
              </a:graphicData>
            </a:graphic>
          </wp:inline>
        </w:drawing>
      </w:r>
    </w:p>
    <w:p w14:paraId="39048874" w14:textId="77777777" w:rsidR="009F7D88" w:rsidRDefault="009F7D88">
      <w:pPr>
        <w:rPr>
          <w:rFonts w:ascii="times roman" w:hAnsi="times roman" w:cs="Times New Roman" w:hint="eastAsia"/>
          <w:sz w:val="20"/>
          <w:szCs w:val="20"/>
        </w:rPr>
      </w:pPr>
    </w:p>
    <w:p w14:paraId="2F238AE7" w14:textId="507BD0C2" w:rsidR="002E5A7A" w:rsidRDefault="002E5A7A">
      <w:pPr>
        <w:rPr>
          <w:rFonts w:ascii="times roman" w:hAnsi="times roman" w:cs="Times New Roman" w:hint="eastAsia"/>
          <w:bCs/>
          <w:sz w:val="20"/>
          <w:szCs w:val="20"/>
        </w:rPr>
      </w:pPr>
      <w:r w:rsidRPr="008C2BED">
        <w:rPr>
          <w:rFonts w:ascii="times roman" w:hAnsi="times roman" w:cs="Times New Roman"/>
          <w:sz w:val="20"/>
          <w:szCs w:val="20"/>
        </w:rPr>
        <w:t xml:space="preserve">Panel </w:t>
      </w:r>
      <w:r w:rsidR="0005018D">
        <w:rPr>
          <w:rFonts w:ascii="times roman" w:hAnsi="times roman" w:cs="Times New Roman"/>
          <w:sz w:val="20"/>
          <w:szCs w:val="20"/>
        </w:rPr>
        <w:t>B</w:t>
      </w:r>
      <w:r w:rsidRPr="008C2BED">
        <w:rPr>
          <w:rFonts w:ascii="times roman" w:hAnsi="times roman" w:cs="Times New Roman"/>
          <w:sz w:val="20"/>
          <w:szCs w:val="20"/>
        </w:rPr>
        <w:t>: 201</w:t>
      </w:r>
      <w:r>
        <w:rPr>
          <w:rFonts w:ascii="times roman" w:hAnsi="times roman" w:cs="Times New Roman"/>
          <w:sz w:val="20"/>
          <w:szCs w:val="20"/>
        </w:rPr>
        <w:t>7</w:t>
      </w:r>
      <w:r w:rsidRPr="008C2BED">
        <w:rPr>
          <w:rFonts w:ascii="times roman" w:hAnsi="times roman" w:cs="Times New Roman"/>
          <w:sz w:val="20"/>
          <w:szCs w:val="20"/>
        </w:rPr>
        <w:t xml:space="preserve"> users</w:t>
      </w:r>
    </w:p>
    <w:p w14:paraId="32BAF9A5" w14:textId="481C5E20" w:rsidR="002E5A7A" w:rsidRDefault="0005018D">
      <w:pPr>
        <w:rPr>
          <w:rFonts w:ascii="times roman" w:hAnsi="times roman" w:cs="Times New Roman" w:hint="eastAsia"/>
          <w:bCs/>
          <w:sz w:val="20"/>
          <w:szCs w:val="20"/>
        </w:rPr>
      </w:pPr>
      <w:r>
        <w:rPr>
          <w:rFonts w:ascii="times roman" w:hAnsi="times roman" w:cs="Times New Roman" w:hint="eastAsia"/>
          <w:bCs/>
          <w:noProof/>
          <w:sz w:val="20"/>
          <w:szCs w:val="20"/>
        </w:rPr>
        <w:drawing>
          <wp:inline distT="0" distB="0" distL="0" distR="0" wp14:anchorId="32F668F6" wp14:editId="17562E7B">
            <wp:extent cx="3960495" cy="2390286"/>
            <wp:effectExtent l="0" t="0" r="1905" b="0"/>
            <wp:docPr id="47" name="図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6803" cy="2406164"/>
                    </a:xfrm>
                    <a:prstGeom prst="rect">
                      <a:avLst/>
                    </a:prstGeom>
                    <a:noFill/>
                    <a:ln>
                      <a:noFill/>
                    </a:ln>
                  </pic:spPr>
                </pic:pic>
              </a:graphicData>
            </a:graphic>
          </wp:inline>
        </w:drawing>
      </w:r>
    </w:p>
    <w:p w14:paraId="08F4617E" w14:textId="77777777" w:rsidR="009F7D88" w:rsidRDefault="009F7D88">
      <w:pPr>
        <w:rPr>
          <w:rFonts w:ascii="times roman" w:hAnsi="times roman" w:cs="Times New Roman" w:hint="eastAsia"/>
          <w:sz w:val="20"/>
          <w:szCs w:val="20"/>
        </w:rPr>
      </w:pPr>
    </w:p>
    <w:p w14:paraId="17E1AC16" w14:textId="77777777" w:rsidR="00623492" w:rsidRDefault="00623492">
      <w:pPr>
        <w:widowControl/>
        <w:jc w:val="left"/>
        <w:rPr>
          <w:rFonts w:ascii="times roman" w:hAnsi="times roman" w:cs="Times New Roman" w:hint="eastAsia"/>
          <w:sz w:val="20"/>
          <w:szCs w:val="20"/>
        </w:rPr>
      </w:pPr>
      <w:r>
        <w:rPr>
          <w:rFonts w:ascii="times roman" w:hAnsi="times roman" w:cs="Times New Roman" w:hint="eastAsia"/>
          <w:sz w:val="20"/>
          <w:szCs w:val="20"/>
        </w:rPr>
        <w:br w:type="page"/>
      </w:r>
    </w:p>
    <w:p w14:paraId="05F792A6" w14:textId="7B58C745" w:rsidR="002E5A7A" w:rsidRDefault="002E5A7A">
      <w:pPr>
        <w:rPr>
          <w:rFonts w:ascii="times roman" w:hAnsi="times roman" w:cs="Times New Roman" w:hint="eastAsia"/>
          <w:sz w:val="20"/>
          <w:szCs w:val="20"/>
        </w:rPr>
      </w:pPr>
      <w:r w:rsidRPr="008C2BED">
        <w:rPr>
          <w:rFonts w:ascii="times roman" w:hAnsi="times roman" w:cs="Times New Roman"/>
          <w:sz w:val="20"/>
          <w:szCs w:val="20"/>
        </w:rPr>
        <w:lastRenderedPageBreak/>
        <w:t xml:space="preserve">Panel </w:t>
      </w:r>
      <w:r w:rsidR="0005018D">
        <w:rPr>
          <w:rFonts w:ascii="times roman" w:hAnsi="times roman" w:cs="Times New Roman"/>
          <w:sz w:val="20"/>
          <w:szCs w:val="20"/>
        </w:rPr>
        <w:t>C</w:t>
      </w:r>
      <w:r w:rsidRPr="008C2BED">
        <w:rPr>
          <w:rFonts w:ascii="times roman" w:hAnsi="times roman" w:cs="Times New Roman"/>
          <w:sz w:val="20"/>
          <w:szCs w:val="20"/>
        </w:rPr>
        <w:t>: 201</w:t>
      </w:r>
      <w:r>
        <w:rPr>
          <w:rFonts w:ascii="times roman" w:hAnsi="times roman" w:cs="Times New Roman"/>
          <w:sz w:val="20"/>
          <w:szCs w:val="20"/>
        </w:rPr>
        <w:t>8</w:t>
      </w:r>
      <w:r w:rsidRPr="008C2BED">
        <w:rPr>
          <w:rFonts w:ascii="times roman" w:hAnsi="times roman" w:cs="Times New Roman"/>
          <w:sz w:val="20"/>
          <w:szCs w:val="20"/>
        </w:rPr>
        <w:t xml:space="preserve"> users</w:t>
      </w:r>
    </w:p>
    <w:p w14:paraId="38C64D8E" w14:textId="1A153A8B" w:rsidR="002E5A7A" w:rsidRPr="0005018D" w:rsidRDefault="0005018D">
      <w:pPr>
        <w:rPr>
          <w:rFonts w:ascii="times roman" w:hAnsi="times roman" w:cs="Times New Roman" w:hint="eastAsia"/>
          <w:sz w:val="20"/>
          <w:szCs w:val="20"/>
        </w:rPr>
      </w:pPr>
      <w:r>
        <w:rPr>
          <w:rFonts w:ascii="times roman" w:hAnsi="times roman" w:cs="Times New Roman" w:hint="eastAsia"/>
          <w:noProof/>
          <w:sz w:val="20"/>
          <w:szCs w:val="20"/>
        </w:rPr>
        <w:drawing>
          <wp:inline distT="0" distB="0" distL="0" distR="0" wp14:anchorId="2CA16510" wp14:editId="21DF95BC">
            <wp:extent cx="3963035" cy="2391819"/>
            <wp:effectExtent l="0" t="0" r="0" b="8890"/>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87532" cy="2406604"/>
                    </a:xfrm>
                    <a:prstGeom prst="rect">
                      <a:avLst/>
                    </a:prstGeom>
                    <a:noFill/>
                    <a:ln>
                      <a:noFill/>
                    </a:ln>
                  </pic:spPr>
                </pic:pic>
              </a:graphicData>
            </a:graphic>
          </wp:inline>
        </w:drawing>
      </w:r>
    </w:p>
    <w:p w14:paraId="6B9232F3" w14:textId="77777777" w:rsidR="009F7D88" w:rsidRDefault="009F7D88">
      <w:pPr>
        <w:rPr>
          <w:rFonts w:ascii="times roman" w:hAnsi="times roman" w:cs="Times New Roman" w:hint="eastAsia"/>
          <w:sz w:val="20"/>
          <w:szCs w:val="20"/>
        </w:rPr>
      </w:pPr>
    </w:p>
    <w:p w14:paraId="00C14351" w14:textId="4F2C24F2" w:rsidR="0005018D" w:rsidRDefault="0005018D">
      <w:pPr>
        <w:rPr>
          <w:rFonts w:ascii="times roman" w:hAnsi="times roman" w:cs="Times New Roman" w:hint="eastAsia"/>
          <w:sz w:val="20"/>
          <w:szCs w:val="20"/>
        </w:rPr>
      </w:pPr>
      <w:r w:rsidRPr="008C2BED">
        <w:rPr>
          <w:rFonts w:ascii="times roman" w:hAnsi="times roman" w:cs="Times New Roman"/>
          <w:sz w:val="20"/>
          <w:szCs w:val="20"/>
        </w:rPr>
        <w:t xml:space="preserve">Panel </w:t>
      </w:r>
      <w:r>
        <w:rPr>
          <w:rFonts w:ascii="times roman" w:hAnsi="times roman" w:cs="Times New Roman"/>
          <w:sz w:val="20"/>
          <w:szCs w:val="20"/>
        </w:rPr>
        <w:t>D</w:t>
      </w:r>
      <w:r w:rsidRPr="008C2BED">
        <w:rPr>
          <w:rFonts w:ascii="times roman" w:hAnsi="times roman" w:cs="Times New Roman"/>
          <w:sz w:val="20"/>
          <w:szCs w:val="20"/>
        </w:rPr>
        <w:t>: 201</w:t>
      </w:r>
      <w:r>
        <w:rPr>
          <w:rFonts w:ascii="times roman" w:hAnsi="times roman" w:cs="Times New Roman"/>
          <w:sz w:val="20"/>
          <w:szCs w:val="20"/>
        </w:rPr>
        <w:t>9</w:t>
      </w:r>
      <w:r w:rsidRPr="008C2BED">
        <w:rPr>
          <w:rFonts w:ascii="times roman" w:hAnsi="times roman" w:cs="Times New Roman"/>
          <w:sz w:val="20"/>
          <w:szCs w:val="20"/>
        </w:rPr>
        <w:t xml:space="preserve"> users</w:t>
      </w:r>
    </w:p>
    <w:p w14:paraId="5DF5FF2F" w14:textId="28029E85" w:rsidR="0005018D" w:rsidRDefault="0005018D">
      <w:pPr>
        <w:rPr>
          <w:rFonts w:ascii="times roman" w:hAnsi="times roman" w:cs="Times New Roman" w:hint="eastAsia"/>
          <w:sz w:val="20"/>
          <w:szCs w:val="20"/>
        </w:rPr>
      </w:pPr>
      <w:r>
        <w:rPr>
          <w:rFonts w:ascii="times roman" w:hAnsi="times roman" w:cs="Times New Roman" w:hint="eastAsia"/>
          <w:noProof/>
          <w:sz w:val="20"/>
          <w:szCs w:val="20"/>
        </w:rPr>
        <w:drawing>
          <wp:inline distT="0" distB="0" distL="0" distR="0" wp14:anchorId="2F10F601" wp14:editId="0493C992">
            <wp:extent cx="3969215" cy="2401895"/>
            <wp:effectExtent l="0" t="0" r="0" b="0"/>
            <wp:docPr id="49" name="図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90783" cy="2414947"/>
                    </a:xfrm>
                    <a:prstGeom prst="rect">
                      <a:avLst/>
                    </a:prstGeom>
                    <a:noFill/>
                    <a:ln>
                      <a:noFill/>
                    </a:ln>
                  </pic:spPr>
                </pic:pic>
              </a:graphicData>
            </a:graphic>
          </wp:inline>
        </w:drawing>
      </w:r>
    </w:p>
    <w:p w14:paraId="07880E64" w14:textId="099CBD0A" w:rsidR="008C72AC" w:rsidRDefault="008C72AC">
      <w:pPr>
        <w:rPr>
          <w:rFonts w:ascii="times roman" w:hAnsi="times roman" w:cs="Times New Roman" w:hint="eastAsia"/>
          <w:sz w:val="20"/>
          <w:szCs w:val="20"/>
        </w:rPr>
      </w:pPr>
      <w:r w:rsidRPr="002E5A7A">
        <w:rPr>
          <w:rFonts w:ascii="times roman" w:hAnsi="times roman" w:cs="Times New Roman"/>
          <w:bCs/>
          <w:sz w:val="20"/>
          <w:szCs w:val="20"/>
        </w:rPr>
        <w:t>Notes: Treatment group consists of firms that first used the tax incentive in 201</w:t>
      </w:r>
      <w:r>
        <w:rPr>
          <w:rFonts w:ascii="times roman" w:hAnsi="times roman" w:cs="Times New Roman"/>
          <w:bCs/>
          <w:sz w:val="20"/>
          <w:szCs w:val="20"/>
        </w:rPr>
        <w:t>6</w:t>
      </w:r>
      <w:r w:rsidRPr="002E5A7A">
        <w:rPr>
          <w:rFonts w:ascii="times roman" w:hAnsi="times roman" w:cs="Times New Roman"/>
          <w:bCs/>
          <w:sz w:val="20"/>
          <w:szCs w:val="20"/>
        </w:rPr>
        <w:t xml:space="preserve"> in Panel A</w:t>
      </w:r>
      <w:r>
        <w:rPr>
          <w:rFonts w:ascii="times roman" w:hAnsi="times roman" w:cs="Times New Roman"/>
          <w:bCs/>
          <w:sz w:val="20"/>
          <w:szCs w:val="20"/>
        </w:rPr>
        <w:t>,</w:t>
      </w:r>
      <w:r w:rsidRPr="002E5A7A">
        <w:rPr>
          <w:rFonts w:ascii="times roman" w:hAnsi="times roman" w:cs="Times New Roman"/>
          <w:bCs/>
          <w:sz w:val="20"/>
          <w:szCs w:val="20"/>
        </w:rPr>
        <w:t xml:space="preserve"> 201</w:t>
      </w:r>
      <w:r>
        <w:rPr>
          <w:rFonts w:ascii="times roman" w:hAnsi="times roman" w:cs="Times New Roman"/>
          <w:bCs/>
          <w:sz w:val="20"/>
          <w:szCs w:val="20"/>
        </w:rPr>
        <w:t>7</w:t>
      </w:r>
      <w:r w:rsidRPr="002E5A7A">
        <w:rPr>
          <w:rFonts w:ascii="times roman" w:hAnsi="times roman" w:cs="Times New Roman"/>
          <w:bCs/>
          <w:sz w:val="20"/>
          <w:szCs w:val="20"/>
        </w:rPr>
        <w:t xml:space="preserve"> in Panel B</w:t>
      </w:r>
      <w:r>
        <w:rPr>
          <w:rFonts w:ascii="times roman" w:hAnsi="times roman" w:cs="Times New Roman"/>
          <w:bCs/>
          <w:sz w:val="20"/>
          <w:szCs w:val="20"/>
        </w:rPr>
        <w:t>, 2018 in Panel C, and 2019 in Panel D</w:t>
      </w:r>
      <w:r w:rsidRPr="002E5A7A">
        <w:rPr>
          <w:rFonts w:ascii="times roman" w:hAnsi="times roman" w:cs="Times New Roman"/>
          <w:bCs/>
          <w:sz w:val="20"/>
          <w:szCs w:val="20"/>
        </w:rPr>
        <w:t>. We estimate the treatment effect of the tax incentive on investment rate for each year using Equation (2).</w:t>
      </w:r>
    </w:p>
    <w:p w14:paraId="4A37F457" w14:textId="5FA57E4D" w:rsidR="0005018D" w:rsidRDefault="0005018D">
      <w:pPr>
        <w:widowControl/>
        <w:jc w:val="left"/>
        <w:rPr>
          <w:rFonts w:ascii="times roman" w:hAnsi="times roman" w:cs="Times New Roman" w:hint="eastAsia"/>
          <w:bCs/>
          <w:sz w:val="20"/>
          <w:szCs w:val="20"/>
        </w:rPr>
      </w:pPr>
      <w:r>
        <w:rPr>
          <w:rFonts w:ascii="times roman" w:hAnsi="times roman" w:cs="Times New Roman" w:hint="eastAsia"/>
          <w:bCs/>
          <w:sz w:val="20"/>
          <w:szCs w:val="20"/>
        </w:rPr>
        <w:br w:type="page"/>
      </w:r>
    </w:p>
    <w:p w14:paraId="2BF285F2" w14:textId="29BAA046" w:rsidR="00826BBA" w:rsidRDefault="00826BBA" w:rsidP="00826BBA">
      <w:pPr>
        <w:widowControl/>
        <w:rPr>
          <w:rFonts w:ascii="times roman" w:hAnsi="times roman" w:cs="Times New Roman" w:hint="eastAsia"/>
          <w:sz w:val="20"/>
          <w:szCs w:val="20"/>
        </w:rPr>
      </w:pPr>
      <w:r>
        <w:rPr>
          <w:rFonts w:ascii="times roman" w:hAnsi="times roman" w:cs="Times New Roman" w:hint="eastAsia"/>
          <w:sz w:val="20"/>
          <w:szCs w:val="20"/>
        </w:rPr>
        <w:lastRenderedPageBreak/>
        <w:t>A</w:t>
      </w:r>
      <w:r>
        <w:rPr>
          <w:rFonts w:ascii="times roman" w:hAnsi="times roman" w:cs="Times New Roman"/>
          <w:sz w:val="20"/>
          <w:szCs w:val="20"/>
        </w:rPr>
        <w:t xml:space="preserve">ppendix </w:t>
      </w:r>
      <w:r w:rsidR="00281401">
        <w:rPr>
          <w:rFonts w:ascii="times roman" w:hAnsi="times roman" w:cs="Times New Roman"/>
          <w:sz w:val="20"/>
          <w:szCs w:val="20"/>
        </w:rPr>
        <w:t>C</w:t>
      </w:r>
      <w:r>
        <w:rPr>
          <w:rFonts w:ascii="times roman" w:hAnsi="times roman" w:cs="Times New Roman"/>
          <w:sz w:val="20"/>
          <w:szCs w:val="20"/>
        </w:rPr>
        <w:t>: GMM estimation for first-differenced model</w:t>
      </w:r>
    </w:p>
    <w:p w14:paraId="12096132" w14:textId="77777777" w:rsidR="00826BBA" w:rsidRDefault="00826BBA" w:rsidP="00826BBA">
      <w:pPr>
        <w:widowControl/>
        <w:rPr>
          <w:rFonts w:ascii="times roman" w:hAnsi="times roman" w:cs="Times New Roman" w:hint="eastAsia"/>
          <w:sz w:val="20"/>
          <w:szCs w:val="20"/>
        </w:rPr>
      </w:pPr>
    </w:p>
    <w:p w14:paraId="0CE26B32" w14:textId="3741B98E" w:rsidR="00826BBA" w:rsidRDefault="00772441" w:rsidP="00826BBA">
      <w:pPr>
        <w:widowControl/>
        <w:rPr>
          <w:rFonts w:ascii="times roman" w:hAnsi="times roman" w:cs="Times New Roman" w:hint="eastAsia"/>
          <w:sz w:val="20"/>
          <w:szCs w:val="20"/>
        </w:rPr>
      </w:pPr>
      <w:r w:rsidRPr="00772441">
        <w:rPr>
          <w:rFonts w:hint="eastAsia"/>
          <w:noProof/>
        </w:rPr>
        <w:drawing>
          <wp:inline distT="0" distB="0" distL="0" distR="0" wp14:anchorId="4A5604B0" wp14:editId="7D606AD8">
            <wp:extent cx="5400040" cy="5513070"/>
            <wp:effectExtent l="0" t="0" r="0" b="0"/>
            <wp:docPr id="9"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040" cy="5513070"/>
                    </a:xfrm>
                    <a:prstGeom prst="rect">
                      <a:avLst/>
                    </a:prstGeom>
                    <a:noFill/>
                    <a:ln>
                      <a:noFill/>
                    </a:ln>
                  </pic:spPr>
                </pic:pic>
              </a:graphicData>
            </a:graphic>
          </wp:inline>
        </w:drawing>
      </w:r>
    </w:p>
    <w:p w14:paraId="5B119D71" w14:textId="34A945CC" w:rsidR="00826BBA" w:rsidRDefault="00966335" w:rsidP="00826BBA">
      <w:pPr>
        <w:widowControl/>
        <w:rPr>
          <w:rFonts w:ascii="times roman" w:hAnsi="times roman" w:cs="Times New Roman" w:hint="eastAsia"/>
          <w:sz w:val="20"/>
          <w:szCs w:val="20"/>
        </w:rPr>
      </w:pPr>
      <w:r>
        <w:rPr>
          <w:rFonts w:ascii="times roman" w:hAnsi="times roman" w:cs="Times New Roman"/>
          <w:sz w:val="20"/>
          <w:szCs w:val="20"/>
        </w:rPr>
        <w:t xml:space="preserve">Notes: </w:t>
      </w:r>
      <w:r w:rsidR="00826BBA" w:rsidRPr="008C2BED">
        <w:rPr>
          <w:rFonts w:ascii="times roman" w:hAnsi="times roman" w:cs="Times New Roman"/>
          <w:sz w:val="20"/>
          <w:szCs w:val="20"/>
        </w:rPr>
        <w:t>Treatment group consists of the firms that first used the tax incentive either in 2014 or 2015. INVRATE is defined as investment divided by the lagged tangible fixed assets. SALPE and TANPE represent sales per employee and tangible fixed assets per employee, respectively. User is a dummy variable that takes one if firm i first used the tax incentive in 2014 (or 2015) and zero if it is not eligible to use the tax incentive. F</w:t>
      </w:r>
      <w:r w:rsidR="00826BBA">
        <w:rPr>
          <w:rFonts w:ascii="times roman" w:hAnsi="times roman" w:cs="Times New Roman"/>
          <w:sz w:val="20"/>
          <w:szCs w:val="20"/>
        </w:rPr>
        <w:t>Yf</w:t>
      </w:r>
      <w:r w:rsidR="00826BBA" w:rsidRPr="008C2BED">
        <w:rPr>
          <w:rFonts w:ascii="times roman" w:hAnsi="times roman" w:cs="Times New Roman"/>
          <w:sz w:val="20"/>
          <w:szCs w:val="20"/>
        </w:rPr>
        <w:t>ir</w:t>
      </w:r>
      <w:r w:rsidR="00826BBA" w:rsidRPr="002F75DD">
        <w:rPr>
          <w:rFonts w:ascii="times roman" w:hAnsi="times roman" w:cs="Times New Roman"/>
          <w:sz w:val="20"/>
          <w:szCs w:val="20"/>
        </w:rPr>
        <w:t>st</w:t>
      </w:r>
      <w:r w:rsidR="00FD0C46" w:rsidRPr="002F75DD">
        <w:rPr>
          <w:rFonts w:ascii="times roman" w:hAnsi="times roman" w:cs="Times New Roman"/>
          <w:sz w:val="20"/>
          <w:szCs w:val="20"/>
        </w:rPr>
        <w:t xml:space="preserve"> year</w:t>
      </w:r>
      <w:r w:rsidR="00826BBA" w:rsidRPr="002F75DD">
        <w:rPr>
          <w:rFonts w:ascii="times roman" w:hAnsi="times roman" w:cs="Times New Roman"/>
          <w:sz w:val="20"/>
          <w:szCs w:val="20"/>
        </w:rPr>
        <w:t xml:space="preserve"> is a dummy variable that takes one if fiscal year t is 2014 in columns (1) to (3) and 2015 in columns (4) to (6) while it is zero otherwise. Profitability is the operating profit divided by the tangible fixed assets. ***, **, and * indicate statistical significance at the 1%, 5%, and 10% levels, respectively. Clustered robust standard error</w:t>
      </w:r>
      <w:r w:rsidR="00471139" w:rsidRPr="002F75DD">
        <w:rPr>
          <w:rFonts w:ascii="times roman" w:hAnsi="times roman" w:cs="Times New Roman" w:hint="eastAsia"/>
          <w:sz w:val="20"/>
          <w:szCs w:val="20"/>
        </w:rPr>
        <w:t>s</w:t>
      </w:r>
      <w:r w:rsidR="00826BBA" w:rsidRPr="002F75DD">
        <w:rPr>
          <w:rFonts w:ascii="times roman" w:hAnsi="times roman" w:cs="Times New Roman"/>
          <w:sz w:val="20"/>
          <w:szCs w:val="20"/>
        </w:rPr>
        <w:t xml:space="preserve"> are in the parentheses.</w:t>
      </w:r>
      <w:bookmarkStart w:id="0" w:name="_GoBack"/>
      <w:bookmarkEnd w:id="0"/>
    </w:p>
    <w:p w14:paraId="0A2AF2EE" w14:textId="2CB63AC0" w:rsidR="00826BBA" w:rsidRDefault="00826BBA">
      <w:pPr>
        <w:widowControl/>
        <w:jc w:val="left"/>
        <w:rPr>
          <w:rFonts w:ascii="times roman" w:hAnsi="times roman" w:cs="Times New Roman" w:hint="eastAsia"/>
          <w:sz w:val="20"/>
          <w:szCs w:val="20"/>
        </w:rPr>
      </w:pPr>
      <w:r>
        <w:rPr>
          <w:rFonts w:ascii="times roman" w:hAnsi="times roman" w:cs="Times New Roman" w:hint="eastAsia"/>
          <w:sz w:val="20"/>
          <w:szCs w:val="20"/>
        </w:rPr>
        <w:br w:type="page"/>
      </w:r>
    </w:p>
    <w:p w14:paraId="0F143934" w14:textId="0970A469" w:rsidR="008A79DA" w:rsidRPr="008C2BED" w:rsidRDefault="0005018D">
      <w:pPr>
        <w:rPr>
          <w:rFonts w:ascii="times roman" w:hAnsi="times roman" w:cs="Times New Roman" w:hint="eastAsia"/>
          <w:b/>
          <w:sz w:val="20"/>
          <w:szCs w:val="20"/>
        </w:rPr>
      </w:pPr>
      <w:r>
        <w:rPr>
          <w:rFonts w:ascii="times roman" w:hAnsi="times roman" w:cs="Times New Roman"/>
          <w:bCs/>
          <w:sz w:val="20"/>
          <w:szCs w:val="20"/>
        </w:rPr>
        <w:lastRenderedPageBreak/>
        <w:t xml:space="preserve">Appendix </w:t>
      </w:r>
      <w:r w:rsidR="00281401">
        <w:rPr>
          <w:rFonts w:ascii="times roman" w:hAnsi="times roman" w:cs="Times New Roman"/>
          <w:bCs/>
          <w:sz w:val="20"/>
          <w:szCs w:val="20"/>
        </w:rPr>
        <w:t>D</w:t>
      </w:r>
      <w:r>
        <w:rPr>
          <w:rFonts w:ascii="times roman" w:hAnsi="times roman" w:cs="Times New Roman"/>
          <w:bCs/>
          <w:sz w:val="20"/>
          <w:szCs w:val="20"/>
        </w:rPr>
        <w:t xml:space="preserve">: </w:t>
      </w:r>
      <w:r w:rsidR="00A649CF" w:rsidRPr="005D3095">
        <w:rPr>
          <w:rFonts w:ascii="times roman" w:hAnsi="times roman" w:cs="Times New Roman"/>
          <w:bCs/>
          <w:sz w:val="20"/>
          <w:szCs w:val="20"/>
        </w:rPr>
        <w:t>Heterogeneous treatment effects on labor productivity that depend on financial constraints</w:t>
      </w:r>
    </w:p>
    <w:p w14:paraId="180F86BD" w14:textId="77777777" w:rsidR="00F608D9" w:rsidRDefault="00F608D9">
      <w:pPr>
        <w:rPr>
          <w:rFonts w:ascii="times roman" w:hAnsi="times roman" w:cs="Times New Roman" w:hint="eastAsia"/>
          <w:sz w:val="20"/>
          <w:szCs w:val="20"/>
        </w:rPr>
      </w:pPr>
    </w:p>
    <w:p w14:paraId="15E34218" w14:textId="0AB33546" w:rsidR="008A79DA" w:rsidRPr="008C2BED" w:rsidRDefault="00A649CF">
      <w:pPr>
        <w:rPr>
          <w:rFonts w:ascii="times roman" w:hAnsi="times roman" w:cs="Times New Roman" w:hint="eastAsia"/>
          <w:sz w:val="20"/>
          <w:szCs w:val="20"/>
        </w:rPr>
      </w:pPr>
      <w:r w:rsidRPr="008C2BED">
        <w:rPr>
          <w:rFonts w:ascii="times roman" w:hAnsi="times roman" w:cs="Times New Roman"/>
          <w:sz w:val="20"/>
          <w:szCs w:val="20"/>
        </w:rPr>
        <w:t>Panel A</w:t>
      </w:r>
      <w:r w:rsidR="009540FD">
        <w:rPr>
          <w:rFonts w:ascii="times roman" w:hAnsi="times roman" w:cs="Times New Roman"/>
          <w:sz w:val="20"/>
          <w:szCs w:val="20"/>
        </w:rPr>
        <w:t>1</w:t>
      </w:r>
      <w:r w:rsidR="00695453" w:rsidRPr="008C2BED">
        <w:rPr>
          <w:rFonts w:ascii="times roman" w:hAnsi="times roman" w:cs="Times New Roman"/>
          <w:sz w:val="20"/>
          <w:szCs w:val="20"/>
        </w:rPr>
        <w:t xml:space="preserve">: </w:t>
      </w:r>
      <w:r w:rsidRPr="008C2BED">
        <w:rPr>
          <w:rFonts w:ascii="times roman" w:hAnsi="times roman" w:cs="Times New Roman"/>
          <w:sz w:val="20"/>
          <w:szCs w:val="20"/>
        </w:rPr>
        <w:t>Short-run effects for 2014 users</w:t>
      </w:r>
    </w:p>
    <w:p w14:paraId="4A6B4568" w14:textId="715A349A" w:rsidR="008A79DA" w:rsidRPr="008C2BED" w:rsidRDefault="009540FD">
      <w:pPr>
        <w:rPr>
          <w:rFonts w:ascii="times roman" w:hAnsi="times roman" w:cs="Times New Roman" w:hint="eastAsia"/>
          <w:sz w:val="20"/>
          <w:szCs w:val="20"/>
        </w:rPr>
      </w:pPr>
      <w:r w:rsidRPr="009540FD">
        <w:rPr>
          <w:rFonts w:hint="eastAsia"/>
          <w:noProof/>
        </w:rPr>
        <w:drawing>
          <wp:inline distT="0" distB="0" distL="0" distR="0" wp14:anchorId="36214909" wp14:editId="1084167A">
            <wp:extent cx="5400040" cy="4117340"/>
            <wp:effectExtent l="0" t="0" r="0" b="0"/>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4117340"/>
                    </a:xfrm>
                    <a:prstGeom prst="rect">
                      <a:avLst/>
                    </a:prstGeom>
                    <a:noFill/>
                    <a:ln>
                      <a:noFill/>
                    </a:ln>
                  </pic:spPr>
                </pic:pic>
              </a:graphicData>
            </a:graphic>
          </wp:inline>
        </w:drawing>
      </w:r>
    </w:p>
    <w:p w14:paraId="4A6B34CA" w14:textId="0DD510A3" w:rsidR="00E90706" w:rsidRDefault="00E90706">
      <w:pPr>
        <w:widowControl/>
        <w:jc w:val="left"/>
        <w:rPr>
          <w:rFonts w:ascii="times roman" w:hAnsi="times roman" w:cs="Times New Roman" w:hint="eastAsia"/>
          <w:sz w:val="20"/>
          <w:szCs w:val="20"/>
        </w:rPr>
      </w:pPr>
      <w:r>
        <w:rPr>
          <w:rFonts w:ascii="times roman" w:hAnsi="times roman" w:cs="Times New Roman" w:hint="eastAsia"/>
          <w:sz w:val="20"/>
          <w:szCs w:val="20"/>
        </w:rPr>
        <w:br w:type="page"/>
      </w:r>
    </w:p>
    <w:p w14:paraId="23758024" w14:textId="3DFCE1E1" w:rsidR="00E90706" w:rsidRPr="008C2BED" w:rsidRDefault="00E90706" w:rsidP="00E90706">
      <w:pPr>
        <w:widowControl/>
        <w:jc w:val="left"/>
        <w:rPr>
          <w:rFonts w:ascii="times roman" w:hAnsi="times roman" w:cs="Times New Roman" w:hint="eastAsia"/>
          <w:sz w:val="20"/>
          <w:szCs w:val="20"/>
        </w:rPr>
      </w:pPr>
      <w:r w:rsidRPr="008C2BED">
        <w:rPr>
          <w:rFonts w:ascii="times roman" w:hAnsi="times roman" w:cs="Times New Roman"/>
          <w:sz w:val="20"/>
          <w:szCs w:val="20"/>
        </w:rPr>
        <w:lastRenderedPageBreak/>
        <w:t xml:space="preserve">Panel </w:t>
      </w:r>
      <w:r>
        <w:rPr>
          <w:rFonts w:ascii="times roman" w:hAnsi="times roman" w:cs="Times New Roman"/>
          <w:sz w:val="20"/>
          <w:szCs w:val="20"/>
        </w:rPr>
        <w:t>A2</w:t>
      </w:r>
      <w:r w:rsidRPr="008C2BED">
        <w:rPr>
          <w:rFonts w:ascii="times roman" w:hAnsi="times roman" w:cs="Times New Roman"/>
          <w:sz w:val="20"/>
          <w:szCs w:val="20"/>
        </w:rPr>
        <w:t>: Short-run effects for 2015 users</w:t>
      </w:r>
    </w:p>
    <w:p w14:paraId="6DC19A5A" w14:textId="2831E803" w:rsidR="00E90706" w:rsidRDefault="00E90706" w:rsidP="00E90706">
      <w:pPr>
        <w:widowControl/>
        <w:jc w:val="left"/>
        <w:rPr>
          <w:rFonts w:ascii="times roman" w:hAnsi="times roman" w:cs="Times New Roman" w:hint="eastAsia"/>
          <w:sz w:val="20"/>
          <w:szCs w:val="20"/>
        </w:rPr>
      </w:pPr>
      <w:r w:rsidRPr="009540FD">
        <w:rPr>
          <w:rFonts w:hint="eastAsia"/>
          <w:noProof/>
        </w:rPr>
        <w:drawing>
          <wp:inline distT="0" distB="0" distL="0" distR="0" wp14:anchorId="6E5B6AFB" wp14:editId="44240144">
            <wp:extent cx="5400040" cy="4111625"/>
            <wp:effectExtent l="0" t="0" r="0" b="3175"/>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4111625"/>
                    </a:xfrm>
                    <a:prstGeom prst="rect">
                      <a:avLst/>
                    </a:prstGeom>
                    <a:noFill/>
                    <a:ln>
                      <a:noFill/>
                    </a:ln>
                  </pic:spPr>
                </pic:pic>
              </a:graphicData>
            </a:graphic>
          </wp:inline>
        </w:drawing>
      </w:r>
    </w:p>
    <w:p w14:paraId="1D9E7649" w14:textId="77777777" w:rsidR="00E90706" w:rsidRPr="008C2BED" w:rsidRDefault="00E90706" w:rsidP="00E90706">
      <w:pPr>
        <w:widowControl/>
        <w:jc w:val="left"/>
        <w:rPr>
          <w:rFonts w:ascii="times roman" w:hAnsi="times roman" w:cs="Times New Roman" w:hint="eastAsia"/>
          <w:sz w:val="20"/>
          <w:szCs w:val="20"/>
        </w:rPr>
      </w:pPr>
    </w:p>
    <w:p w14:paraId="374B4E28" w14:textId="77777777" w:rsidR="00E90706" w:rsidRPr="008C2BED" w:rsidRDefault="00E90706" w:rsidP="00E90706">
      <w:pPr>
        <w:widowControl/>
        <w:jc w:val="left"/>
        <w:rPr>
          <w:rFonts w:ascii="times roman" w:hAnsi="times roman" w:cs="Times New Roman" w:hint="eastAsia"/>
          <w:sz w:val="20"/>
          <w:szCs w:val="20"/>
        </w:rPr>
      </w:pPr>
      <w:r w:rsidRPr="008C2BED">
        <w:rPr>
          <w:rFonts w:ascii="times roman" w:hAnsi="times roman" w:cs="Times New Roman"/>
          <w:sz w:val="20"/>
          <w:szCs w:val="20"/>
        </w:rPr>
        <w:br w:type="page"/>
      </w:r>
    </w:p>
    <w:p w14:paraId="69AFF083" w14:textId="3ADB06B8" w:rsidR="008A79DA" w:rsidRPr="008C2BED" w:rsidRDefault="006D39A4">
      <w:pPr>
        <w:rPr>
          <w:rFonts w:ascii="times roman" w:hAnsi="times roman" w:cs="Times New Roman" w:hint="eastAsia"/>
          <w:sz w:val="20"/>
          <w:szCs w:val="20"/>
        </w:rPr>
      </w:pPr>
      <w:r>
        <w:rPr>
          <w:rFonts w:ascii="times roman" w:hAnsi="times roman" w:cs="Times New Roman"/>
          <w:sz w:val="20"/>
          <w:szCs w:val="20"/>
        </w:rPr>
        <w:lastRenderedPageBreak/>
        <w:t>Panel</w:t>
      </w:r>
      <w:r w:rsidRPr="003E6A77">
        <w:rPr>
          <w:rFonts w:ascii="times roman" w:hAnsi="times roman" w:cs="Times New Roman"/>
          <w:sz w:val="20"/>
          <w:szCs w:val="20"/>
        </w:rPr>
        <w:t xml:space="preserve"> </w:t>
      </w:r>
      <w:r w:rsidR="00E90706">
        <w:rPr>
          <w:rFonts w:ascii="times roman" w:hAnsi="times roman" w:cs="Times New Roman" w:hint="eastAsia"/>
          <w:sz w:val="20"/>
          <w:szCs w:val="20"/>
        </w:rPr>
        <w:t>B</w:t>
      </w:r>
      <w:r w:rsidR="00E90706">
        <w:rPr>
          <w:rFonts w:ascii="times roman" w:hAnsi="times roman" w:cs="Times New Roman"/>
          <w:sz w:val="20"/>
          <w:szCs w:val="20"/>
        </w:rPr>
        <w:t>1</w:t>
      </w:r>
      <w:r w:rsidR="00695453" w:rsidRPr="008C2BED">
        <w:rPr>
          <w:rFonts w:ascii="times roman" w:hAnsi="times roman" w:cs="Times New Roman"/>
          <w:sz w:val="20"/>
          <w:szCs w:val="20"/>
        </w:rPr>
        <w:t xml:space="preserve">: </w:t>
      </w:r>
      <w:r w:rsidR="00A649CF" w:rsidRPr="008C2BED">
        <w:rPr>
          <w:rFonts w:ascii="times roman" w:hAnsi="times roman" w:cs="Times New Roman"/>
          <w:sz w:val="20"/>
          <w:szCs w:val="20"/>
        </w:rPr>
        <w:t>Long-run effects for 2014 users</w:t>
      </w:r>
    </w:p>
    <w:p w14:paraId="1DAAB133" w14:textId="529ED747" w:rsidR="008A79DA" w:rsidRPr="008C2BED" w:rsidRDefault="009540FD">
      <w:pPr>
        <w:widowControl/>
        <w:jc w:val="left"/>
        <w:rPr>
          <w:rFonts w:ascii="times roman" w:hAnsi="times roman" w:cs="Times New Roman" w:hint="eastAsia"/>
          <w:sz w:val="20"/>
          <w:szCs w:val="20"/>
        </w:rPr>
      </w:pPr>
      <w:r w:rsidRPr="009540FD">
        <w:rPr>
          <w:rFonts w:hint="eastAsia"/>
          <w:noProof/>
        </w:rPr>
        <w:drawing>
          <wp:inline distT="0" distB="0" distL="0" distR="0" wp14:anchorId="6DA53071" wp14:editId="58DBB3A0">
            <wp:extent cx="5400040" cy="4117340"/>
            <wp:effectExtent l="0" t="0" r="0" b="0"/>
            <wp:docPr id="43" name="図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4117340"/>
                    </a:xfrm>
                    <a:prstGeom prst="rect">
                      <a:avLst/>
                    </a:prstGeom>
                    <a:noFill/>
                    <a:ln>
                      <a:noFill/>
                    </a:ln>
                  </pic:spPr>
                </pic:pic>
              </a:graphicData>
            </a:graphic>
          </wp:inline>
        </w:drawing>
      </w:r>
    </w:p>
    <w:p w14:paraId="385CC2AD" w14:textId="77777777" w:rsidR="008A79DA" w:rsidRPr="008C2BED" w:rsidRDefault="008A79DA">
      <w:pPr>
        <w:widowControl/>
        <w:jc w:val="left"/>
        <w:rPr>
          <w:rFonts w:ascii="times roman" w:hAnsi="times roman" w:cs="Times New Roman" w:hint="eastAsia"/>
          <w:sz w:val="20"/>
          <w:szCs w:val="20"/>
        </w:rPr>
      </w:pPr>
    </w:p>
    <w:p w14:paraId="59A535D2" w14:textId="77777777" w:rsidR="008A79DA" w:rsidRPr="008C2BED" w:rsidRDefault="00A649CF">
      <w:pPr>
        <w:widowControl/>
        <w:jc w:val="left"/>
        <w:rPr>
          <w:rFonts w:ascii="times roman" w:hAnsi="times roman" w:cs="Times New Roman" w:hint="eastAsia"/>
          <w:sz w:val="20"/>
          <w:szCs w:val="20"/>
        </w:rPr>
      </w:pPr>
      <w:r w:rsidRPr="008C2BED">
        <w:rPr>
          <w:rFonts w:ascii="times roman" w:hAnsi="times roman" w:cs="Times New Roman"/>
          <w:sz w:val="20"/>
          <w:szCs w:val="20"/>
        </w:rPr>
        <w:br w:type="page"/>
      </w:r>
    </w:p>
    <w:p w14:paraId="7A2AF1F4" w14:textId="025C25CE" w:rsidR="008A79DA" w:rsidRPr="008C2BED" w:rsidRDefault="00A649CF">
      <w:pPr>
        <w:widowControl/>
        <w:jc w:val="left"/>
        <w:rPr>
          <w:rFonts w:ascii="times roman" w:hAnsi="times roman" w:cs="Times New Roman" w:hint="eastAsia"/>
          <w:sz w:val="20"/>
          <w:szCs w:val="20"/>
        </w:rPr>
      </w:pPr>
      <w:r w:rsidRPr="008C2BED">
        <w:rPr>
          <w:rFonts w:ascii="times roman" w:hAnsi="times roman" w:cs="Times New Roman"/>
          <w:sz w:val="20"/>
          <w:szCs w:val="20"/>
        </w:rPr>
        <w:lastRenderedPageBreak/>
        <w:t xml:space="preserve">Panel </w:t>
      </w:r>
      <w:r w:rsidR="009540FD">
        <w:rPr>
          <w:rFonts w:ascii="times roman" w:hAnsi="times roman" w:cs="Times New Roman"/>
          <w:sz w:val="20"/>
          <w:szCs w:val="20"/>
        </w:rPr>
        <w:t>B2</w:t>
      </w:r>
      <w:r w:rsidR="00695453" w:rsidRPr="008C2BED">
        <w:rPr>
          <w:rFonts w:ascii="times roman" w:hAnsi="times roman" w:cs="Times New Roman"/>
          <w:sz w:val="20"/>
          <w:szCs w:val="20"/>
        </w:rPr>
        <w:t xml:space="preserve">: </w:t>
      </w:r>
      <w:r w:rsidRPr="008C2BED">
        <w:rPr>
          <w:rFonts w:ascii="times roman" w:hAnsi="times roman" w:cs="Times New Roman"/>
          <w:sz w:val="20"/>
          <w:szCs w:val="20"/>
        </w:rPr>
        <w:t>Long-run effects for 2015 users</w:t>
      </w:r>
    </w:p>
    <w:p w14:paraId="5C911261" w14:textId="5C3EA73D" w:rsidR="008A79DA" w:rsidRPr="008C2BED" w:rsidRDefault="009540FD">
      <w:pPr>
        <w:widowControl/>
        <w:jc w:val="left"/>
        <w:rPr>
          <w:rFonts w:ascii="times roman" w:hAnsi="times roman" w:cs="Times New Roman" w:hint="eastAsia"/>
          <w:sz w:val="20"/>
          <w:szCs w:val="20"/>
        </w:rPr>
      </w:pPr>
      <w:r w:rsidRPr="009540FD">
        <w:rPr>
          <w:rFonts w:hint="eastAsia"/>
          <w:noProof/>
        </w:rPr>
        <w:drawing>
          <wp:inline distT="0" distB="0" distL="0" distR="0" wp14:anchorId="5658CBD1" wp14:editId="54FCBA63">
            <wp:extent cx="5400040" cy="4177665"/>
            <wp:effectExtent l="0" t="0" r="0" b="0"/>
            <wp:docPr id="45" name="図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00040" cy="4177665"/>
                    </a:xfrm>
                    <a:prstGeom prst="rect">
                      <a:avLst/>
                    </a:prstGeom>
                    <a:noFill/>
                    <a:ln>
                      <a:noFill/>
                    </a:ln>
                  </pic:spPr>
                </pic:pic>
              </a:graphicData>
            </a:graphic>
          </wp:inline>
        </w:drawing>
      </w:r>
    </w:p>
    <w:p w14:paraId="447AED14" w14:textId="7A6067F0" w:rsidR="008A79DA" w:rsidRDefault="00A649CF">
      <w:pPr>
        <w:widowControl/>
        <w:rPr>
          <w:rFonts w:ascii="times roman" w:hAnsi="times roman" w:cs="Times New Roman" w:hint="eastAsia"/>
          <w:sz w:val="20"/>
          <w:szCs w:val="20"/>
        </w:rPr>
      </w:pPr>
      <w:r w:rsidRPr="008C2BED">
        <w:rPr>
          <w:rFonts w:ascii="times roman" w:hAnsi="times roman" w:cs="Times New Roman"/>
          <w:sz w:val="20"/>
          <w:szCs w:val="20"/>
        </w:rPr>
        <w:t xml:space="preserve">Notes: Treatment groups consist of the firms that first used the tax incentive in 2014 in Panels A1 and </w:t>
      </w:r>
      <w:r w:rsidR="00E90706">
        <w:rPr>
          <w:rFonts w:ascii="times roman" w:hAnsi="times roman" w:cs="Times New Roman"/>
          <w:sz w:val="20"/>
          <w:szCs w:val="20"/>
        </w:rPr>
        <w:t>B1</w:t>
      </w:r>
      <w:r w:rsidRPr="008C2BED">
        <w:rPr>
          <w:rFonts w:ascii="times roman" w:hAnsi="times roman" w:cs="Times New Roman"/>
          <w:sz w:val="20"/>
          <w:szCs w:val="20"/>
        </w:rPr>
        <w:t xml:space="preserve"> and 2015 in Panels </w:t>
      </w:r>
      <w:r w:rsidR="00E90706">
        <w:rPr>
          <w:rFonts w:ascii="times roman" w:hAnsi="times roman" w:cs="Times New Roman"/>
          <w:sz w:val="20"/>
          <w:szCs w:val="20"/>
        </w:rPr>
        <w:t>A2</w:t>
      </w:r>
      <w:r w:rsidRPr="008C2BED">
        <w:rPr>
          <w:rFonts w:ascii="times roman" w:hAnsi="times roman" w:cs="Times New Roman"/>
          <w:sz w:val="20"/>
          <w:szCs w:val="20"/>
        </w:rPr>
        <w:t xml:space="preserve"> and B2. SALPE is sales per employees. User is a dummy variable that takes one if firm i first used the tax incentive in 2014 (or 2015) and zero if it is not eligible to use the tax incentive. FY2014 is a dummy that takes one if year t is fiscal year 2014 and zero otherwise. FY2014_19 is a dummy that takes one if year t is between fiscal year 2014 and 2019 and zero otherwise. FY2015 </w:t>
      </w:r>
      <w:r w:rsidR="009D05D7">
        <w:rPr>
          <w:rFonts w:ascii="times roman" w:hAnsi="times roman" w:cs="Times New Roman"/>
          <w:sz w:val="20"/>
          <w:szCs w:val="20"/>
        </w:rPr>
        <w:t xml:space="preserve">and </w:t>
      </w:r>
      <w:r w:rsidR="009D05D7" w:rsidRPr="008C2BED">
        <w:rPr>
          <w:rFonts w:ascii="times roman" w:hAnsi="times roman" w:cs="Times New Roman"/>
          <w:sz w:val="20"/>
          <w:szCs w:val="20"/>
        </w:rPr>
        <w:t xml:space="preserve">FY2015_19 </w:t>
      </w:r>
      <w:r w:rsidRPr="008C2BED">
        <w:rPr>
          <w:rFonts w:ascii="times roman" w:hAnsi="times roman" w:cs="Times New Roman"/>
          <w:sz w:val="20"/>
          <w:szCs w:val="20"/>
        </w:rPr>
        <w:t>are similarly defined. TightFC is a dummy that takes one if the proxy for a financial constraint is less than the threshold of each year and zero otherwise. Cash flow is defined as the sum of operating profit and depreciation. Firm age is defined as difference between the present year t and the founding year of the firm. Control variables are the</w:t>
      </w:r>
      <w:r w:rsidR="009540FD">
        <w:rPr>
          <w:rFonts w:ascii="times roman" w:hAnsi="times roman" w:cs="Times New Roman"/>
          <w:sz w:val="20"/>
          <w:szCs w:val="20"/>
        </w:rPr>
        <w:t xml:space="preserve"> lagged</w:t>
      </w:r>
      <w:r w:rsidRPr="008C2BED">
        <w:rPr>
          <w:rFonts w:ascii="times roman" w:hAnsi="times roman" w:cs="Times New Roman"/>
          <w:sz w:val="20"/>
          <w:szCs w:val="20"/>
        </w:rPr>
        <w:t xml:space="preserve"> operating profit divided by the lagged tangible fixed assets, the</w:t>
      </w:r>
      <w:r w:rsidR="009540FD">
        <w:rPr>
          <w:rFonts w:ascii="times roman" w:hAnsi="times roman" w:cs="Times New Roman"/>
          <w:sz w:val="20"/>
          <w:szCs w:val="20"/>
        </w:rPr>
        <w:t xml:space="preserve"> lagged</w:t>
      </w:r>
      <w:r w:rsidRPr="008C2BED">
        <w:rPr>
          <w:rFonts w:ascii="times roman" w:hAnsi="times roman" w:cs="Times New Roman"/>
          <w:sz w:val="20"/>
          <w:szCs w:val="20"/>
        </w:rPr>
        <w:t xml:space="preserve"> natural logarithm of one plus fixed assets</w:t>
      </w:r>
      <w:r w:rsidR="009540FD">
        <w:rPr>
          <w:rFonts w:ascii="times roman" w:hAnsi="times roman" w:cs="Times New Roman"/>
          <w:sz w:val="20"/>
          <w:szCs w:val="20"/>
        </w:rPr>
        <w:t>, and the lagged natural logarithm of one plus number of employees</w:t>
      </w:r>
      <w:r w:rsidRPr="008C2BED">
        <w:rPr>
          <w:rFonts w:ascii="times roman" w:hAnsi="times roman" w:cs="Times New Roman"/>
          <w:sz w:val="20"/>
          <w:szCs w:val="20"/>
        </w:rPr>
        <w:t>. ***, **, and * indicate statistical significance at the 1%, 5%, and 10% levels respectively. Clustered robust standard errors are in parentheses.</w:t>
      </w:r>
    </w:p>
    <w:p w14:paraId="7B139DF5" w14:textId="04070B41" w:rsidR="00E01B48" w:rsidRDefault="00E01B48">
      <w:pPr>
        <w:widowControl/>
        <w:jc w:val="left"/>
        <w:rPr>
          <w:rFonts w:ascii="times roman" w:hAnsi="times roman" w:cs="Times New Roman" w:hint="eastAsia"/>
          <w:sz w:val="20"/>
          <w:szCs w:val="20"/>
        </w:rPr>
      </w:pPr>
    </w:p>
    <w:sectPr w:rsidR="00E01B48">
      <w:headerReference w:type="even" r:id="rId21"/>
      <w:headerReference w:type="default" r:id="rId22"/>
      <w:footerReference w:type="even" r:id="rId23"/>
      <w:footerReference w:type="default" r:id="rId24"/>
      <w:headerReference w:type="first" r:id="rId25"/>
      <w:footerReference w:type="first" r:id="rId26"/>
      <w:footnotePr>
        <w:numRestart w:val="eachSect"/>
      </w:footnotePr>
      <w:type w:val="continuous"/>
      <w:pgSz w:w="11906" w:h="16838"/>
      <w:pgMar w:top="1985" w:right="1701" w:bottom="1701" w:left="1701" w:header="851" w:footer="992"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C0AC2C" w14:textId="77777777" w:rsidR="008079DC" w:rsidRDefault="008079DC">
      <w:r>
        <w:separator/>
      </w:r>
    </w:p>
  </w:endnote>
  <w:endnote w:type="continuationSeparator" w:id="0">
    <w:p w14:paraId="76C677F9" w14:textId="77777777" w:rsidR="008079DC" w:rsidRDefault="00807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times roma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5B594" w14:textId="77777777" w:rsidR="00F77E0E" w:rsidRDefault="00F77E0E">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672617"/>
    </w:sdtPr>
    <w:sdtEndPr/>
    <w:sdtContent>
      <w:p w14:paraId="4147CD28" w14:textId="2CF7A977" w:rsidR="00E24F0E" w:rsidRDefault="00E24F0E">
        <w:pPr>
          <w:pStyle w:val="a9"/>
          <w:jc w:val="center"/>
        </w:pPr>
        <w:r>
          <w:fldChar w:fldCharType="begin"/>
        </w:r>
        <w:r>
          <w:instrText>PAGE   \* MERGEFORMAT</w:instrText>
        </w:r>
        <w:r>
          <w:fldChar w:fldCharType="separate"/>
        </w:r>
        <w:r w:rsidR="002F75DD" w:rsidRPr="002F75DD">
          <w:rPr>
            <w:noProof/>
            <w:lang w:val="ja-JP"/>
          </w:rPr>
          <w:t>1</w:t>
        </w:r>
        <w:r>
          <w:fldChar w:fldCharType="end"/>
        </w:r>
      </w:p>
    </w:sdtContent>
  </w:sdt>
  <w:p w14:paraId="7A965A49" w14:textId="77777777" w:rsidR="00E24F0E" w:rsidRDefault="00E24F0E">
    <w:pPr>
      <w:pStyle w:val="a9"/>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6E2E55" w14:textId="77777777" w:rsidR="00F77E0E" w:rsidRDefault="00F77E0E">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37E579" w14:textId="77777777" w:rsidR="008079DC" w:rsidRDefault="008079DC">
      <w:r>
        <w:separator/>
      </w:r>
    </w:p>
  </w:footnote>
  <w:footnote w:type="continuationSeparator" w:id="0">
    <w:p w14:paraId="1AC7E99D" w14:textId="77777777" w:rsidR="008079DC" w:rsidRDefault="008079D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A041C" w14:textId="77777777" w:rsidR="00F77E0E" w:rsidRDefault="00F77E0E">
    <w:pPr>
      <w:pStyle w:val="ab"/>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200C4" w14:textId="77777777" w:rsidR="00F77E0E" w:rsidRDefault="00F77E0E">
    <w:pPr>
      <w:pStyle w:val="ab"/>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16732" w14:textId="77777777" w:rsidR="00F77E0E" w:rsidRDefault="00F77E0E">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A0398"/>
    <w:multiLevelType w:val="multilevel"/>
    <w:tmpl w:val="19D20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isplayBackgroundShape/>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ja-JP" w:vendorID="64" w:dllVersion="0" w:nlCheck="1" w:checkStyle="1"/>
  <w:activeWritingStyle w:appName="MSWord" w:lang="en-US" w:vendorID="64" w:dllVersion="131078" w:nlCheck="1" w:checkStyle="0"/>
  <w:activeWritingStyle w:appName="MSWord" w:lang="ja-JP" w:vendorID="64" w:dllVersion="131078" w:nlCheck="1" w:checkStyle="1"/>
  <w:defaultTabStop w:val="315"/>
  <w:autoHyphenation/>
  <w:drawingGridHorizontalSpacing w:val="110"/>
  <w:drawingGridVerticalSpacing w:val="337"/>
  <w:noPunctuationKerning/>
  <w:characterSpacingControl w:val="compressPunctuation"/>
  <w:hdrShapeDefaults>
    <o:shapedefaults v:ext="edit" spidmax="2049">
      <v:textbox inset="5.85pt,.7pt,5.85pt,.7pt"/>
    </o:shapedefaults>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94E"/>
    <w:rsid w:val="E6FFF62C"/>
    <w:rsid w:val="00000AEF"/>
    <w:rsid w:val="00001C53"/>
    <w:rsid w:val="000026E4"/>
    <w:rsid w:val="00002848"/>
    <w:rsid w:val="00003035"/>
    <w:rsid w:val="000038E0"/>
    <w:rsid w:val="00004A60"/>
    <w:rsid w:val="00010C26"/>
    <w:rsid w:val="0001179A"/>
    <w:rsid w:val="00014235"/>
    <w:rsid w:val="000153EE"/>
    <w:rsid w:val="000228E1"/>
    <w:rsid w:val="00023286"/>
    <w:rsid w:val="0002384C"/>
    <w:rsid w:val="00024563"/>
    <w:rsid w:val="00026146"/>
    <w:rsid w:val="0002647C"/>
    <w:rsid w:val="00027867"/>
    <w:rsid w:val="00027899"/>
    <w:rsid w:val="00027DF9"/>
    <w:rsid w:val="00037005"/>
    <w:rsid w:val="00037398"/>
    <w:rsid w:val="00037BFB"/>
    <w:rsid w:val="00037FC1"/>
    <w:rsid w:val="00040FC5"/>
    <w:rsid w:val="00043651"/>
    <w:rsid w:val="00043777"/>
    <w:rsid w:val="000468FD"/>
    <w:rsid w:val="0005018D"/>
    <w:rsid w:val="00050730"/>
    <w:rsid w:val="000551F0"/>
    <w:rsid w:val="000572DC"/>
    <w:rsid w:val="000601CD"/>
    <w:rsid w:val="000607ED"/>
    <w:rsid w:val="0006175B"/>
    <w:rsid w:val="000631D0"/>
    <w:rsid w:val="00066086"/>
    <w:rsid w:val="0006647A"/>
    <w:rsid w:val="00070C6C"/>
    <w:rsid w:val="00070E51"/>
    <w:rsid w:val="000719FD"/>
    <w:rsid w:val="00072555"/>
    <w:rsid w:val="00073F73"/>
    <w:rsid w:val="000746F5"/>
    <w:rsid w:val="0007489E"/>
    <w:rsid w:val="00080070"/>
    <w:rsid w:val="00080D33"/>
    <w:rsid w:val="00080E0A"/>
    <w:rsid w:val="00082AB6"/>
    <w:rsid w:val="0008345F"/>
    <w:rsid w:val="00083EBA"/>
    <w:rsid w:val="0008515C"/>
    <w:rsid w:val="000906DF"/>
    <w:rsid w:val="00091E4B"/>
    <w:rsid w:val="00091E6D"/>
    <w:rsid w:val="0009359B"/>
    <w:rsid w:val="0009790C"/>
    <w:rsid w:val="000A1891"/>
    <w:rsid w:val="000A25AE"/>
    <w:rsid w:val="000A3641"/>
    <w:rsid w:val="000A4099"/>
    <w:rsid w:val="000A50B5"/>
    <w:rsid w:val="000A63CB"/>
    <w:rsid w:val="000B0943"/>
    <w:rsid w:val="000B1F34"/>
    <w:rsid w:val="000B2911"/>
    <w:rsid w:val="000B4CB6"/>
    <w:rsid w:val="000B67A5"/>
    <w:rsid w:val="000B719A"/>
    <w:rsid w:val="000C0FEC"/>
    <w:rsid w:val="000C1005"/>
    <w:rsid w:val="000C3048"/>
    <w:rsid w:val="000C3CD7"/>
    <w:rsid w:val="000C5E30"/>
    <w:rsid w:val="000C633C"/>
    <w:rsid w:val="000D0D72"/>
    <w:rsid w:val="000D17ED"/>
    <w:rsid w:val="000D2C92"/>
    <w:rsid w:val="000D36D0"/>
    <w:rsid w:val="000D7107"/>
    <w:rsid w:val="000D771F"/>
    <w:rsid w:val="000D78B9"/>
    <w:rsid w:val="000E2583"/>
    <w:rsid w:val="000E6E26"/>
    <w:rsid w:val="000F0177"/>
    <w:rsid w:val="000F0E19"/>
    <w:rsid w:val="000F1A54"/>
    <w:rsid w:val="000F1BDC"/>
    <w:rsid w:val="000F2E22"/>
    <w:rsid w:val="000F3569"/>
    <w:rsid w:val="000F38BA"/>
    <w:rsid w:val="000F4DCD"/>
    <w:rsid w:val="000F6A3F"/>
    <w:rsid w:val="000F7280"/>
    <w:rsid w:val="0010091C"/>
    <w:rsid w:val="00100CDD"/>
    <w:rsid w:val="00102B54"/>
    <w:rsid w:val="00105058"/>
    <w:rsid w:val="00107115"/>
    <w:rsid w:val="00107B86"/>
    <w:rsid w:val="0011062C"/>
    <w:rsid w:val="001127A9"/>
    <w:rsid w:val="00113FC8"/>
    <w:rsid w:val="00114480"/>
    <w:rsid w:val="001167C7"/>
    <w:rsid w:val="00116A4F"/>
    <w:rsid w:val="00116F06"/>
    <w:rsid w:val="001219B7"/>
    <w:rsid w:val="00122010"/>
    <w:rsid w:val="0012272A"/>
    <w:rsid w:val="001233B3"/>
    <w:rsid w:val="00125D39"/>
    <w:rsid w:val="00130205"/>
    <w:rsid w:val="0013071A"/>
    <w:rsid w:val="00130EED"/>
    <w:rsid w:val="00134428"/>
    <w:rsid w:val="00134FA1"/>
    <w:rsid w:val="001353D9"/>
    <w:rsid w:val="00142473"/>
    <w:rsid w:val="00144102"/>
    <w:rsid w:val="00144C63"/>
    <w:rsid w:val="001450F6"/>
    <w:rsid w:val="001451B4"/>
    <w:rsid w:val="001456E3"/>
    <w:rsid w:val="00152D5E"/>
    <w:rsid w:val="00154205"/>
    <w:rsid w:val="00154AE7"/>
    <w:rsid w:val="00155713"/>
    <w:rsid w:val="0015740B"/>
    <w:rsid w:val="0016020D"/>
    <w:rsid w:val="00161692"/>
    <w:rsid w:val="0016259B"/>
    <w:rsid w:val="00162DDA"/>
    <w:rsid w:val="00164649"/>
    <w:rsid w:val="00166461"/>
    <w:rsid w:val="00166B30"/>
    <w:rsid w:val="001732FF"/>
    <w:rsid w:val="00173495"/>
    <w:rsid w:val="00174774"/>
    <w:rsid w:val="001749C7"/>
    <w:rsid w:val="00176C61"/>
    <w:rsid w:val="00180793"/>
    <w:rsid w:val="00181B3D"/>
    <w:rsid w:val="001828C7"/>
    <w:rsid w:val="00182950"/>
    <w:rsid w:val="00184390"/>
    <w:rsid w:val="00185D11"/>
    <w:rsid w:val="0019023C"/>
    <w:rsid w:val="00194C4B"/>
    <w:rsid w:val="001951D1"/>
    <w:rsid w:val="001A158D"/>
    <w:rsid w:val="001A2DC4"/>
    <w:rsid w:val="001A711C"/>
    <w:rsid w:val="001A7D99"/>
    <w:rsid w:val="001B01F4"/>
    <w:rsid w:val="001B03FF"/>
    <w:rsid w:val="001B37DF"/>
    <w:rsid w:val="001B3C61"/>
    <w:rsid w:val="001B51EB"/>
    <w:rsid w:val="001B72BD"/>
    <w:rsid w:val="001C15F7"/>
    <w:rsid w:val="001C27ED"/>
    <w:rsid w:val="001C4327"/>
    <w:rsid w:val="001C748E"/>
    <w:rsid w:val="001D1F24"/>
    <w:rsid w:val="001D4BF2"/>
    <w:rsid w:val="001D53D1"/>
    <w:rsid w:val="001D5CDD"/>
    <w:rsid w:val="001D6535"/>
    <w:rsid w:val="001D65F2"/>
    <w:rsid w:val="001D71B8"/>
    <w:rsid w:val="001D72D7"/>
    <w:rsid w:val="001D7B1E"/>
    <w:rsid w:val="001E3A66"/>
    <w:rsid w:val="001E4609"/>
    <w:rsid w:val="001E5415"/>
    <w:rsid w:val="001E6653"/>
    <w:rsid w:val="001E6F41"/>
    <w:rsid w:val="001E73D4"/>
    <w:rsid w:val="001F2379"/>
    <w:rsid w:val="001F3754"/>
    <w:rsid w:val="001F3924"/>
    <w:rsid w:val="001F3B24"/>
    <w:rsid w:val="001F5295"/>
    <w:rsid w:val="001F5865"/>
    <w:rsid w:val="001F65FD"/>
    <w:rsid w:val="00200672"/>
    <w:rsid w:val="00200D22"/>
    <w:rsid w:val="00201A87"/>
    <w:rsid w:val="00201FC6"/>
    <w:rsid w:val="00211BEC"/>
    <w:rsid w:val="002127CE"/>
    <w:rsid w:val="002176A6"/>
    <w:rsid w:val="002201DC"/>
    <w:rsid w:val="00223386"/>
    <w:rsid w:val="0022401E"/>
    <w:rsid w:val="002246F0"/>
    <w:rsid w:val="00225699"/>
    <w:rsid w:val="002260FB"/>
    <w:rsid w:val="00227DB0"/>
    <w:rsid w:val="00231390"/>
    <w:rsid w:val="00231ABB"/>
    <w:rsid w:val="00235231"/>
    <w:rsid w:val="0023536D"/>
    <w:rsid w:val="00240647"/>
    <w:rsid w:val="0024444D"/>
    <w:rsid w:val="0024457E"/>
    <w:rsid w:val="002450D5"/>
    <w:rsid w:val="00246B58"/>
    <w:rsid w:val="002477FF"/>
    <w:rsid w:val="0025087E"/>
    <w:rsid w:val="00250F3B"/>
    <w:rsid w:val="0025388B"/>
    <w:rsid w:val="002546B1"/>
    <w:rsid w:val="002565A2"/>
    <w:rsid w:val="002608BC"/>
    <w:rsid w:val="002621AB"/>
    <w:rsid w:val="00263D51"/>
    <w:rsid w:val="00263E7D"/>
    <w:rsid w:val="00263F18"/>
    <w:rsid w:val="0026483D"/>
    <w:rsid w:val="00264D45"/>
    <w:rsid w:val="00266116"/>
    <w:rsid w:val="00266B53"/>
    <w:rsid w:val="00271481"/>
    <w:rsid w:val="00273ABB"/>
    <w:rsid w:val="00276B95"/>
    <w:rsid w:val="00277814"/>
    <w:rsid w:val="002803A4"/>
    <w:rsid w:val="00280705"/>
    <w:rsid w:val="00281401"/>
    <w:rsid w:val="00281E32"/>
    <w:rsid w:val="00282CF0"/>
    <w:rsid w:val="0028350E"/>
    <w:rsid w:val="00292200"/>
    <w:rsid w:val="0029667B"/>
    <w:rsid w:val="002A07EB"/>
    <w:rsid w:val="002A2F05"/>
    <w:rsid w:val="002A4FC7"/>
    <w:rsid w:val="002A6105"/>
    <w:rsid w:val="002A7C76"/>
    <w:rsid w:val="002B2642"/>
    <w:rsid w:val="002B4143"/>
    <w:rsid w:val="002B4391"/>
    <w:rsid w:val="002B5A1A"/>
    <w:rsid w:val="002B72B7"/>
    <w:rsid w:val="002C0058"/>
    <w:rsid w:val="002C0A8A"/>
    <w:rsid w:val="002C32CE"/>
    <w:rsid w:val="002C43FB"/>
    <w:rsid w:val="002C56A5"/>
    <w:rsid w:val="002C5E57"/>
    <w:rsid w:val="002C5F42"/>
    <w:rsid w:val="002C666F"/>
    <w:rsid w:val="002C6851"/>
    <w:rsid w:val="002C7B63"/>
    <w:rsid w:val="002D232B"/>
    <w:rsid w:val="002D655C"/>
    <w:rsid w:val="002D69CA"/>
    <w:rsid w:val="002E0DB6"/>
    <w:rsid w:val="002E3F8D"/>
    <w:rsid w:val="002E43D1"/>
    <w:rsid w:val="002E5A7A"/>
    <w:rsid w:val="002E6FE5"/>
    <w:rsid w:val="002F355F"/>
    <w:rsid w:val="002F6EE9"/>
    <w:rsid w:val="002F75DD"/>
    <w:rsid w:val="0030442C"/>
    <w:rsid w:val="003049C4"/>
    <w:rsid w:val="0030538E"/>
    <w:rsid w:val="00313677"/>
    <w:rsid w:val="00314686"/>
    <w:rsid w:val="00315192"/>
    <w:rsid w:val="0031599B"/>
    <w:rsid w:val="00316C23"/>
    <w:rsid w:val="00316E75"/>
    <w:rsid w:val="00322F32"/>
    <w:rsid w:val="00324089"/>
    <w:rsid w:val="00330A5E"/>
    <w:rsid w:val="00332798"/>
    <w:rsid w:val="0033322A"/>
    <w:rsid w:val="00334A75"/>
    <w:rsid w:val="00334D28"/>
    <w:rsid w:val="00334E97"/>
    <w:rsid w:val="00335100"/>
    <w:rsid w:val="0034104B"/>
    <w:rsid w:val="003448B2"/>
    <w:rsid w:val="003461A7"/>
    <w:rsid w:val="00350D8E"/>
    <w:rsid w:val="00355465"/>
    <w:rsid w:val="00356041"/>
    <w:rsid w:val="00356C6A"/>
    <w:rsid w:val="00357C0D"/>
    <w:rsid w:val="003614E2"/>
    <w:rsid w:val="00364516"/>
    <w:rsid w:val="003646ED"/>
    <w:rsid w:val="003651E0"/>
    <w:rsid w:val="0036670D"/>
    <w:rsid w:val="003671D3"/>
    <w:rsid w:val="00370932"/>
    <w:rsid w:val="003724F7"/>
    <w:rsid w:val="00373E4A"/>
    <w:rsid w:val="0037471B"/>
    <w:rsid w:val="00376878"/>
    <w:rsid w:val="00377C71"/>
    <w:rsid w:val="00380073"/>
    <w:rsid w:val="00381BFC"/>
    <w:rsid w:val="003829C6"/>
    <w:rsid w:val="00382AB8"/>
    <w:rsid w:val="00383382"/>
    <w:rsid w:val="003834E5"/>
    <w:rsid w:val="00384A8C"/>
    <w:rsid w:val="00392912"/>
    <w:rsid w:val="00393A1F"/>
    <w:rsid w:val="00395790"/>
    <w:rsid w:val="003973B9"/>
    <w:rsid w:val="003975FE"/>
    <w:rsid w:val="003A13D2"/>
    <w:rsid w:val="003A18D1"/>
    <w:rsid w:val="003A1E10"/>
    <w:rsid w:val="003A2A8C"/>
    <w:rsid w:val="003A3E20"/>
    <w:rsid w:val="003A3FAF"/>
    <w:rsid w:val="003A4506"/>
    <w:rsid w:val="003A497A"/>
    <w:rsid w:val="003A51FF"/>
    <w:rsid w:val="003A5BDB"/>
    <w:rsid w:val="003A7729"/>
    <w:rsid w:val="003B02B6"/>
    <w:rsid w:val="003B0953"/>
    <w:rsid w:val="003B246F"/>
    <w:rsid w:val="003B4308"/>
    <w:rsid w:val="003B58B5"/>
    <w:rsid w:val="003C3666"/>
    <w:rsid w:val="003C6057"/>
    <w:rsid w:val="003C6D38"/>
    <w:rsid w:val="003C763B"/>
    <w:rsid w:val="003D2483"/>
    <w:rsid w:val="003D3683"/>
    <w:rsid w:val="003D6433"/>
    <w:rsid w:val="003D6675"/>
    <w:rsid w:val="003D6D34"/>
    <w:rsid w:val="003D6DE1"/>
    <w:rsid w:val="003D7B4C"/>
    <w:rsid w:val="003D7FBB"/>
    <w:rsid w:val="003E249C"/>
    <w:rsid w:val="003E4BF6"/>
    <w:rsid w:val="003E53AD"/>
    <w:rsid w:val="003E6A77"/>
    <w:rsid w:val="003E6B45"/>
    <w:rsid w:val="003F2890"/>
    <w:rsid w:val="003F3192"/>
    <w:rsid w:val="003F704C"/>
    <w:rsid w:val="00401B7D"/>
    <w:rsid w:val="00403558"/>
    <w:rsid w:val="00404250"/>
    <w:rsid w:val="00410A26"/>
    <w:rsid w:val="00411B18"/>
    <w:rsid w:val="0041359A"/>
    <w:rsid w:val="00414914"/>
    <w:rsid w:val="00415A3A"/>
    <w:rsid w:val="004165EA"/>
    <w:rsid w:val="0041724B"/>
    <w:rsid w:val="00420127"/>
    <w:rsid w:val="004202C5"/>
    <w:rsid w:val="004205BF"/>
    <w:rsid w:val="004208BF"/>
    <w:rsid w:val="00420A66"/>
    <w:rsid w:val="00421481"/>
    <w:rsid w:val="00423A2A"/>
    <w:rsid w:val="0043081B"/>
    <w:rsid w:val="004315B3"/>
    <w:rsid w:val="004315D0"/>
    <w:rsid w:val="00431E92"/>
    <w:rsid w:val="004329D5"/>
    <w:rsid w:val="00432A09"/>
    <w:rsid w:val="004336DF"/>
    <w:rsid w:val="00434D22"/>
    <w:rsid w:val="00435C93"/>
    <w:rsid w:val="00440098"/>
    <w:rsid w:val="00441D74"/>
    <w:rsid w:val="0044481B"/>
    <w:rsid w:val="0044721B"/>
    <w:rsid w:val="00447B1D"/>
    <w:rsid w:val="0045031D"/>
    <w:rsid w:val="0045217E"/>
    <w:rsid w:val="00453517"/>
    <w:rsid w:val="00455744"/>
    <w:rsid w:val="00455A44"/>
    <w:rsid w:val="0045747A"/>
    <w:rsid w:val="004652A6"/>
    <w:rsid w:val="00471139"/>
    <w:rsid w:val="00471707"/>
    <w:rsid w:val="004741CA"/>
    <w:rsid w:val="00476208"/>
    <w:rsid w:val="004764EC"/>
    <w:rsid w:val="00476D87"/>
    <w:rsid w:val="00482B25"/>
    <w:rsid w:val="00483852"/>
    <w:rsid w:val="00484F27"/>
    <w:rsid w:val="0048740F"/>
    <w:rsid w:val="00487DE0"/>
    <w:rsid w:val="00487E74"/>
    <w:rsid w:val="0049590D"/>
    <w:rsid w:val="0049757F"/>
    <w:rsid w:val="00497F74"/>
    <w:rsid w:val="004A19E1"/>
    <w:rsid w:val="004A7425"/>
    <w:rsid w:val="004B09AE"/>
    <w:rsid w:val="004B0FC2"/>
    <w:rsid w:val="004B4187"/>
    <w:rsid w:val="004B41E6"/>
    <w:rsid w:val="004B67D9"/>
    <w:rsid w:val="004B78B7"/>
    <w:rsid w:val="004C243D"/>
    <w:rsid w:val="004C2C83"/>
    <w:rsid w:val="004C3254"/>
    <w:rsid w:val="004C340D"/>
    <w:rsid w:val="004C34AD"/>
    <w:rsid w:val="004C408C"/>
    <w:rsid w:val="004C52DB"/>
    <w:rsid w:val="004C6DE7"/>
    <w:rsid w:val="004D002C"/>
    <w:rsid w:val="004D0333"/>
    <w:rsid w:val="004D3FC3"/>
    <w:rsid w:val="004D440B"/>
    <w:rsid w:val="004D6441"/>
    <w:rsid w:val="004E0FE0"/>
    <w:rsid w:val="004E52C9"/>
    <w:rsid w:val="004E5E8C"/>
    <w:rsid w:val="004E5FDE"/>
    <w:rsid w:val="004E7ACF"/>
    <w:rsid w:val="004F1F32"/>
    <w:rsid w:val="004F47CB"/>
    <w:rsid w:val="004F5100"/>
    <w:rsid w:val="004F5EF7"/>
    <w:rsid w:val="004F612C"/>
    <w:rsid w:val="004F7EC7"/>
    <w:rsid w:val="004F7FEE"/>
    <w:rsid w:val="00501C22"/>
    <w:rsid w:val="0050510C"/>
    <w:rsid w:val="00507577"/>
    <w:rsid w:val="005122BE"/>
    <w:rsid w:val="00513452"/>
    <w:rsid w:val="005160A6"/>
    <w:rsid w:val="00521679"/>
    <w:rsid w:val="0052274F"/>
    <w:rsid w:val="00524B7B"/>
    <w:rsid w:val="0053054E"/>
    <w:rsid w:val="00531485"/>
    <w:rsid w:val="005315AC"/>
    <w:rsid w:val="00533F2C"/>
    <w:rsid w:val="0053457F"/>
    <w:rsid w:val="00535D91"/>
    <w:rsid w:val="00536FC0"/>
    <w:rsid w:val="0054036F"/>
    <w:rsid w:val="00540F89"/>
    <w:rsid w:val="0054151A"/>
    <w:rsid w:val="00544FA8"/>
    <w:rsid w:val="00553AB9"/>
    <w:rsid w:val="00556492"/>
    <w:rsid w:val="00557C27"/>
    <w:rsid w:val="00557E43"/>
    <w:rsid w:val="005608AA"/>
    <w:rsid w:val="005620EE"/>
    <w:rsid w:val="00564BB3"/>
    <w:rsid w:val="00565AA2"/>
    <w:rsid w:val="005662D7"/>
    <w:rsid w:val="005664FD"/>
    <w:rsid w:val="00566A94"/>
    <w:rsid w:val="00571073"/>
    <w:rsid w:val="005710E3"/>
    <w:rsid w:val="005719A0"/>
    <w:rsid w:val="0057291B"/>
    <w:rsid w:val="00572F80"/>
    <w:rsid w:val="005740D6"/>
    <w:rsid w:val="00577172"/>
    <w:rsid w:val="00581EFE"/>
    <w:rsid w:val="00581FFA"/>
    <w:rsid w:val="00583DDF"/>
    <w:rsid w:val="00584756"/>
    <w:rsid w:val="0059290A"/>
    <w:rsid w:val="00595570"/>
    <w:rsid w:val="00595DC1"/>
    <w:rsid w:val="00596F47"/>
    <w:rsid w:val="0059704D"/>
    <w:rsid w:val="0059757D"/>
    <w:rsid w:val="00597EA0"/>
    <w:rsid w:val="005A0822"/>
    <w:rsid w:val="005A2C20"/>
    <w:rsid w:val="005A55F8"/>
    <w:rsid w:val="005A585A"/>
    <w:rsid w:val="005A6CF0"/>
    <w:rsid w:val="005A73F5"/>
    <w:rsid w:val="005A7504"/>
    <w:rsid w:val="005A7746"/>
    <w:rsid w:val="005B0752"/>
    <w:rsid w:val="005B2D93"/>
    <w:rsid w:val="005B3D53"/>
    <w:rsid w:val="005B4139"/>
    <w:rsid w:val="005B56E4"/>
    <w:rsid w:val="005B5B25"/>
    <w:rsid w:val="005B78F9"/>
    <w:rsid w:val="005C0803"/>
    <w:rsid w:val="005C1AD1"/>
    <w:rsid w:val="005C204F"/>
    <w:rsid w:val="005C21FC"/>
    <w:rsid w:val="005C2E65"/>
    <w:rsid w:val="005C46F9"/>
    <w:rsid w:val="005C4A4B"/>
    <w:rsid w:val="005C4FA7"/>
    <w:rsid w:val="005C5077"/>
    <w:rsid w:val="005C7139"/>
    <w:rsid w:val="005C79E4"/>
    <w:rsid w:val="005D24E6"/>
    <w:rsid w:val="005D3095"/>
    <w:rsid w:val="005D3979"/>
    <w:rsid w:val="005D7F41"/>
    <w:rsid w:val="005E187E"/>
    <w:rsid w:val="005E2C31"/>
    <w:rsid w:val="005E31E2"/>
    <w:rsid w:val="005E55B8"/>
    <w:rsid w:val="005E58DD"/>
    <w:rsid w:val="005E6A24"/>
    <w:rsid w:val="005F3E71"/>
    <w:rsid w:val="005F46CE"/>
    <w:rsid w:val="005F64EF"/>
    <w:rsid w:val="005F6505"/>
    <w:rsid w:val="005F6D07"/>
    <w:rsid w:val="005F702B"/>
    <w:rsid w:val="00601254"/>
    <w:rsid w:val="00602967"/>
    <w:rsid w:val="00602D76"/>
    <w:rsid w:val="00603C9A"/>
    <w:rsid w:val="00606D16"/>
    <w:rsid w:val="00606F67"/>
    <w:rsid w:val="0060726E"/>
    <w:rsid w:val="00612F5C"/>
    <w:rsid w:val="006132A2"/>
    <w:rsid w:val="0061683C"/>
    <w:rsid w:val="0062071C"/>
    <w:rsid w:val="00620FB6"/>
    <w:rsid w:val="0062274C"/>
    <w:rsid w:val="006228DE"/>
    <w:rsid w:val="00623016"/>
    <w:rsid w:val="00623492"/>
    <w:rsid w:val="00624E2A"/>
    <w:rsid w:val="00625CB5"/>
    <w:rsid w:val="006279E4"/>
    <w:rsid w:val="0063170C"/>
    <w:rsid w:val="00633EB7"/>
    <w:rsid w:val="00633EBF"/>
    <w:rsid w:val="00636B5D"/>
    <w:rsid w:val="00642A99"/>
    <w:rsid w:val="00642C87"/>
    <w:rsid w:val="00645C5A"/>
    <w:rsid w:val="006471C1"/>
    <w:rsid w:val="00647F93"/>
    <w:rsid w:val="00650EC3"/>
    <w:rsid w:val="006546E2"/>
    <w:rsid w:val="006569CB"/>
    <w:rsid w:val="00657330"/>
    <w:rsid w:val="006638DD"/>
    <w:rsid w:val="006640C6"/>
    <w:rsid w:val="00664F3E"/>
    <w:rsid w:val="00665FF7"/>
    <w:rsid w:val="006664CD"/>
    <w:rsid w:val="00670C13"/>
    <w:rsid w:val="00672B64"/>
    <w:rsid w:val="00673A26"/>
    <w:rsid w:val="006740FE"/>
    <w:rsid w:val="006742C4"/>
    <w:rsid w:val="006750D2"/>
    <w:rsid w:val="006772F8"/>
    <w:rsid w:val="006777B4"/>
    <w:rsid w:val="00680FE1"/>
    <w:rsid w:val="00684AC6"/>
    <w:rsid w:val="00686D3A"/>
    <w:rsid w:val="00687F9B"/>
    <w:rsid w:val="00690B34"/>
    <w:rsid w:val="00691EEA"/>
    <w:rsid w:val="006934BA"/>
    <w:rsid w:val="0069353F"/>
    <w:rsid w:val="00694F23"/>
    <w:rsid w:val="00695453"/>
    <w:rsid w:val="006956F9"/>
    <w:rsid w:val="00695CB8"/>
    <w:rsid w:val="0069675A"/>
    <w:rsid w:val="006A0000"/>
    <w:rsid w:val="006A02C0"/>
    <w:rsid w:val="006A0CEB"/>
    <w:rsid w:val="006A1F33"/>
    <w:rsid w:val="006A2B9C"/>
    <w:rsid w:val="006A66E7"/>
    <w:rsid w:val="006A7E8E"/>
    <w:rsid w:val="006B04C9"/>
    <w:rsid w:val="006B1965"/>
    <w:rsid w:val="006B1BFD"/>
    <w:rsid w:val="006B21F8"/>
    <w:rsid w:val="006B5EF4"/>
    <w:rsid w:val="006B6848"/>
    <w:rsid w:val="006C0910"/>
    <w:rsid w:val="006C1EF5"/>
    <w:rsid w:val="006C2108"/>
    <w:rsid w:val="006C2CE9"/>
    <w:rsid w:val="006C54CC"/>
    <w:rsid w:val="006D39A4"/>
    <w:rsid w:val="006D4007"/>
    <w:rsid w:val="006D440C"/>
    <w:rsid w:val="006E39DD"/>
    <w:rsid w:val="006E744B"/>
    <w:rsid w:val="006E7F02"/>
    <w:rsid w:val="006F1600"/>
    <w:rsid w:val="006F1792"/>
    <w:rsid w:val="006F1AAF"/>
    <w:rsid w:val="006F2215"/>
    <w:rsid w:val="006F5160"/>
    <w:rsid w:val="006F7A62"/>
    <w:rsid w:val="00703BFE"/>
    <w:rsid w:val="007052C5"/>
    <w:rsid w:val="00707A13"/>
    <w:rsid w:val="00710475"/>
    <w:rsid w:val="007108FE"/>
    <w:rsid w:val="007127F7"/>
    <w:rsid w:val="00715620"/>
    <w:rsid w:val="00715D0E"/>
    <w:rsid w:val="00716E7D"/>
    <w:rsid w:val="00717F60"/>
    <w:rsid w:val="00720582"/>
    <w:rsid w:val="00720C6C"/>
    <w:rsid w:val="007227EC"/>
    <w:rsid w:val="0072746D"/>
    <w:rsid w:val="007306F7"/>
    <w:rsid w:val="00730817"/>
    <w:rsid w:val="00731F0D"/>
    <w:rsid w:val="00733EAE"/>
    <w:rsid w:val="0073521E"/>
    <w:rsid w:val="00735E23"/>
    <w:rsid w:val="007374C0"/>
    <w:rsid w:val="0074043A"/>
    <w:rsid w:val="00741B03"/>
    <w:rsid w:val="0074336F"/>
    <w:rsid w:val="00744E80"/>
    <w:rsid w:val="00745637"/>
    <w:rsid w:val="0074604B"/>
    <w:rsid w:val="007520BE"/>
    <w:rsid w:val="00753E5F"/>
    <w:rsid w:val="00754480"/>
    <w:rsid w:val="00756DF3"/>
    <w:rsid w:val="00757243"/>
    <w:rsid w:val="00757939"/>
    <w:rsid w:val="0076044F"/>
    <w:rsid w:val="00760E43"/>
    <w:rsid w:val="00762B78"/>
    <w:rsid w:val="00765622"/>
    <w:rsid w:val="0076640C"/>
    <w:rsid w:val="0076719F"/>
    <w:rsid w:val="007700E1"/>
    <w:rsid w:val="00772441"/>
    <w:rsid w:val="007725B9"/>
    <w:rsid w:val="00773622"/>
    <w:rsid w:val="007746C2"/>
    <w:rsid w:val="007766D9"/>
    <w:rsid w:val="00777071"/>
    <w:rsid w:val="0077739E"/>
    <w:rsid w:val="007777EF"/>
    <w:rsid w:val="00780070"/>
    <w:rsid w:val="00780711"/>
    <w:rsid w:val="007808F6"/>
    <w:rsid w:val="00780ECD"/>
    <w:rsid w:val="00782CD6"/>
    <w:rsid w:val="007840ED"/>
    <w:rsid w:val="00791F65"/>
    <w:rsid w:val="00792552"/>
    <w:rsid w:val="0079433E"/>
    <w:rsid w:val="00796C73"/>
    <w:rsid w:val="00797BC6"/>
    <w:rsid w:val="00797E8F"/>
    <w:rsid w:val="007A0DCB"/>
    <w:rsid w:val="007A2154"/>
    <w:rsid w:val="007A23DF"/>
    <w:rsid w:val="007A3E0E"/>
    <w:rsid w:val="007A56A6"/>
    <w:rsid w:val="007A65C1"/>
    <w:rsid w:val="007A777A"/>
    <w:rsid w:val="007B0D3A"/>
    <w:rsid w:val="007B1B97"/>
    <w:rsid w:val="007B2589"/>
    <w:rsid w:val="007B2A8F"/>
    <w:rsid w:val="007B30CA"/>
    <w:rsid w:val="007B3923"/>
    <w:rsid w:val="007B4E90"/>
    <w:rsid w:val="007B5ACE"/>
    <w:rsid w:val="007B660A"/>
    <w:rsid w:val="007C08CE"/>
    <w:rsid w:val="007C303D"/>
    <w:rsid w:val="007C4D45"/>
    <w:rsid w:val="007C5114"/>
    <w:rsid w:val="007C63B8"/>
    <w:rsid w:val="007C655E"/>
    <w:rsid w:val="007D282D"/>
    <w:rsid w:val="007D3358"/>
    <w:rsid w:val="007D3EC4"/>
    <w:rsid w:val="007D41DE"/>
    <w:rsid w:val="007D6D9E"/>
    <w:rsid w:val="007D7E1C"/>
    <w:rsid w:val="007E13C9"/>
    <w:rsid w:val="007E1EE1"/>
    <w:rsid w:val="007E20DB"/>
    <w:rsid w:val="007E2243"/>
    <w:rsid w:val="007E2345"/>
    <w:rsid w:val="007E41C7"/>
    <w:rsid w:val="007E4737"/>
    <w:rsid w:val="007E49F8"/>
    <w:rsid w:val="007E724A"/>
    <w:rsid w:val="007E7399"/>
    <w:rsid w:val="007E7F40"/>
    <w:rsid w:val="007F5100"/>
    <w:rsid w:val="007F57E0"/>
    <w:rsid w:val="007F7004"/>
    <w:rsid w:val="007F79C8"/>
    <w:rsid w:val="00803157"/>
    <w:rsid w:val="008038E0"/>
    <w:rsid w:val="00804D0B"/>
    <w:rsid w:val="00805FC4"/>
    <w:rsid w:val="008079DC"/>
    <w:rsid w:val="008114D4"/>
    <w:rsid w:val="00811A04"/>
    <w:rsid w:val="00811FE2"/>
    <w:rsid w:val="00812CDD"/>
    <w:rsid w:val="0081580F"/>
    <w:rsid w:val="00815AC7"/>
    <w:rsid w:val="0081690D"/>
    <w:rsid w:val="00816B91"/>
    <w:rsid w:val="00820A88"/>
    <w:rsid w:val="00821B45"/>
    <w:rsid w:val="00826BBA"/>
    <w:rsid w:val="00826D7F"/>
    <w:rsid w:val="008275FB"/>
    <w:rsid w:val="00835A05"/>
    <w:rsid w:val="00835B63"/>
    <w:rsid w:val="0084177B"/>
    <w:rsid w:val="00841E6C"/>
    <w:rsid w:val="00841FBC"/>
    <w:rsid w:val="00844E51"/>
    <w:rsid w:val="00845DB4"/>
    <w:rsid w:val="008470DE"/>
    <w:rsid w:val="008505FE"/>
    <w:rsid w:val="00853AAC"/>
    <w:rsid w:val="00854585"/>
    <w:rsid w:val="00854CB0"/>
    <w:rsid w:val="008569BB"/>
    <w:rsid w:val="008570FA"/>
    <w:rsid w:val="0086061E"/>
    <w:rsid w:val="00860D25"/>
    <w:rsid w:val="0086362D"/>
    <w:rsid w:val="00863733"/>
    <w:rsid w:val="008650A2"/>
    <w:rsid w:val="008668D7"/>
    <w:rsid w:val="008716B0"/>
    <w:rsid w:val="008734DA"/>
    <w:rsid w:val="008757CC"/>
    <w:rsid w:val="008820AF"/>
    <w:rsid w:val="00884A2D"/>
    <w:rsid w:val="0088703E"/>
    <w:rsid w:val="00890E05"/>
    <w:rsid w:val="00892307"/>
    <w:rsid w:val="00892A8F"/>
    <w:rsid w:val="008933B7"/>
    <w:rsid w:val="00893551"/>
    <w:rsid w:val="0089417E"/>
    <w:rsid w:val="0089538C"/>
    <w:rsid w:val="008960EB"/>
    <w:rsid w:val="00896F4B"/>
    <w:rsid w:val="00897D9A"/>
    <w:rsid w:val="008A05C7"/>
    <w:rsid w:val="008A11A8"/>
    <w:rsid w:val="008A3300"/>
    <w:rsid w:val="008A3B9D"/>
    <w:rsid w:val="008A3F0B"/>
    <w:rsid w:val="008A4D65"/>
    <w:rsid w:val="008A5D17"/>
    <w:rsid w:val="008A5E62"/>
    <w:rsid w:val="008A697A"/>
    <w:rsid w:val="008A79DA"/>
    <w:rsid w:val="008A7E47"/>
    <w:rsid w:val="008B0374"/>
    <w:rsid w:val="008B07BA"/>
    <w:rsid w:val="008B0A35"/>
    <w:rsid w:val="008B1282"/>
    <w:rsid w:val="008B38DD"/>
    <w:rsid w:val="008B41CC"/>
    <w:rsid w:val="008B52CC"/>
    <w:rsid w:val="008B5BAA"/>
    <w:rsid w:val="008B5CE0"/>
    <w:rsid w:val="008B7994"/>
    <w:rsid w:val="008C197E"/>
    <w:rsid w:val="008C2BED"/>
    <w:rsid w:val="008C302B"/>
    <w:rsid w:val="008C3168"/>
    <w:rsid w:val="008C5FCC"/>
    <w:rsid w:val="008C72AC"/>
    <w:rsid w:val="008D191D"/>
    <w:rsid w:val="008D2E7C"/>
    <w:rsid w:val="008D3F4E"/>
    <w:rsid w:val="008D500C"/>
    <w:rsid w:val="008D55DC"/>
    <w:rsid w:val="008D6957"/>
    <w:rsid w:val="008D776C"/>
    <w:rsid w:val="008E0D0A"/>
    <w:rsid w:val="008E265F"/>
    <w:rsid w:val="008E299F"/>
    <w:rsid w:val="008E3225"/>
    <w:rsid w:val="008E3902"/>
    <w:rsid w:val="008E3AA1"/>
    <w:rsid w:val="008E5382"/>
    <w:rsid w:val="008E5490"/>
    <w:rsid w:val="008F08CB"/>
    <w:rsid w:val="008F13F7"/>
    <w:rsid w:val="008F2612"/>
    <w:rsid w:val="008F3F9E"/>
    <w:rsid w:val="008F4522"/>
    <w:rsid w:val="008F4859"/>
    <w:rsid w:val="008F4A1D"/>
    <w:rsid w:val="008F4F43"/>
    <w:rsid w:val="008F7024"/>
    <w:rsid w:val="00902BED"/>
    <w:rsid w:val="00903EFE"/>
    <w:rsid w:val="00904A19"/>
    <w:rsid w:val="00904FFF"/>
    <w:rsid w:val="00905BFA"/>
    <w:rsid w:val="00907486"/>
    <w:rsid w:val="00920826"/>
    <w:rsid w:val="00920B1D"/>
    <w:rsid w:val="00921710"/>
    <w:rsid w:val="00922AD8"/>
    <w:rsid w:val="00922F4F"/>
    <w:rsid w:val="009238D6"/>
    <w:rsid w:val="00925B4C"/>
    <w:rsid w:val="00926EF6"/>
    <w:rsid w:val="0093145F"/>
    <w:rsid w:val="00936B86"/>
    <w:rsid w:val="0094022F"/>
    <w:rsid w:val="00941152"/>
    <w:rsid w:val="0094286C"/>
    <w:rsid w:val="00942EB5"/>
    <w:rsid w:val="00944B74"/>
    <w:rsid w:val="00944EE6"/>
    <w:rsid w:val="009453CD"/>
    <w:rsid w:val="0094766A"/>
    <w:rsid w:val="009526E2"/>
    <w:rsid w:val="00953F6D"/>
    <w:rsid w:val="009540FD"/>
    <w:rsid w:val="009571F1"/>
    <w:rsid w:val="00961170"/>
    <w:rsid w:val="00961374"/>
    <w:rsid w:val="009628C8"/>
    <w:rsid w:val="0096375C"/>
    <w:rsid w:val="00964096"/>
    <w:rsid w:val="00966335"/>
    <w:rsid w:val="0096672B"/>
    <w:rsid w:val="00970390"/>
    <w:rsid w:val="0097106F"/>
    <w:rsid w:val="00973A9A"/>
    <w:rsid w:val="00980D99"/>
    <w:rsid w:val="00980E22"/>
    <w:rsid w:val="00981907"/>
    <w:rsid w:val="00981C00"/>
    <w:rsid w:val="00982427"/>
    <w:rsid w:val="00982FFC"/>
    <w:rsid w:val="0098505C"/>
    <w:rsid w:val="00985253"/>
    <w:rsid w:val="00985DF3"/>
    <w:rsid w:val="00990A0C"/>
    <w:rsid w:val="009942FE"/>
    <w:rsid w:val="00995734"/>
    <w:rsid w:val="00995F56"/>
    <w:rsid w:val="009A06CF"/>
    <w:rsid w:val="009A1515"/>
    <w:rsid w:val="009A3425"/>
    <w:rsid w:val="009A4389"/>
    <w:rsid w:val="009A5264"/>
    <w:rsid w:val="009A5499"/>
    <w:rsid w:val="009A55A6"/>
    <w:rsid w:val="009B1458"/>
    <w:rsid w:val="009B1B85"/>
    <w:rsid w:val="009B2CF4"/>
    <w:rsid w:val="009B2E00"/>
    <w:rsid w:val="009B4271"/>
    <w:rsid w:val="009B4356"/>
    <w:rsid w:val="009B5A18"/>
    <w:rsid w:val="009B642F"/>
    <w:rsid w:val="009B643F"/>
    <w:rsid w:val="009B782B"/>
    <w:rsid w:val="009B7D3C"/>
    <w:rsid w:val="009C05A2"/>
    <w:rsid w:val="009C40B0"/>
    <w:rsid w:val="009C6958"/>
    <w:rsid w:val="009C69A5"/>
    <w:rsid w:val="009C6BA4"/>
    <w:rsid w:val="009D002C"/>
    <w:rsid w:val="009D05D7"/>
    <w:rsid w:val="009D1804"/>
    <w:rsid w:val="009D20C1"/>
    <w:rsid w:val="009D3027"/>
    <w:rsid w:val="009D468E"/>
    <w:rsid w:val="009D7CC3"/>
    <w:rsid w:val="009E11D1"/>
    <w:rsid w:val="009E1F39"/>
    <w:rsid w:val="009E6639"/>
    <w:rsid w:val="009F1131"/>
    <w:rsid w:val="009F1318"/>
    <w:rsid w:val="009F1454"/>
    <w:rsid w:val="009F1E39"/>
    <w:rsid w:val="009F2B73"/>
    <w:rsid w:val="009F4AB6"/>
    <w:rsid w:val="009F648B"/>
    <w:rsid w:val="009F66E3"/>
    <w:rsid w:val="009F7D88"/>
    <w:rsid w:val="00A02BA0"/>
    <w:rsid w:val="00A032DC"/>
    <w:rsid w:val="00A03869"/>
    <w:rsid w:val="00A0486F"/>
    <w:rsid w:val="00A04B24"/>
    <w:rsid w:val="00A1052D"/>
    <w:rsid w:val="00A125E4"/>
    <w:rsid w:val="00A12ECB"/>
    <w:rsid w:val="00A13A85"/>
    <w:rsid w:val="00A13C2C"/>
    <w:rsid w:val="00A15090"/>
    <w:rsid w:val="00A166F7"/>
    <w:rsid w:val="00A16D82"/>
    <w:rsid w:val="00A20213"/>
    <w:rsid w:val="00A20708"/>
    <w:rsid w:val="00A20C9D"/>
    <w:rsid w:val="00A20CEA"/>
    <w:rsid w:val="00A21793"/>
    <w:rsid w:val="00A2226B"/>
    <w:rsid w:val="00A246C9"/>
    <w:rsid w:val="00A24BB9"/>
    <w:rsid w:val="00A262A3"/>
    <w:rsid w:val="00A269F1"/>
    <w:rsid w:val="00A26B11"/>
    <w:rsid w:val="00A30F50"/>
    <w:rsid w:val="00A31300"/>
    <w:rsid w:val="00A32287"/>
    <w:rsid w:val="00A3230F"/>
    <w:rsid w:val="00A32B54"/>
    <w:rsid w:val="00A33757"/>
    <w:rsid w:val="00A33B9E"/>
    <w:rsid w:val="00A34C86"/>
    <w:rsid w:val="00A3573E"/>
    <w:rsid w:val="00A35CFA"/>
    <w:rsid w:val="00A3698A"/>
    <w:rsid w:val="00A36F42"/>
    <w:rsid w:val="00A427A7"/>
    <w:rsid w:val="00A42ED1"/>
    <w:rsid w:val="00A4485D"/>
    <w:rsid w:val="00A46C59"/>
    <w:rsid w:val="00A47FCF"/>
    <w:rsid w:val="00A51AA3"/>
    <w:rsid w:val="00A55354"/>
    <w:rsid w:val="00A55DC7"/>
    <w:rsid w:val="00A56045"/>
    <w:rsid w:val="00A608A9"/>
    <w:rsid w:val="00A637DF"/>
    <w:rsid w:val="00A649CF"/>
    <w:rsid w:val="00A65588"/>
    <w:rsid w:val="00A70DFF"/>
    <w:rsid w:val="00A720FD"/>
    <w:rsid w:val="00A72F87"/>
    <w:rsid w:val="00A740AE"/>
    <w:rsid w:val="00A756B2"/>
    <w:rsid w:val="00A75942"/>
    <w:rsid w:val="00A75A6D"/>
    <w:rsid w:val="00A75ACF"/>
    <w:rsid w:val="00A75E84"/>
    <w:rsid w:val="00A76276"/>
    <w:rsid w:val="00A76ED1"/>
    <w:rsid w:val="00A80B4E"/>
    <w:rsid w:val="00A82E73"/>
    <w:rsid w:val="00A835CE"/>
    <w:rsid w:val="00A84259"/>
    <w:rsid w:val="00A84298"/>
    <w:rsid w:val="00A86C0D"/>
    <w:rsid w:val="00A91AA6"/>
    <w:rsid w:val="00A94302"/>
    <w:rsid w:val="00A960CB"/>
    <w:rsid w:val="00A968F6"/>
    <w:rsid w:val="00A96B68"/>
    <w:rsid w:val="00A974BA"/>
    <w:rsid w:val="00AA2932"/>
    <w:rsid w:val="00AA503E"/>
    <w:rsid w:val="00AA65D1"/>
    <w:rsid w:val="00AA6AA8"/>
    <w:rsid w:val="00AB03B4"/>
    <w:rsid w:val="00AB09DB"/>
    <w:rsid w:val="00AB173F"/>
    <w:rsid w:val="00AB1E86"/>
    <w:rsid w:val="00AB2CCC"/>
    <w:rsid w:val="00AB49CC"/>
    <w:rsid w:val="00AC24C9"/>
    <w:rsid w:val="00AC30D6"/>
    <w:rsid w:val="00AC3A39"/>
    <w:rsid w:val="00AC4CD2"/>
    <w:rsid w:val="00AC6AE9"/>
    <w:rsid w:val="00AD0D46"/>
    <w:rsid w:val="00AD24F5"/>
    <w:rsid w:val="00AD31D1"/>
    <w:rsid w:val="00AD349F"/>
    <w:rsid w:val="00AD4900"/>
    <w:rsid w:val="00AD4FB2"/>
    <w:rsid w:val="00AD64CE"/>
    <w:rsid w:val="00AD77CC"/>
    <w:rsid w:val="00AE3E02"/>
    <w:rsid w:val="00AE3EC2"/>
    <w:rsid w:val="00AE659A"/>
    <w:rsid w:val="00AE7137"/>
    <w:rsid w:val="00AE7447"/>
    <w:rsid w:val="00AE7C59"/>
    <w:rsid w:val="00AF24E7"/>
    <w:rsid w:val="00AF3B84"/>
    <w:rsid w:val="00AF41DE"/>
    <w:rsid w:val="00AF465D"/>
    <w:rsid w:val="00AF5562"/>
    <w:rsid w:val="00B00E54"/>
    <w:rsid w:val="00B029FB"/>
    <w:rsid w:val="00B030BF"/>
    <w:rsid w:val="00B0525A"/>
    <w:rsid w:val="00B05E95"/>
    <w:rsid w:val="00B108BC"/>
    <w:rsid w:val="00B10E5D"/>
    <w:rsid w:val="00B121EC"/>
    <w:rsid w:val="00B13BA5"/>
    <w:rsid w:val="00B170DC"/>
    <w:rsid w:val="00B23DC6"/>
    <w:rsid w:val="00B256FF"/>
    <w:rsid w:val="00B25AF8"/>
    <w:rsid w:val="00B273CF"/>
    <w:rsid w:val="00B33052"/>
    <w:rsid w:val="00B35E11"/>
    <w:rsid w:val="00B35E76"/>
    <w:rsid w:val="00B37941"/>
    <w:rsid w:val="00B407A8"/>
    <w:rsid w:val="00B40AF8"/>
    <w:rsid w:val="00B42275"/>
    <w:rsid w:val="00B43196"/>
    <w:rsid w:val="00B44161"/>
    <w:rsid w:val="00B4537A"/>
    <w:rsid w:val="00B45EE1"/>
    <w:rsid w:val="00B46E64"/>
    <w:rsid w:val="00B47F90"/>
    <w:rsid w:val="00B53D4E"/>
    <w:rsid w:val="00B543A5"/>
    <w:rsid w:val="00B54D5E"/>
    <w:rsid w:val="00B6036B"/>
    <w:rsid w:val="00B604E8"/>
    <w:rsid w:val="00B61412"/>
    <w:rsid w:val="00B6287A"/>
    <w:rsid w:val="00B63A21"/>
    <w:rsid w:val="00B6419F"/>
    <w:rsid w:val="00B64A0D"/>
    <w:rsid w:val="00B64B40"/>
    <w:rsid w:val="00B70072"/>
    <w:rsid w:val="00B71C49"/>
    <w:rsid w:val="00B72599"/>
    <w:rsid w:val="00B72A69"/>
    <w:rsid w:val="00B72EF1"/>
    <w:rsid w:val="00B81863"/>
    <w:rsid w:val="00B84841"/>
    <w:rsid w:val="00B84A46"/>
    <w:rsid w:val="00B84ED1"/>
    <w:rsid w:val="00B85ECD"/>
    <w:rsid w:val="00B86076"/>
    <w:rsid w:val="00B87413"/>
    <w:rsid w:val="00B93631"/>
    <w:rsid w:val="00B94BB9"/>
    <w:rsid w:val="00B94C50"/>
    <w:rsid w:val="00B94E29"/>
    <w:rsid w:val="00B97B55"/>
    <w:rsid w:val="00BA16B1"/>
    <w:rsid w:val="00BA16F5"/>
    <w:rsid w:val="00BA222F"/>
    <w:rsid w:val="00BA2E36"/>
    <w:rsid w:val="00BA54C9"/>
    <w:rsid w:val="00BA69D9"/>
    <w:rsid w:val="00BB0E1C"/>
    <w:rsid w:val="00BB1F03"/>
    <w:rsid w:val="00BB3012"/>
    <w:rsid w:val="00BC03DF"/>
    <w:rsid w:val="00BC611D"/>
    <w:rsid w:val="00BC6E99"/>
    <w:rsid w:val="00BD114B"/>
    <w:rsid w:val="00BD1A99"/>
    <w:rsid w:val="00BD3622"/>
    <w:rsid w:val="00BD490A"/>
    <w:rsid w:val="00BE15B3"/>
    <w:rsid w:val="00BE2B5F"/>
    <w:rsid w:val="00BE2CE8"/>
    <w:rsid w:val="00BE5119"/>
    <w:rsid w:val="00BE68F0"/>
    <w:rsid w:val="00BE7798"/>
    <w:rsid w:val="00BF3EDB"/>
    <w:rsid w:val="00BF4145"/>
    <w:rsid w:val="00BF4ABB"/>
    <w:rsid w:val="00C003BD"/>
    <w:rsid w:val="00C015D9"/>
    <w:rsid w:val="00C048DC"/>
    <w:rsid w:val="00C11D79"/>
    <w:rsid w:val="00C13A0B"/>
    <w:rsid w:val="00C150D7"/>
    <w:rsid w:val="00C15B99"/>
    <w:rsid w:val="00C166C0"/>
    <w:rsid w:val="00C17C42"/>
    <w:rsid w:val="00C17D47"/>
    <w:rsid w:val="00C17D7F"/>
    <w:rsid w:val="00C200F1"/>
    <w:rsid w:val="00C2029C"/>
    <w:rsid w:val="00C20F46"/>
    <w:rsid w:val="00C219B8"/>
    <w:rsid w:val="00C236AB"/>
    <w:rsid w:val="00C257F2"/>
    <w:rsid w:val="00C3093A"/>
    <w:rsid w:val="00C3202D"/>
    <w:rsid w:val="00C35927"/>
    <w:rsid w:val="00C361F8"/>
    <w:rsid w:val="00C401F5"/>
    <w:rsid w:val="00C40CB4"/>
    <w:rsid w:val="00C43532"/>
    <w:rsid w:val="00C47CF5"/>
    <w:rsid w:val="00C51380"/>
    <w:rsid w:val="00C55745"/>
    <w:rsid w:val="00C55C0B"/>
    <w:rsid w:val="00C568CE"/>
    <w:rsid w:val="00C57D5A"/>
    <w:rsid w:val="00C627DC"/>
    <w:rsid w:val="00C627EB"/>
    <w:rsid w:val="00C62A97"/>
    <w:rsid w:val="00C66F79"/>
    <w:rsid w:val="00C67BF6"/>
    <w:rsid w:val="00C716B9"/>
    <w:rsid w:val="00C71935"/>
    <w:rsid w:val="00C73696"/>
    <w:rsid w:val="00C7377B"/>
    <w:rsid w:val="00C743B6"/>
    <w:rsid w:val="00C76E7F"/>
    <w:rsid w:val="00C771BA"/>
    <w:rsid w:val="00C77861"/>
    <w:rsid w:val="00C80FE6"/>
    <w:rsid w:val="00C835EE"/>
    <w:rsid w:val="00C8430B"/>
    <w:rsid w:val="00C8493B"/>
    <w:rsid w:val="00C9377D"/>
    <w:rsid w:val="00C96934"/>
    <w:rsid w:val="00CA073A"/>
    <w:rsid w:val="00CA1899"/>
    <w:rsid w:val="00CA387F"/>
    <w:rsid w:val="00CA3A4B"/>
    <w:rsid w:val="00CA4149"/>
    <w:rsid w:val="00CA4213"/>
    <w:rsid w:val="00CA4634"/>
    <w:rsid w:val="00CA47F8"/>
    <w:rsid w:val="00CA5627"/>
    <w:rsid w:val="00CA5FAA"/>
    <w:rsid w:val="00CA64E1"/>
    <w:rsid w:val="00CA6CD8"/>
    <w:rsid w:val="00CB24DD"/>
    <w:rsid w:val="00CB288E"/>
    <w:rsid w:val="00CB3C31"/>
    <w:rsid w:val="00CB7E1C"/>
    <w:rsid w:val="00CC1795"/>
    <w:rsid w:val="00CC33E5"/>
    <w:rsid w:val="00CC5E86"/>
    <w:rsid w:val="00CC7A2B"/>
    <w:rsid w:val="00CD0A83"/>
    <w:rsid w:val="00CD1B28"/>
    <w:rsid w:val="00CD1CDC"/>
    <w:rsid w:val="00CD1E11"/>
    <w:rsid w:val="00CD4CDE"/>
    <w:rsid w:val="00CD69C1"/>
    <w:rsid w:val="00CD730C"/>
    <w:rsid w:val="00CD7397"/>
    <w:rsid w:val="00CD7E83"/>
    <w:rsid w:val="00CE09C3"/>
    <w:rsid w:val="00CE1755"/>
    <w:rsid w:val="00CE3FB3"/>
    <w:rsid w:val="00CE5AC9"/>
    <w:rsid w:val="00CF01A4"/>
    <w:rsid w:val="00CF044C"/>
    <w:rsid w:val="00CF6EA2"/>
    <w:rsid w:val="00D0174F"/>
    <w:rsid w:val="00D0794E"/>
    <w:rsid w:val="00D13744"/>
    <w:rsid w:val="00D14161"/>
    <w:rsid w:val="00D152FC"/>
    <w:rsid w:val="00D17532"/>
    <w:rsid w:val="00D17E41"/>
    <w:rsid w:val="00D20491"/>
    <w:rsid w:val="00D24262"/>
    <w:rsid w:val="00D26720"/>
    <w:rsid w:val="00D31EB7"/>
    <w:rsid w:val="00D32D61"/>
    <w:rsid w:val="00D33034"/>
    <w:rsid w:val="00D3510B"/>
    <w:rsid w:val="00D36427"/>
    <w:rsid w:val="00D3772F"/>
    <w:rsid w:val="00D42E15"/>
    <w:rsid w:val="00D444A2"/>
    <w:rsid w:val="00D44B68"/>
    <w:rsid w:val="00D44F8C"/>
    <w:rsid w:val="00D45132"/>
    <w:rsid w:val="00D4562C"/>
    <w:rsid w:val="00D47070"/>
    <w:rsid w:val="00D47940"/>
    <w:rsid w:val="00D47BAF"/>
    <w:rsid w:val="00D52B14"/>
    <w:rsid w:val="00D53147"/>
    <w:rsid w:val="00D539DE"/>
    <w:rsid w:val="00D55A26"/>
    <w:rsid w:val="00D5636D"/>
    <w:rsid w:val="00D56547"/>
    <w:rsid w:val="00D56D35"/>
    <w:rsid w:val="00D642E2"/>
    <w:rsid w:val="00D64B53"/>
    <w:rsid w:val="00D6578F"/>
    <w:rsid w:val="00D65FD2"/>
    <w:rsid w:val="00D6607D"/>
    <w:rsid w:val="00D670EB"/>
    <w:rsid w:val="00D67591"/>
    <w:rsid w:val="00D715C7"/>
    <w:rsid w:val="00D715F7"/>
    <w:rsid w:val="00D71A6D"/>
    <w:rsid w:val="00D72EA8"/>
    <w:rsid w:val="00D754BC"/>
    <w:rsid w:val="00D762C8"/>
    <w:rsid w:val="00D81D92"/>
    <w:rsid w:val="00D82382"/>
    <w:rsid w:val="00D82B1B"/>
    <w:rsid w:val="00D830A8"/>
    <w:rsid w:val="00D84F87"/>
    <w:rsid w:val="00D86C68"/>
    <w:rsid w:val="00D875C7"/>
    <w:rsid w:val="00D87BF8"/>
    <w:rsid w:val="00D87C19"/>
    <w:rsid w:val="00D91436"/>
    <w:rsid w:val="00D91C1C"/>
    <w:rsid w:val="00D92FAE"/>
    <w:rsid w:val="00D946E3"/>
    <w:rsid w:val="00D9558A"/>
    <w:rsid w:val="00D962DB"/>
    <w:rsid w:val="00DA319A"/>
    <w:rsid w:val="00DA436B"/>
    <w:rsid w:val="00DA4A2F"/>
    <w:rsid w:val="00DA4E11"/>
    <w:rsid w:val="00DA641A"/>
    <w:rsid w:val="00DA657F"/>
    <w:rsid w:val="00DA65A5"/>
    <w:rsid w:val="00DA6B7D"/>
    <w:rsid w:val="00DA7771"/>
    <w:rsid w:val="00DA7A94"/>
    <w:rsid w:val="00DB08D7"/>
    <w:rsid w:val="00DB46A5"/>
    <w:rsid w:val="00DB47B0"/>
    <w:rsid w:val="00DB502E"/>
    <w:rsid w:val="00DB519A"/>
    <w:rsid w:val="00DB5CF2"/>
    <w:rsid w:val="00DB5E4D"/>
    <w:rsid w:val="00DC07C2"/>
    <w:rsid w:val="00DC237A"/>
    <w:rsid w:val="00DD0138"/>
    <w:rsid w:val="00DD2AF7"/>
    <w:rsid w:val="00DD2CC5"/>
    <w:rsid w:val="00DD3620"/>
    <w:rsid w:val="00DD57E0"/>
    <w:rsid w:val="00DD6108"/>
    <w:rsid w:val="00DD7FA9"/>
    <w:rsid w:val="00DE0A9A"/>
    <w:rsid w:val="00DE0BC6"/>
    <w:rsid w:val="00DE0E54"/>
    <w:rsid w:val="00DE1586"/>
    <w:rsid w:val="00DE3118"/>
    <w:rsid w:val="00DE6A78"/>
    <w:rsid w:val="00DE7D88"/>
    <w:rsid w:val="00DF21C7"/>
    <w:rsid w:val="00DF2A24"/>
    <w:rsid w:val="00DF4E18"/>
    <w:rsid w:val="00DF4F2A"/>
    <w:rsid w:val="00DF6B78"/>
    <w:rsid w:val="00E005E3"/>
    <w:rsid w:val="00E0183C"/>
    <w:rsid w:val="00E01B48"/>
    <w:rsid w:val="00E03617"/>
    <w:rsid w:val="00E05551"/>
    <w:rsid w:val="00E074D1"/>
    <w:rsid w:val="00E07C33"/>
    <w:rsid w:val="00E100E3"/>
    <w:rsid w:val="00E11A8E"/>
    <w:rsid w:val="00E14A04"/>
    <w:rsid w:val="00E167D8"/>
    <w:rsid w:val="00E2122B"/>
    <w:rsid w:val="00E2129F"/>
    <w:rsid w:val="00E21E0C"/>
    <w:rsid w:val="00E22E7E"/>
    <w:rsid w:val="00E23171"/>
    <w:rsid w:val="00E24F0E"/>
    <w:rsid w:val="00E252B1"/>
    <w:rsid w:val="00E2546F"/>
    <w:rsid w:val="00E2703B"/>
    <w:rsid w:val="00E307B5"/>
    <w:rsid w:val="00E30F65"/>
    <w:rsid w:val="00E3667A"/>
    <w:rsid w:val="00E40306"/>
    <w:rsid w:val="00E40E7C"/>
    <w:rsid w:val="00E4130E"/>
    <w:rsid w:val="00E433EF"/>
    <w:rsid w:val="00E438B9"/>
    <w:rsid w:val="00E44FBF"/>
    <w:rsid w:val="00E50D66"/>
    <w:rsid w:val="00E50DA2"/>
    <w:rsid w:val="00E53F67"/>
    <w:rsid w:val="00E55BC8"/>
    <w:rsid w:val="00E57334"/>
    <w:rsid w:val="00E60BF9"/>
    <w:rsid w:val="00E63548"/>
    <w:rsid w:val="00E6482F"/>
    <w:rsid w:val="00E671E6"/>
    <w:rsid w:val="00E679CE"/>
    <w:rsid w:val="00E71382"/>
    <w:rsid w:val="00E73857"/>
    <w:rsid w:val="00E74827"/>
    <w:rsid w:val="00E75FD4"/>
    <w:rsid w:val="00E76DD1"/>
    <w:rsid w:val="00E814EE"/>
    <w:rsid w:val="00E84B3B"/>
    <w:rsid w:val="00E8675A"/>
    <w:rsid w:val="00E86C96"/>
    <w:rsid w:val="00E90706"/>
    <w:rsid w:val="00E91AD3"/>
    <w:rsid w:val="00E947C9"/>
    <w:rsid w:val="00E9547E"/>
    <w:rsid w:val="00E95897"/>
    <w:rsid w:val="00E95DC5"/>
    <w:rsid w:val="00EA0F27"/>
    <w:rsid w:val="00EA1998"/>
    <w:rsid w:val="00EA316B"/>
    <w:rsid w:val="00EA4302"/>
    <w:rsid w:val="00EA49B2"/>
    <w:rsid w:val="00EA550F"/>
    <w:rsid w:val="00EB011D"/>
    <w:rsid w:val="00EB0C10"/>
    <w:rsid w:val="00EB0FBF"/>
    <w:rsid w:val="00EB20FF"/>
    <w:rsid w:val="00EB2B88"/>
    <w:rsid w:val="00EB3EC4"/>
    <w:rsid w:val="00EB4668"/>
    <w:rsid w:val="00EB4983"/>
    <w:rsid w:val="00EB616A"/>
    <w:rsid w:val="00EB7B7F"/>
    <w:rsid w:val="00EC0E21"/>
    <w:rsid w:val="00EC2126"/>
    <w:rsid w:val="00EC2248"/>
    <w:rsid w:val="00EC2C16"/>
    <w:rsid w:val="00EC6AA0"/>
    <w:rsid w:val="00ED0623"/>
    <w:rsid w:val="00ED0CAE"/>
    <w:rsid w:val="00ED1659"/>
    <w:rsid w:val="00ED1DEE"/>
    <w:rsid w:val="00ED1E7B"/>
    <w:rsid w:val="00ED2022"/>
    <w:rsid w:val="00ED3DE3"/>
    <w:rsid w:val="00ED57C3"/>
    <w:rsid w:val="00EE11AB"/>
    <w:rsid w:val="00EE21CF"/>
    <w:rsid w:val="00EE3152"/>
    <w:rsid w:val="00EE378F"/>
    <w:rsid w:val="00EE38D5"/>
    <w:rsid w:val="00EE3FE8"/>
    <w:rsid w:val="00EE49FD"/>
    <w:rsid w:val="00EE6922"/>
    <w:rsid w:val="00EF0089"/>
    <w:rsid w:val="00EF052A"/>
    <w:rsid w:val="00EF1B3C"/>
    <w:rsid w:val="00EF22AF"/>
    <w:rsid w:val="00EF2AD3"/>
    <w:rsid w:val="00EF2CE2"/>
    <w:rsid w:val="00EF458D"/>
    <w:rsid w:val="00EF6181"/>
    <w:rsid w:val="00F02CB8"/>
    <w:rsid w:val="00F036CB"/>
    <w:rsid w:val="00F06CBE"/>
    <w:rsid w:val="00F07CA7"/>
    <w:rsid w:val="00F1078F"/>
    <w:rsid w:val="00F10A6B"/>
    <w:rsid w:val="00F12609"/>
    <w:rsid w:val="00F1276A"/>
    <w:rsid w:val="00F17C00"/>
    <w:rsid w:val="00F253BD"/>
    <w:rsid w:val="00F34203"/>
    <w:rsid w:val="00F35347"/>
    <w:rsid w:val="00F35F01"/>
    <w:rsid w:val="00F37398"/>
    <w:rsid w:val="00F376E5"/>
    <w:rsid w:val="00F37C1B"/>
    <w:rsid w:val="00F37F42"/>
    <w:rsid w:val="00F42459"/>
    <w:rsid w:val="00F52025"/>
    <w:rsid w:val="00F520CC"/>
    <w:rsid w:val="00F522FC"/>
    <w:rsid w:val="00F52A56"/>
    <w:rsid w:val="00F52FCE"/>
    <w:rsid w:val="00F53225"/>
    <w:rsid w:val="00F53E31"/>
    <w:rsid w:val="00F548E6"/>
    <w:rsid w:val="00F567E6"/>
    <w:rsid w:val="00F57F0A"/>
    <w:rsid w:val="00F608D9"/>
    <w:rsid w:val="00F60ADD"/>
    <w:rsid w:val="00F647F3"/>
    <w:rsid w:val="00F65980"/>
    <w:rsid w:val="00F67027"/>
    <w:rsid w:val="00F67870"/>
    <w:rsid w:val="00F67B4F"/>
    <w:rsid w:val="00F70FC8"/>
    <w:rsid w:val="00F7146C"/>
    <w:rsid w:val="00F72431"/>
    <w:rsid w:val="00F72692"/>
    <w:rsid w:val="00F72CC1"/>
    <w:rsid w:val="00F74400"/>
    <w:rsid w:val="00F763E2"/>
    <w:rsid w:val="00F77E0E"/>
    <w:rsid w:val="00F81E3A"/>
    <w:rsid w:val="00F8350E"/>
    <w:rsid w:val="00F84F2D"/>
    <w:rsid w:val="00F85403"/>
    <w:rsid w:val="00F855C3"/>
    <w:rsid w:val="00F86529"/>
    <w:rsid w:val="00F900DA"/>
    <w:rsid w:val="00F908D3"/>
    <w:rsid w:val="00F90C27"/>
    <w:rsid w:val="00F924C1"/>
    <w:rsid w:val="00F92756"/>
    <w:rsid w:val="00F95A60"/>
    <w:rsid w:val="00F964DC"/>
    <w:rsid w:val="00F97D84"/>
    <w:rsid w:val="00FA3892"/>
    <w:rsid w:val="00FA576B"/>
    <w:rsid w:val="00FA6126"/>
    <w:rsid w:val="00FA72BB"/>
    <w:rsid w:val="00FA76E6"/>
    <w:rsid w:val="00FB4951"/>
    <w:rsid w:val="00FC3317"/>
    <w:rsid w:val="00FC41E6"/>
    <w:rsid w:val="00FC58EF"/>
    <w:rsid w:val="00FC667C"/>
    <w:rsid w:val="00FD05D7"/>
    <w:rsid w:val="00FD0686"/>
    <w:rsid w:val="00FD0796"/>
    <w:rsid w:val="00FD0C46"/>
    <w:rsid w:val="00FD0E46"/>
    <w:rsid w:val="00FD13AF"/>
    <w:rsid w:val="00FD1679"/>
    <w:rsid w:val="00FD199F"/>
    <w:rsid w:val="00FD5B15"/>
    <w:rsid w:val="00FD61FA"/>
    <w:rsid w:val="00FD638B"/>
    <w:rsid w:val="00FD7B76"/>
    <w:rsid w:val="00FD7E6A"/>
    <w:rsid w:val="00FE02CA"/>
    <w:rsid w:val="00FE3058"/>
    <w:rsid w:val="00FE3A18"/>
    <w:rsid w:val="00FE3CCA"/>
    <w:rsid w:val="00FE5156"/>
    <w:rsid w:val="00FE5A4D"/>
    <w:rsid w:val="00FE7437"/>
    <w:rsid w:val="00FF18F9"/>
    <w:rsid w:val="00FF2DA1"/>
    <w:rsid w:val="00FF35ED"/>
    <w:rsid w:val="00FF37F7"/>
    <w:rsid w:val="00FF4096"/>
    <w:rsid w:val="00FF4376"/>
    <w:rsid w:val="00FF439F"/>
    <w:rsid w:val="00FF4C72"/>
    <w:rsid w:val="00FF59A3"/>
    <w:rsid w:val="00FF5AB8"/>
    <w:rsid w:val="00FF62C3"/>
    <w:rsid w:val="5EFFF8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1A4A2DC"/>
  <w15:docId w15:val="{71FCC354-BE03-435B-9E1B-16CED8A43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Theme="minorEastAsia" w:cstheme="minorBidi"/>
      <w:kern w:val="2"/>
      <w:sz w:val="22"/>
      <w:szCs w:val="22"/>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a5"/>
    <w:uiPriority w:val="99"/>
    <w:unhideWhenUsed/>
    <w:rPr>
      <w:b/>
      <w:bCs/>
    </w:rPr>
  </w:style>
  <w:style w:type="paragraph" w:styleId="a4">
    <w:name w:val="annotation text"/>
    <w:basedOn w:val="a"/>
    <w:link w:val="a6"/>
    <w:uiPriority w:val="99"/>
    <w:unhideWhenUsed/>
    <w:pPr>
      <w:jc w:val="left"/>
    </w:pPr>
    <w:rPr>
      <w:rFonts w:asciiTheme="minorHAnsi" w:hAnsiTheme="minorHAnsi"/>
      <w:sz w:val="21"/>
    </w:rPr>
  </w:style>
  <w:style w:type="paragraph" w:styleId="a7">
    <w:name w:val="Balloon Text"/>
    <w:basedOn w:val="a"/>
    <w:link w:val="a8"/>
    <w:uiPriority w:val="99"/>
    <w:unhideWhenUsed/>
    <w:rPr>
      <w:rFonts w:asciiTheme="majorHAnsi" w:eastAsiaTheme="majorEastAsia" w:hAnsiTheme="majorHAnsi" w:cstheme="majorBidi"/>
      <w:sz w:val="18"/>
      <w:szCs w:val="18"/>
    </w:rPr>
  </w:style>
  <w:style w:type="paragraph" w:styleId="a9">
    <w:name w:val="footer"/>
    <w:basedOn w:val="a"/>
    <w:link w:val="aa"/>
    <w:uiPriority w:val="99"/>
    <w:unhideWhenUsed/>
    <w:pPr>
      <w:tabs>
        <w:tab w:val="center" w:pos="4252"/>
        <w:tab w:val="right" w:pos="8504"/>
      </w:tabs>
      <w:snapToGrid w:val="0"/>
    </w:pPr>
  </w:style>
  <w:style w:type="paragraph" w:styleId="ab">
    <w:name w:val="header"/>
    <w:basedOn w:val="a"/>
    <w:link w:val="ac"/>
    <w:uiPriority w:val="99"/>
    <w:unhideWhenUsed/>
    <w:pPr>
      <w:tabs>
        <w:tab w:val="center" w:pos="4252"/>
        <w:tab w:val="right" w:pos="8504"/>
      </w:tabs>
      <w:snapToGrid w:val="0"/>
    </w:pPr>
  </w:style>
  <w:style w:type="paragraph" w:styleId="ad">
    <w:name w:val="footnote text"/>
    <w:basedOn w:val="a"/>
    <w:link w:val="ae"/>
    <w:uiPriority w:val="99"/>
    <w:unhideWhenUsed/>
    <w:pPr>
      <w:snapToGrid w:val="0"/>
      <w:jc w:val="left"/>
    </w:pPr>
  </w:style>
  <w:style w:type="character" w:styleId="af">
    <w:name w:val="annotation reference"/>
    <w:basedOn w:val="a0"/>
    <w:uiPriority w:val="99"/>
    <w:unhideWhenUsed/>
    <w:rPr>
      <w:sz w:val="18"/>
      <w:szCs w:val="18"/>
    </w:rPr>
  </w:style>
  <w:style w:type="character" w:styleId="af0">
    <w:name w:val="footnote reference"/>
    <w:basedOn w:val="a0"/>
    <w:uiPriority w:val="99"/>
    <w:unhideWhenUsed/>
    <w:rPr>
      <w:vertAlign w:val="superscript"/>
    </w:rPr>
  </w:style>
  <w:style w:type="character" w:customStyle="1" w:styleId="1">
    <w:name w:val="プレースホルダー テキスト1"/>
    <w:basedOn w:val="a0"/>
    <w:uiPriority w:val="99"/>
    <w:semiHidden/>
    <w:qFormat/>
    <w:rPr>
      <w:color w:val="808080"/>
    </w:rPr>
  </w:style>
  <w:style w:type="character" w:customStyle="1" w:styleId="ac">
    <w:name w:val="ヘッダー (文字)"/>
    <w:basedOn w:val="a0"/>
    <w:link w:val="ab"/>
    <w:uiPriority w:val="99"/>
    <w:qFormat/>
  </w:style>
  <w:style w:type="character" w:customStyle="1" w:styleId="aa">
    <w:name w:val="フッター (文字)"/>
    <w:basedOn w:val="a0"/>
    <w:link w:val="a9"/>
    <w:uiPriority w:val="99"/>
    <w:qFormat/>
  </w:style>
  <w:style w:type="character" w:customStyle="1" w:styleId="ae">
    <w:name w:val="脚注文字列 (文字)"/>
    <w:basedOn w:val="a0"/>
    <w:link w:val="ad"/>
    <w:uiPriority w:val="99"/>
    <w:semiHidden/>
  </w:style>
  <w:style w:type="paragraph" w:customStyle="1" w:styleId="10">
    <w:name w:val="変更箇所1"/>
    <w:hidden/>
    <w:uiPriority w:val="99"/>
    <w:semiHidden/>
    <w:rPr>
      <w:rFonts w:eastAsiaTheme="minorEastAsia" w:cstheme="minorBidi"/>
      <w:kern w:val="2"/>
      <w:sz w:val="22"/>
      <w:szCs w:val="22"/>
      <w:lang w:eastAsia="ja-JP"/>
    </w:rPr>
  </w:style>
  <w:style w:type="character" w:customStyle="1" w:styleId="a6">
    <w:name w:val="コメント文字列 (文字)"/>
    <w:basedOn w:val="a0"/>
    <w:link w:val="a4"/>
    <w:uiPriority w:val="99"/>
    <w:rPr>
      <w:rFonts w:asciiTheme="minorHAnsi" w:hAnsiTheme="minorHAnsi"/>
      <w:sz w:val="21"/>
    </w:rPr>
  </w:style>
  <w:style w:type="character" w:customStyle="1" w:styleId="a5">
    <w:name w:val="コメント内容 (文字)"/>
    <w:basedOn w:val="a6"/>
    <w:link w:val="a3"/>
    <w:uiPriority w:val="99"/>
    <w:semiHidden/>
    <w:qFormat/>
    <w:rPr>
      <w:rFonts w:asciiTheme="minorHAnsi" w:hAnsiTheme="minorHAnsi"/>
      <w:b/>
      <w:bCs/>
      <w:sz w:val="21"/>
    </w:rPr>
  </w:style>
  <w:style w:type="character" w:customStyle="1" w:styleId="a8">
    <w:name w:val="吹き出し (文字)"/>
    <w:basedOn w:val="a0"/>
    <w:link w:val="a7"/>
    <w:uiPriority w:val="99"/>
    <w:semiHidden/>
    <w:qFormat/>
    <w:rPr>
      <w:rFonts w:asciiTheme="majorHAnsi" w:eastAsiaTheme="majorEastAsia" w:hAnsiTheme="majorHAnsi" w:cstheme="majorBidi"/>
      <w:sz w:val="18"/>
      <w:szCs w:val="18"/>
    </w:rPr>
  </w:style>
  <w:style w:type="paragraph" w:customStyle="1" w:styleId="af1">
    <w:name w:val="正文"/>
    <w:rsid w:val="001C4327"/>
    <w:pPr>
      <w:widowControl w:val="0"/>
      <w:jc w:val="both"/>
    </w:pPr>
    <w:rPr>
      <w:rFonts w:eastAsia="游明朝"/>
      <w:kern w:val="2"/>
      <w:sz w:val="22"/>
      <w:szCs w:val="22"/>
    </w:rPr>
  </w:style>
  <w:style w:type="paragraph" w:styleId="af2">
    <w:name w:val="Revision"/>
    <w:hidden/>
    <w:uiPriority w:val="99"/>
    <w:semiHidden/>
    <w:rsid w:val="003E6A77"/>
    <w:rPr>
      <w:rFonts w:eastAsiaTheme="minorEastAsia" w:cstheme="minorBidi"/>
      <w:kern w:val="2"/>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06848">
      <w:bodyDiv w:val="1"/>
      <w:marLeft w:val="0"/>
      <w:marRight w:val="0"/>
      <w:marTop w:val="0"/>
      <w:marBottom w:val="0"/>
      <w:divBdr>
        <w:top w:val="none" w:sz="0" w:space="0" w:color="auto"/>
        <w:left w:val="none" w:sz="0" w:space="0" w:color="auto"/>
        <w:bottom w:val="none" w:sz="0" w:space="0" w:color="auto"/>
        <w:right w:val="none" w:sz="0" w:space="0" w:color="auto"/>
      </w:divBdr>
    </w:div>
    <w:div w:id="13331470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emf"/><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emf"/><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image" Target="media/image8.emf"/><Relationship Id="rId20"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image" Target="media/image11.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0AF964-57A1-44E2-98D8-7083A6DA4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554</Words>
  <Characters>3158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細野 薫</dc:creator>
  <cp:lastModifiedBy>宮川大介</cp:lastModifiedBy>
  <cp:revision>2</cp:revision>
  <cp:lastPrinted>2022-10-15T02:04:00Z</cp:lastPrinted>
  <dcterms:created xsi:type="dcterms:W3CDTF">2023-01-19T13:26:00Z</dcterms:created>
  <dcterms:modified xsi:type="dcterms:W3CDTF">2023-01-19T13:26:00Z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2052-4.1.2.6545</vt:lpwstr>
  </property>
</Properties>
</file>