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10D0" w14:textId="47CA5CCD" w:rsidR="004035B4" w:rsidRPr="004035B4" w:rsidRDefault="004035B4" w:rsidP="004035B4">
      <w:pPr>
        <w:pStyle w:val="Title"/>
      </w:pPr>
      <w:r w:rsidRPr="004035B4">
        <w:t xml:space="preserve">The Hidden Lessons of Scientific Writing: How Language Can Shape What </w:t>
      </w:r>
      <w:r w:rsidR="003B613B">
        <w:br/>
      </w:r>
      <w:r w:rsidRPr="004035B4">
        <w:t>Students Learn About the Nature of Science</w:t>
      </w:r>
    </w:p>
    <w:p w14:paraId="136F4EB7" w14:textId="79169DFC" w:rsidR="00A82BD4" w:rsidRPr="00AC307E" w:rsidRDefault="00A82BD4" w:rsidP="00A82BD4">
      <w:pPr>
        <w:pStyle w:val="Heading1"/>
        <w:rPr>
          <w:lang w:val="nl-NL"/>
        </w:rPr>
      </w:pPr>
      <w:r w:rsidRPr="00AC307E">
        <w:rPr>
          <w:lang w:val="nl-NL"/>
        </w:rPr>
        <w:t xml:space="preserve">Annelies Pieterman-Bos, Cathelijne </w:t>
      </w:r>
      <w:r w:rsidR="00883D65">
        <w:rPr>
          <w:lang w:val="nl-NL"/>
        </w:rPr>
        <w:t>M</w:t>
      </w:r>
      <w:r w:rsidRPr="00AC307E">
        <w:rPr>
          <w:lang w:val="nl-NL"/>
        </w:rPr>
        <w:t xml:space="preserve">. </w:t>
      </w:r>
      <w:proofErr w:type="spellStart"/>
      <w:r w:rsidRPr="00AC307E">
        <w:rPr>
          <w:lang w:val="nl-NL"/>
        </w:rPr>
        <w:t>Reincke</w:t>
      </w:r>
      <w:proofErr w:type="spellEnd"/>
      <w:r w:rsidRPr="00AC307E">
        <w:rPr>
          <w:lang w:val="nl-NL"/>
        </w:rPr>
        <w:t xml:space="preserve">, Rens van de Schoot, Marc </w:t>
      </w:r>
      <w:r>
        <w:rPr>
          <w:lang w:val="nl-NL"/>
        </w:rPr>
        <w:t>H.W. van Mil</w:t>
      </w:r>
    </w:p>
    <w:p w14:paraId="013ABF10" w14:textId="77777777" w:rsidR="004035B4" w:rsidRPr="00A77D02" w:rsidRDefault="004035B4" w:rsidP="004035B4">
      <w:pPr>
        <w:keepNext/>
        <w:keepLines/>
        <w:spacing w:before="240" w:after="120"/>
        <w:outlineLvl w:val="0"/>
        <w:rPr>
          <w:rFonts w:ascii="Open Sans" w:eastAsia="Times New Roman" w:hAnsi="Open Sans" w:cs="Open Sans"/>
          <w:bCs/>
          <w:color w:val="000000"/>
          <w:kern w:val="0"/>
          <w:sz w:val="20"/>
          <w:szCs w:val="28"/>
          <w:lang w:val="en-US"/>
          <w14:ligatures w14:val="none"/>
        </w:rPr>
      </w:pPr>
      <w:r w:rsidRPr="004035B4">
        <w:rPr>
          <w:rFonts w:ascii="Open Sans" w:eastAsia="Times New Roman" w:hAnsi="Open Sans" w:cs="Open Sans"/>
          <w:bCs/>
          <w:color w:val="000000"/>
          <w:kern w:val="0"/>
          <w:sz w:val="20"/>
          <w:szCs w:val="28"/>
          <w:lang w:val="en-US"/>
          <w14:ligatures w14:val="none"/>
        </w:rPr>
        <w:t>Science &amp; Education</w:t>
      </w:r>
    </w:p>
    <w:p w14:paraId="4AA21405" w14:textId="77777777" w:rsidR="004035B4" w:rsidRPr="004035B4" w:rsidRDefault="004035B4" w:rsidP="004035B4">
      <w:pPr>
        <w:keepNext/>
        <w:keepLines/>
        <w:spacing w:before="240" w:after="120"/>
        <w:outlineLvl w:val="0"/>
        <w:rPr>
          <w:rFonts w:ascii="Open Sans" w:eastAsia="Times New Roman" w:hAnsi="Open Sans" w:cs="Open Sans"/>
          <w:b/>
          <w:color w:val="000000"/>
          <w:kern w:val="0"/>
          <w:sz w:val="22"/>
          <w:szCs w:val="22"/>
          <w:lang w:val="en-US"/>
          <w14:ligatures w14:val="none"/>
        </w:rPr>
      </w:pPr>
    </w:p>
    <w:p w14:paraId="3AD7260D" w14:textId="62346BF0" w:rsidR="003E0E4F" w:rsidRPr="004035B4" w:rsidRDefault="004035B4" w:rsidP="004035B4">
      <w:pPr>
        <w:pStyle w:val="Title"/>
      </w:pPr>
      <w:r w:rsidRPr="004F53B0">
        <w:t xml:space="preserve">Online Resource </w:t>
      </w:r>
      <w:r w:rsidR="00BE7FD9">
        <w:t>3</w:t>
      </w:r>
      <w:r w:rsidRPr="004F53B0">
        <w:t xml:space="preserve"> </w:t>
      </w:r>
      <w:r>
        <w:t>– Table S1</w:t>
      </w:r>
    </w:p>
    <w:p w14:paraId="5371AD1B" w14:textId="484926D3" w:rsidR="004035B4" w:rsidRPr="004035B4" w:rsidRDefault="004035B4" w:rsidP="004035B4">
      <w:pPr>
        <w:pStyle w:val="Caption"/>
        <w:keepNext/>
        <w:rPr>
          <w:rFonts w:ascii="STIX Two Text" w:hAnsi="STIX Two Text"/>
          <w:i w:val="0"/>
          <w:iCs w:val="0"/>
          <w:sz w:val="16"/>
          <w:szCs w:val="16"/>
        </w:rPr>
      </w:pPr>
      <w:bookmarkStart w:id="0" w:name="_Ref206405241"/>
      <w:r w:rsidRPr="004035B4">
        <w:rPr>
          <w:rFonts w:ascii="Open Sans" w:hAnsi="Open Sans" w:cs="Open Sans"/>
          <w:b/>
          <w:bCs/>
          <w:i w:val="0"/>
          <w:iCs w:val="0"/>
          <w:sz w:val="16"/>
          <w:szCs w:val="16"/>
        </w:rPr>
        <w:t xml:space="preserve">Table </w:t>
      </w:r>
      <w:bookmarkEnd w:id="0"/>
      <w:r w:rsidRPr="004035B4">
        <w:rPr>
          <w:rFonts w:ascii="Open Sans" w:hAnsi="Open Sans" w:cs="Open Sans"/>
          <w:b/>
          <w:bCs/>
          <w:i w:val="0"/>
          <w:iCs w:val="0"/>
          <w:sz w:val="16"/>
          <w:szCs w:val="16"/>
        </w:rPr>
        <w:t>S1</w:t>
      </w:r>
      <w:r w:rsidR="00BE7FD9">
        <w:rPr>
          <w:rFonts w:ascii="STIX Two Text" w:hAnsi="STIX Two Text"/>
          <w:sz w:val="16"/>
          <w:szCs w:val="16"/>
        </w:rPr>
        <w:tab/>
      </w:r>
      <w:r w:rsidRPr="004035B4">
        <w:rPr>
          <w:rFonts w:ascii="STIX Two Text" w:hAnsi="STIX Two Text"/>
          <w:i w:val="0"/>
          <w:iCs w:val="0"/>
          <w:sz w:val="16"/>
          <w:szCs w:val="16"/>
        </w:rPr>
        <w:t>Specific writing practices grouped by category, epistemological notions that might be conveyed through them, and illustrative quotations or descriptions with indication of the part of the thesis they derive from between brackets.</w:t>
      </w:r>
    </w:p>
    <w:tbl>
      <w:tblPr>
        <w:tblStyle w:val="TableGrid"/>
        <w:tblpPr w:leftFromText="180" w:rightFromText="180" w:vertAnchor="text" w:horzAnchor="margin" w:tblpY="64"/>
        <w:tblW w:w="5000" w:type="pct"/>
        <w:tblBorders>
          <w:left w:val="none" w:sz="0" w:space="0" w:color="auto"/>
          <w:right w:val="none" w:sz="0" w:space="0" w:color="auto"/>
        </w:tblBorders>
        <w:tblCellMar>
          <w:top w:w="57" w:type="dxa"/>
          <w:bottom w:w="57" w:type="dxa"/>
        </w:tblCellMar>
        <w:tblLook w:val="04A0" w:firstRow="1" w:lastRow="0" w:firstColumn="1" w:lastColumn="0" w:noHBand="0" w:noVBand="1"/>
      </w:tblPr>
      <w:tblGrid>
        <w:gridCol w:w="1976"/>
        <w:gridCol w:w="3978"/>
        <w:gridCol w:w="8004"/>
      </w:tblGrid>
      <w:tr w:rsidR="004035B4" w:rsidRPr="004035B4" w14:paraId="67963106" w14:textId="77777777" w:rsidTr="004A0440">
        <w:tc>
          <w:tcPr>
            <w:tcW w:w="708" w:type="pct"/>
            <w:tcBorders>
              <w:right w:val="single" w:sz="4" w:space="0" w:color="auto"/>
            </w:tcBorders>
          </w:tcPr>
          <w:p w14:paraId="4B0AC910"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 xml:space="preserve">Writing practice </w:t>
            </w:r>
          </w:p>
        </w:tc>
        <w:tc>
          <w:tcPr>
            <w:tcW w:w="1425" w:type="pct"/>
            <w:tcBorders>
              <w:left w:val="single" w:sz="4" w:space="0" w:color="auto"/>
            </w:tcBorders>
          </w:tcPr>
          <w:p w14:paraId="77D045FF"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Possible epistemological notions</w:t>
            </w:r>
          </w:p>
        </w:tc>
        <w:tc>
          <w:tcPr>
            <w:tcW w:w="2867" w:type="pct"/>
            <w:tcBorders>
              <w:left w:val="nil"/>
            </w:tcBorders>
          </w:tcPr>
          <w:p w14:paraId="0C1A4A04"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Translated quotation or description of writing practice</w:t>
            </w:r>
          </w:p>
        </w:tc>
      </w:tr>
      <w:tr w:rsidR="004035B4" w:rsidRPr="004035B4" w14:paraId="44AAB0AE" w14:textId="77777777" w:rsidTr="004A0440">
        <w:tc>
          <w:tcPr>
            <w:tcW w:w="5000" w:type="pct"/>
            <w:gridSpan w:val="3"/>
          </w:tcPr>
          <w:p w14:paraId="07E3AE84"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Description of figures and tables</w:t>
            </w:r>
          </w:p>
        </w:tc>
      </w:tr>
      <w:tr w:rsidR="004035B4" w:rsidRPr="004035B4" w14:paraId="17FE3A72" w14:textId="77777777" w:rsidTr="004A0440">
        <w:tc>
          <w:tcPr>
            <w:tcW w:w="708" w:type="pct"/>
            <w:vMerge w:val="restart"/>
            <w:tcBorders>
              <w:right w:val="single" w:sz="4" w:space="0" w:color="auto"/>
            </w:tcBorders>
          </w:tcPr>
          <w:p w14:paraId="6348DBE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Merely describing figures and tables</w:t>
            </w:r>
          </w:p>
        </w:tc>
        <w:tc>
          <w:tcPr>
            <w:tcW w:w="1425" w:type="pct"/>
            <w:vMerge w:val="restart"/>
            <w:tcBorders>
              <w:left w:val="single" w:sz="4" w:space="0" w:color="auto"/>
            </w:tcBorders>
          </w:tcPr>
          <w:p w14:paraId="7D29EF5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speak for themselves.</w:t>
            </w:r>
          </w:p>
          <w:p w14:paraId="4CCF80B8"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Data provide sufficient evidence to prove a claim.</w:t>
            </w:r>
          </w:p>
          <w:p w14:paraId="4F8A01D0"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Inferences are a logical outcome of observations.</w:t>
            </w:r>
          </w:p>
        </w:tc>
        <w:tc>
          <w:tcPr>
            <w:tcW w:w="2867" w:type="pct"/>
            <w:tcBorders>
              <w:left w:val="nil"/>
            </w:tcBorders>
          </w:tcPr>
          <w:p w14:paraId="7C7462C6" w14:textId="77777777" w:rsidR="004035B4" w:rsidRPr="004035B4" w:rsidRDefault="004035B4" w:rsidP="000908CC">
            <w:pPr>
              <w:rPr>
                <w:rFonts w:ascii="STIX Two Text" w:hAnsi="STIX Two Text"/>
                <w:color w:val="00B050"/>
                <w:sz w:val="16"/>
                <w:szCs w:val="16"/>
              </w:rPr>
            </w:pPr>
            <w:r w:rsidRPr="004035B4">
              <w:rPr>
                <w:rFonts w:ascii="STIX Two Text" w:hAnsi="STIX Two Text"/>
                <w:color w:val="000000" w:themeColor="text1"/>
                <w:sz w:val="16"/>
                <w:szCs w:val="16"/>
              </w:rPr>
              <w:t>Robin (Results): “The cohort of 90 glioblastoma patients included 53 males and 37 females, 58.9% and 41.1%, respectively. Age raged from 15-83 years, with an average age of 59.3 years (SD: 12.6 years). All patients received RT with concomitant TMZ according to the Stupp protocol (3). 71 patients (78.9%) underwent tumor resection, of which 24 (26.7% of total) had a complete resection. Only a biopsy, rather than resection, was performed in remaining 19 patients (21.1% of total). Table 4 summarizes these and other patient cohort characteristics.”</w:t>
            </w:r>
          </w:p>
        </w:tc>
      </w:tr>
      <w:tr w:rsidR="004035B4" w:rsidRPr="004035B4" w14:paraId="02673459" w14:textId="77777777" w:rsidTr="004A0440">
        <w:tc>
          <w:tcPr>
            <w:tcW w:w="708" w:type="pct"/>
            <w:vMerge/>
            <w:tcBorders>
              <w:right w:val="single" w:sz="4" w:space="0" w:color="auto"/>
            </w:tcBorders>
          </w:tcPr>
          <w:p w14:paraId="0F14EC47"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0B9107F" w14:textId="77777777" w:rsidR="004035B4" w:rsidRPr="004035B4" w:rsidRDefault="004035B4" w:rsidP="000908CC">
            <w:pPr>
              <w:rPr>
                <w:rFonts w:ascii="STIX Two Text" w:hAnsi="STIX Two Text"/>
                <w:sz w:val="16"/>
                <w:szCs w:val="16"/>
              </w:rPr>
            </w:pPr>
          </w:p>
        </w:tc>
        <w:tc>
          <w:tcPr>
            <w:tcW w:w="2867" w:type="pct"/>
            <w:tcBorders>
              <w:left w:val="nil"/>
            </w:tcBorders>
          </w:tcPr>
          <w:p w14:paraId="46BAB48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(Results): “An increase in WOMAC score means improvement of pain, stiffness and function. The average increase was:</w:t>
            </w:r>
          </w:p>
          <w:p w14:paraId="03AC511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Pain = 29,1 points.</w:t>
            </w:r>
          </w:p>
          <w:p w14:paraId="04AFEC7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Stiffness = 21,9 points.</w:t>
            </w:r>
          </w:p>
          <w:p w14:paraId="6C0EAC6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 Function = 28,4 points. </w:t>
            </w:r>
          </w:p>
          <w:p w14:paraId="09F7CC5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Total = 26,9 points.”</w:t>
            </w:r>
          </w:p>
        </w:tc>
      </w:tr>
      <w:tr w:rsidR="004035B4" w:rsidRPr="004035B4" w14:paraId="29762394" w14:textId="77777777" w:rsidTr="004A0440">
        <w:tc>
          <w:tcPr>
            <w:tcW w:w="708" w:type="pct"/>
            <w:tcBorders>
              <w:right w:val="single" w:sz="4" w:space="0" w:color="auto"/>
            </w:tcBorders>
          </w:tcPr>
          <w:p w14:paraId="4C4FEEC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Merely including figures and tables</w:t>
            </w:r>
          </w:p>
        </w:tc>
        <w:tc>
          <w:tcPr>
            <w:tcW w:w="1425" w:type="pct"/>
            <w:vMerge/>
            <w:tcBorders>
              <w:left w:val="single" w:sz="4" w:space="0" w:color="auto"/>
            </w:tcBorders>
          </w:tcPr>
          <w:p w14:paraId="31884E32" w14:textId="77777777" w:rsidR="004035B4" w:rsidRPr="004035B4" w:rsidRDefault="004035B4" w:rsidP="000908CC">
            <w:pPr>
              <w:rPr>
                <w:rFonts w:ascii="STIX Two Text" w:hAnsi="STIX Two Text"/>
                <w:sz w:val="16"/>
                <w:szCs w:val="16"/>
              </w:rPr>
            </w:pPr>
          </w:p>
        </w:tc>
        <w:tc>
          <w:tcPr>
            <w:tcW w:w="2867" w:type="pct"/>
            <w:tcBorders>
              <w:left w:val="nil"/>
            </w:tcBorders>
          </w:tcPr>
          <w:p w14:paraId="552C8EFB" w14:textId="77777777" w:rsidR="004035B4" w:rsidRPr="004035B4" w:rsidRDefault="004035B4" w:rsidP="000908CC">
            <w:pPr>
              <w:rPr>
                <w:rFonts w:ascii="STIX Two Text" w:hAnsi="STIX Two Text"/>
                <w:color w:val="00B050"/>
                <w:sz w:val="16"/>
                <w:szCs w:val="16"/>
              </w:rPr>
            </w:pPr>
            <w:r w:rsidRPr="004035B4">
              <w:rPr>
                <w:rFonts w:ascii="STIX Two Text" w:hAnsi="STIX Two Text"/>
                <w:color w:val="000000" w:themeColor="text1"/>
                <w:sz w:val="16"/>
                <w:szCs w:val="16"/>
              </w:rPr>
              <w:t>Luca (Methods) included one table, with patient characteristics, without referring to it in the text.</w:t>
            </w:r>
          </w:p>
        </w:tc>
      </w:tr>
      <w:tr w:rsidR="004035B4" w:rsidRPr="004035B4" w14:paraId="77CF94A9" w14:textId="77777777" w:rsidTr="004A0440">
        <w:tc>
          <w:tcPr>
            <w:tcW w:w="708" w:type="pct"/>
            <w:tcBorders>
              <w:right w:val="single" w:sz="4" w:space="0" w:color="auto"/>
            </w:tcBorders>
          </w:tcPr>
          <w:p w14:paraId="343FA9E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Merely asserting that figures and tables prove a claim</w:t>
            </w:r>
          </w:p>
        </w:tc>
        <w:tc>
          <w:tcPr>
            <w:tcW w:w="1425" w:type="pct"/>
            <w:vMerge/>
            <w:tcBorders>
              <w:left w:val="single" w:sz="4" w:space="0" w:color="auto"/>
            </w:tcBorders>
          </w:tcPr>
          <w:p w14:paraId="0966B5AE" w14:textId="77777777" w:rsidR="004035B4" w:rsidRPr="004035B4" w:rsidRDefault="004035B4" w:rsidP="000908CC">
            <w:pPr>
              <w:rPr>
                <w:rFonts w:ascii="STIX Two Text" w:hAnsi="STIX Two Text"/>
                <w:sz w:val="16"/>
                <w:szCs w:val="16"/>
              </w:rPr>
            </w:pPr>
          </w:p>
        </w:tc>
        <w:tc>
          <w:tcPr>
            <w:tcW w:w="2867" w:type="pct"/>
            <w:tcBorders>
              <w:left w:val="nil"/>
            </w:tcBorders>
          </w:tcPr>
          <w:p w14:paraId="445479C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(Results): “Less hyperextension and lack of other surgical interventions also result in a greater decrease in bone density.” Followed by two figures.</w:t>
            </w:r>
          </w:p>
        </w:tc>
      </w:tr>
      <w:tr w:rsidR="004035B4" w:rsidRPr="004035B4" w14:paraId="134822CC" w14:textId="77777777" w:rsidTr="004A0440">
        <w:tc>
          <w:tcPr>
            <w:tcW w:w="708" w:type="pct"/>
            <w:vMerge w:val="restart"/>
            <w:tcBorders>
              <w:right w:val="single" w:sz="4" w:space="0" w:color="auto"/>
            </w:tcBorders>
          </w:tcPr>
          <w:p w14:paraId="71871665" w14:textId="77777777" w:rsidR="004035B4" w:rsidRPr="004035B4" w:rsidRDefault="004035B4" w:rsidP="000908CC">
            <w:pPr>
              <w:rPr>
                <w:rFonts w:ascii="STIX Two Text" w:hAnsi="STIX Two Text"/>
                <w:b/>
                <w:bCs/>
                <w:sz w:val="16"/>
                <w:szCs w:val="16"/>
              </w:rPr>
            </w:pPr>
            <w:r w:rsidRPr="004035B4">
              <w:rPr>
                <w:rFonts w:ascii="STIX Two Text" w:hAnsi="STIX Two Text"/>
                <w:sz w:val="16"/>
                <w:szCs w:val="16"/>
              </w:rPr>
              <w:t>Providing a full interpretation of figures and tables</w:t>
            </w:r>
          </w:p>
        </w:tc>
        <w:tc>
          <w:tcPr>
            <w:tcW w:w="1425" w:type="pct"/>
            <w:vMerge w:val="restart"/>
            <w:tcBorders>
              <w:left w:val="single" w:sz="4" w:space="0" w:color="auto"/>
            </w:tcBorders>
          </w:tcPr>
          <w:p w14:paraId="66731C6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69154AB2"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Data can be interpreted multiple ways.</w:t>
            </w:r>
          </w:p>
          <w:p w14:paraId="70DF801A"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There is a clear difference between observation and inference.</w:t>
            </w:r>
          </w:p>
        </w:tc>
        <w:tc>
          <w:tcPr>
            <w:tcW w:w="2867" w:type="pct"/>
            <w:tcBorders>
              <w:left w:val="nil"/>
            </w:tcBorders>
          </w:tcPr>
          <w:p w14:paraId="494265C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(Results): “A paired sample t-test was used to determine whether the founded [sic] difference between one year and baseline was significant. … This was the case for WOMAC score, mean medial, mean and minimum JSW, angle joint and osteophyte formation of the lateral femur.”</w:t>
            </w:r>
          </w:p>
        </w:tc>
      </w:tr>
      <w:tr w:rsidR="004035B4" w:rsidRPr="004035B4" w14:paraId="46BB54DE" w14:textId="77777777" w:rsidTr="004A0440">
        <w:tc>
          <w:tcPr>
            <w:tcW w:w="708" w:type="pct"/>
            <w:vMerge/>
            <w:tcBorders>
              <w:right w:val="single" w:sz="4" w:space="0" w:color="auto"/>
            </w:tcBorders>
          </w:tcPr>
          <w:p w14:paraId="516B9DDC"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893F224" w14:textId="77777777" w:rsidR="004035B4" w:rsidRPr="004035B4" w:rsidRDefault="004035B4" w:rsidP="000908CC">
            <w:pPr>
              <w:rPr>
                <w:rFonts w:ascii="STIX Two Text" w:hAnsi="STIX Two Text"/>
                <w:sz w:val="16"/>
                <w:szCs w:val="16"/>
              </w:rPr>
            </w:pPr>
          </w:p>
        </w:tc>
        <w:tc>
          <w:tcPr>
            <w:tcW w:w="2867" w:type="pct"/>
            <w:tcBorders>
              <w:left w:val="nil"/>
            </w:tcBorders>
          </w:tcPr>
          <w:p w14:paraId="4EBD142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(Conclusion and discussion): “In both binary and continuous concordance analyses, comparison of [assay 5] and [assay 1] showed relatively high concordance. Together with the fact that both tests demonstrated high </w:t>
            </w:r>
            <w:r w:rsidRPr="004035B4">
              <w:rPr>
                <w:rFonts w:ascii="STIX Two Text" w:hAnsi="STIX Two Text"/>
                <w:sz w:val="16"/>
                <w:szCs w:val="16"/>
              </w:rPr>
              <w:lastRenderedPageBreak/>
              <w:t>potential to predict [treatment] response based on [overall survival] and [progression free survival] curves, these tests can be considered most suitable for clinical evaluation of MGMT promoter methylation status.”</w:t>
            </w:r>
          </w:p>
        </w:tc>
      </w:tr>
      <w:tr w:rsidR="004035B4" w:rsidRPr="004035B4" w14:paraId="509B057A" w14:textId="77777777" w:rsidTr="004A0440">
        <w:tc>
          <w:tcPr>
            <w:tcW w:w="708" w:type="pct"/>
            <w:vMerge/>
            <w:tcBorders>
              <w:right w:val="single" w:sz="4" w:space="0" w:color="auto"/>
            </w:tcBorders>
          </w:tcPr>
          <w:p w14:paraId="1BB398AD"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3F4D806" w14:textId="77777777" w:rsidR="004035B4" w:rsidRPr="004035B4" w:rsidRDefault="004035B4" w:rsidP="000908CC">
            <w:pPr>
              <w:rPr>
                <w:rFonts w:ascii="STIX Two Text" w:hAnsi="STIX Two Text"/>
                <w:sz w:val="16"/>
                <w:szCs w:val="16"/>
              </w:rPr>
            </w:pPr>
          </w:p>
        </w:tc>
        <w:tc>
          <w:tcPr>
            <w:tcW w:w="2867" w:type="pct"/>
            <w:tcBorders>
              <w:left w:val="nil"/>
            </w:tcBorders>
          </w:tcPr>
          <w:p w14:paraId="73103A5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“As seen in figure 28 SMGi shows a 6- to 8-fold higher AUC with little dependency on concentration. SMG1i could thus be an interesting drug for further investigation.”</w:t>
            </w:r>
          </w:p>
        </w:tc>
      </w:tr>
      <w:tr w:rsidR="004035B4" w:rsidRPr="004035B4" w14:paraId="0FA1D1DC" w14:textId="77777777" w:rsidTr="004A0440">
        <w:trPr>
          <w:trHeight w:val="159"/>
        </w:trPr>
        <w:tc>
          <w:tcPr>
            <w:tcW w:w="5000" w:type="pct"/>
            <w:gridSpan w:val="3"/>
          </w:tcPr>
          <w:p w14:paraId="662E0C7C"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Writer presence</w:t>
            </w:r>
          </w:p>
        </w:tc>
      </w:tr>
      <w:tr w:rsidR="004035B4" w:rsidRPr="004035B4" w14:paraId="39421DF5" w14:textId="77777777" w:rsidTr="004A0440">
        <w:tc>
          <w:tcPr>
            <w:tcW w:w="708" w:type="pct"/>
            <w:vMerge w:val="restart"/>
            <w:tcBorders>
              <w:right w:val="single" w:sz="4" w:space="0" w:color="auto"/>
            </w:tcBorders>
          </w:tcPr>
          <w:p w14:paraId="4DFC8C1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Writing from a non-human perspective</w:t>
            </w:r>
          </w:p>
          <w:p w14:paraId="6C97E7EF" w14:textId="77777777" w:rsidR="004035B4" w:rsidRPr="004035B4" w:rsidRDefault="004035B4" w:rsidP="000908CC">
            <w:pPr>
              <w:pStyle w:val="ListParagraph"/>
              <w:rPr>
                <w:rFonts w:ascii="STIX Two Text" w:hAnsi="STIX Two Text"/>
                <w:sz w:val="16"/>
                <w:szCs w:val="16"/>
              </w:rPr>
            </w:pPr>
          </w:p>
        </w:tc>
        <w:tc>
          <w:tcPr>
            <w:tcW w:w="1425" w:type="pct"/>
            <w:vMerge w:val="restart"/>
            <w:tcBorders>
              <w:left w:val="single" w:sz="4" w:space="0" w:color="auto"/>
            </w:tcBorders>
          </w:tcPr>
          <w:p w14:paraId="1AA9ACE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speak for themselves</w:t>
            </w:r>
          </w:p>
          <w:p w14:paraId="7A5A8469"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Scientists would infer the same conclusions in cases of empirical equivalence.</w:t>
            </w:r>
          </w:p>
          <w:p w14:paraId="7D96AB53"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Inferences in science are value-free.</w:t>
            </w:r>
          </w:p>
          <w:p w14:paraId="183780AC"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Inferences are a logical outcome of observations.</w:t>
            </w:r>
          </w:p>
          <w:p w14:paraId="2450012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speak for themselves.</w:t>
            </w:r>
          </w:p>
          <w:p w14:paraId="2C4917A0"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Methodological choices are value-free.</w:t>
            </w:r>
          </w:p>
          <w:p w14:paraId="0B1C2288"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Methodological monism.</w:t>
            </w:r>
          </w:p>
        </w:tc>
        <w:tc>
          <w:tcPr>
            <w:tcW w:w="2867" w:type="pct"/>
            <w:tcBorders>
              <w:left w:val="nil"/>
            </w:tcBorders>
          </w:tcPr>
          <w:p w14:paraId="516560D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(Analysis): “The WOMAC score is mainly influenced by the range of motion.”</w:t>
            </w:r>
          </w:p>
        </w:tc>
      </w:tr>
      <w:tr w:rsidR="004035B4" w:rsidRPr="004035B4" w14:paraId="129AB4BB" w14:textId="77777777" w:rsidTr="004A0440">
        <w:tc>
          <w:tcPr>
            <w:tcW w:w="708" w:type="pct"/>
            <w:vMerge/>
            <w:tcBorders>
              <w:right w:val="single" w:sz="4" w:space="0" w:color="auto"/>
            </w:tcBorders>
          </w:tcPr>
          <w:p w14:paraId="38841CC4"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F506019" w14:textId="77777777" w:rsidR="004035B4" w:rsidRPr="004035B4" w:rsidRDefault="004035B4" w:rsidP="000908CC">
            <w:pPr>
              <w:rPr>
                <w:rFonts w:ascii="STIX Two Text" w:hAnsi="STIX Two Text"/>
                <w:sz w:val="16"/>
                <w:szCs w:val="16"/>
              </w:rPr>
            </w:pPr>
          </w:p>
        </w:tc>
        <w:tc>
          <w:tcPr>
            <w:tcW w:w="2867" w:type="pct"/>
            <w:tcBorders>
              <w:left w:val="nil"/>
            </w:tcBorders>
          </w:tcPr>
          <w:p w14:paraId="0983713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(Analysis): “Results of the Kellgren-Lawrence scale are conflicting”</w:t>
            </w:r>
          </w:p>
        </w:tc>
      </w:tr>
      <w:tr w:rsidR="004035B4" w:rsidRPr="004035B4" w14:paraId="34234C20" w14:textId="77777777" w:rsidTr="004A0440">
        <w:tc>
          <w:tcPr>
            <w:tcW w:w="708" w:type="pct"/>
            <w:vMerge/>
            <w:tcBorders>
              <w:right w:val="single" w:sz="4" w:space="0" w:color="auto"/>
            </w:tcBorders>
          </w:tcPr>
          <w:p w14:paraId="54141F6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306B354" w14:textId="77777777" w:rsidR="004035B4" w:rsidRPr="004035B4" w:rsidRDefault="004035B4" w:rsidP="000908CC">
            <w:pPr>
              <w:rPr>
                <w:rFonts w:ascii="STIX Two Text" w:hAnsi="STIX Two Text"/>
                <w:sz w:val="16"/>
                <w:szCs w:val="16"/>
              </w:rPr>
            </w:pPr>
          </w:p>
        </w:tc>
        <w:tc>
          <w:tcPr>
            <w:tcW w:w="2867" w:type="pct"/>
            <w:tcBorders>
              <w:left w:val="nil"/>
            </w:tcBorders>
          </w:tcPr>
          <w:p w14:paraId="531A545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“The first analysis demonstrated that the difference in WOMAC score is mostly affected by the range of motion before treatment.”</w:t>
            </w:r>
          </w:p>
        </w:tc>
      </w:tr>
      <w:tr w:rsidR="004035B4" w:rsidRPr="004035B4" w14:paraId="64D13AF1" w14:textId="77777777" w:rsidTr="004A0440">
        <w:tc>
          <w:tcPr>
            <w:tcW w:w="708" w:type="pct"/>
            <w:vMerge/>
            <w:tcBorders>
              <w:right w:val="single" w:sz="4" w:space="0" w:color="auto"/>
            </w:tcBorders>
          </w:tcPr>
          <w:p w14:paraId="492C4762"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2BB59B0" w14:textId="77777777" w:rsidR="004035B4" w:rsidRPr="004035B4" w:rsidRDefault="004035B4" w:rsidP="000908CC">
            <w:pPr>
              <w:rPr>
                <w:rFonts w:ascii="STIX Two Text" w:hAnsi="STIX Two Text"/>
                <w:sz w:val="16"/>
                <w:szCs w:val="16"/>
              </w:rPr>
            </w:pPr>
          </w:p>
        </w:tc>
        <w:tc>
          <w:tcPr>
            <w:tcW w:w="2867" w:type="pct"/>
            <w:tcBorders>
              <w:left w:val="nil"/>
            </w:tcBorders>
          </w:tcPr>
          <w:p w14:paraId="286C7BA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w:t>
            </w:r>
            <w:r w:rsidRPr="004035B4">
              <w:rPr>
                <w:rFonts w:ascii="STIX Two Text" w:hAnsi="STIX Two Text"/>
                <w:color w:val="000000" w:themeColor="text1"/>
                <w:sz w:val="16"/>
                <w:szCs w:val="16"/>
              </w:rPr>
              <w:t xml:space="preserve"> (Results)</w:t>
            </w:r>
            <w:r w:rsidRPr="004035B4">
              <w:rPr>
                <w:rFonts w:ascii="STIX Two Text" w:hAnsi="STIX Two Text"/>
                <w:sz w:val="16"/>
                <w:szCs w:val="16"/>
              </w:rPr>
              <w:t>: “Strikingly, most test combinations showed a weak to moderate level of agreement.”</w:t>
            </w:r>
          </w:p>
        </w:tc>
      </w:tr>
      <w:tr w:rsidR="004035B4" w:rsidRPr="004035B4" w14:paraId="771BA217" w14:textId="77777777" w:rsidTr="004A0440">
        <w:tc>
          <w:tcPr>
            <w:tcW w:w="708" w:type="pct"/>
            <w:vMerge/>
            <w:tcBorders>
              <w:right w:val="single" w:sz="4" w:space="0" w:color="auto"/>
            </w:tcBorders>
          </w:tcPr>
          <w:p w14:paraId="49CF1800"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8D899C8" w14:textId="77777777" w:rsidR="004035B4" w:rsidRPr="004035B4" w:rsidRDefault="004035B4" w:rsidP="000908CC">
            <w:pPr>
              <w:rPr>
                <w:rFonts w:ascii="STIX Two Text" w:hAnsi="STIX Two Text"/>
                <w:sz w:val="16"/>
                <w:szCs w:val="16"/>
              </w:rPr>
            </w:pPr>
          </w:p>
        </w:tc>
        <w:tc>
          <w:tcPr>
            <w:tcW w:w="2867" w:type="pct"/>
            <w:tcBorders>
              <w:left w:val="nil"/>
            </w:tcBorders>
          </w:tcPr>
          <w:p w14:paraId="1890691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w:t>
            </w:r>
            <w:r w:rsidRPr="004035B4">
              <w:rPr>
                <w:rFonts w:ascii="STIX Two Text" w:hAnsi="STIX Two Text"/>
                <w:color w:val="000000" w:themeColor="text1"/>
                <w:sz w:val="16"/>
                <w:szCs w:val="16"/>
              </w:rPr>
              <w:t xml:space="preserve"> (Results)</w:t>
            </w:r>
            <w:r w:rsidRPr="004035B4">
              <w:rPr>
                <w:rFonts w:ascii="STIX Two Text" w:hAnsi="STIX Two Text"/>
                <w:sz w:val="16"/>
                <w:szCs w:val="16"/>
              </w:rPr>
              <w:t>: “[Progression free survival] curves were best separated with [assay 2] probes 3 and 5 (log rank p=0.0032) and [assay 1] (log rank p=0.0083).”</w:t>
            </w:r>
          </w:p>
        </w:tc>
      </w:tr>
      <w:tr w:rsidR="004035B4" w:rsidRPr="004035B4" w14:paraId="2EC5667C" w14:textId="77777777" w:rsidTr="004A0440">
        <w:tc>
          <w:tcPr>
            <w:tcW w:w="708" w:type="pct"/>
            <w:vMerge/>
            <w:tcBorders>
              <w:right w:val="single" w:sz="4" w:space="0" w:color="auto"/>
            </w:tcBorders>
          </w:tcPr>
          <w:p w14:paraId="7A26424A"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8CA0D57" w14:textId="77777777" w:rsidR="004035B4" w:rsidRPr="004035B4" w:rsidRDefault="004035B4" w:rsidP="000908CC">
            <w:pPr>
              <w:rPr>
                <w:rFonts w:ascii="STIX Two Text" w:hAnsi="STIX Two Text"/>
                <w:sz w:val="16"/>
                <w:szCs w:val="16"/>
              </w:rPr>
            </w:pPr>
          </w:p>
        </w:tc>
        <w:tc>
          <w:tcPr>
            <w:tcW w:w="2867" w:type="pct"/>
            <w:tcBorders>
              <w:left w:val="nil"/>
            </w:tcBorders>
          </w:tcPr>
          <w:p w14:paraId="6A6E913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“Figure 25 shows a slightly higher AUC for the 48-hour incubation.”</w:t>
            </w:r>
          </w:p>
        </w:tc>
      </w:tr>
      <w:tr w:rsidR="004035B4" w:rsidRPr="004035B4" w14:paraId="7C374E93" w14:textId="77777777" w:rsidTr="004A0440">
        <w:tc>
          <w:tcPr>
            <w:tcW w:w="708" w:type="pct"/>
            <w:vMerge/>
            <w:tcBorders>
              <w:right w:val="single" w:sz="4" w:space="0" w:color="auto"/>
            </w:tcBorders>
          </w:tcPr>
          <w:p w14:paraId="65F980C8"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FCE5B6A" w14:textId="77777777" w:rsidR="004035B4" w:rsidRPr="004035B4" w:rsidRDefault="004035B4" w:rsidP="000908CC">
            <w:pPr>
              <w:rPr>
                <w:rFonts w:ascii="STIX Two Text" w:hAnsi="STIX Two Text"/>
                <w:sz w:val="16"/>
                <w:szCs w:val="16"/>
              </w:rPr>
            </w:pPr>
          </w:p>
        </w:tc>
        <w:tc>
          <w:tcPr>
            <w:tcW w:w="2867" w:type="pct"/>
            <w:tcBorders>
              <w:left w:val="nil"/>
            </w:tcBorders>
          </w:tcPr>
          <w:p w14:paraId="1A95B46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(Discussion): “Most readthrough agents show differing results regarding variables such as stop codon sensitivity, disease specificity and toxicity in vivo.”</w:t>
            </w:r>
          </w:p>
        </w:tc>
      </w:tr>
      <w:tr w:rsidR="004035B4" w:rsidRPr="004035B4" w14:paraId="2EE9E2CA" w14:textId="77777777" w:rsidTr="004A0440">
        <w:tc>
          <w:tcPr>
            <w:tcW w:w="708" w:type="pct"/>
            <w:vMerge/>
            <w:tcBorders>
              <w:right w:val="single" w:sz="4" w:space="0" w:color="auto"/>
            </w:tcBorders>
          </w:tcPr>
          <w:p w14:paraId="70CE5835"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71ADE5E" w14:textId="77777777" w:rsidR="004035B4" w:rsidRPr="004035B4" w:rsidRDefault="004035B4" w:rsidP="000908CC">
            <w:pPr>
              <w:rPr>
                <w:rFonts w:ascii="STIX Two Text" w:hAnsi="STIX Two Text"/>
                <w:sz w:val="16"/>
                <w:szCs w:val="16"/>
              </w:rPr>
            </w:pPr>
          </w:p>
        </w:tc>
        <w:tc>
          <w:tcPr>
            <w:tcW w:w="2867" w:type="pct"/>
            <w:tcBorders>
              <w:left w:val="nil"/>
            </w:tcBorders>
          </w:tcPr>
          <w:p w14:paraId="1CD1926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(Literature review): “These results however showed that only the C1546X and UGA/319d mutations could be targeted by negamycin.(Allamand et al., 2007).” (Allamand et al., 2007)</w:t>
            </w:r>
          </w:p>
        </w:tc>
      </w:tr>
      <w:tr w:rsidR="004035B4" w:rsidRPr="004035B4" w14:paraId="115310B9" w14:textId="77777777" w:rsidTr="004A0440">
        <w:tc>
          <w:tcPr>
            <w:tcW w:w="708" w:type="pct"/>
            <w:vMerge/>
            <w:tcBorders>
              <w:right w:val="single" w:sz="4" w:space="0" w:color="auto"/>
            </w:tcBorders>
          </w:tcPr>
          <w:p w14:paraId="5DAE3EC4"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0AAC7D0" w14:textId="77777777" w:rsidR="004035B4" w:rsidRPr="004035B4" w:rsidRDefault="004035B4" w:rsidP="000908CC">
            <w:pPr>
              <w:rPr>
                <w:rFonts w:ascii="STIX Two Text" w:hAnsi="STIX Two Text"/>
                <w:sz w:val="16"/>
                <w:szCs w:val="16"/>
              </w:rPr>
            </w:pPr>
          </w:p>
        </w:tc>
        <w:tc>
          <w:tcPr>
            <w:tcW w:w="2867" w:type="pct"/>
            <w:tcBorders>
              <w:left w:val="nil"/>
            </w:tcBorders>
          </w:tcPr>
          <w:p w14:paraId="32C02B8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(Introduction): “Data was collected from 133 patients who had undergone KJD.”</w:t>
            </w:r>
          </w:p>
        </w:tc>
      </w:tr>
      <w:tr w:rsidR="004035B4" w:rsidRPr="004035B4" w14:paraId="772EF973" w14:textId="77777777" w:rsidTr="004A0440">
        <w:tc>
          <w:tcPr>
            <w:tcW w:w="708" w:type="pct"/>
            <w:vMerge/>
            <w:tcBorders>
              <w:right w:val="single" w:sz="4" w:space="0" w:color="auto"/>
            </w:tcBorders>
          </w:tcPr>
          <w:p w14:paraId="3AB5420A"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6B35E00" w14:textId="77777777" w:rsidR="004035B4" w:rsidRPr="004035B4" w:rsidRDefault="004035B4" w:rsidP="000908CC">
            <w:pPr>
              <w:rPr>
                <w:rFonts w:ascii="STIX Two Text" w:hAnsi="STIX Two Text"/>
                <w:sz w:val="16"/>
                <w:szCs w:val="16"/>
              </w:rPr>
            </w:pPr>
          </w:p>
        </w:tc>
        <w:tc>
          <w:tcPr>
            <w:tcW w:w="2867" w:type="pct"/>
            <w:tcBorders>
              <w:left w:val="nil"/>
            </w:tcBorders>
          </w:tcPr>
          <w:p w14:paraId="3A29F87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(Methods): “The MGMT promoter methylation status of 90 glioblastoma samples of patients diagnosed between 2010 and 2014, was retrospectively assessed.”</w:t>
            </w:r>
          </w:p>
        </w:tc>
      </w:tr>
      <w:tr w:rsidR="004035B4" w:rsidRPr="004035B4" w14:paraId="4062801B" w14:textId="77777777" w:rsidTr="004A0440">
        <w:tc>
          <w:tcPr>
            <w:tcW w:w="708" w:type="pct"/>
            <w:vMerge/>
            <w:tcBorders>
              <w:right w:val="single" w:sz="4" w:space="0" w:color="auto"/>
            </w:tcBorders>
          </w:tcPr>
          <w:p w14:paraId="60249E65"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7DD7F00" w14:textId="77777777" w:rsidR="004035B4" w:rsidRPr="004035B4" w:rsidRDefault="004035B4" w:rsidP="000908CC">
            <w:pPr>
              <w:rPr>
                <w:rFonts w:ascii="STIX Two Text" w:hAnsi="STIX Two Text"/>
                <w:sz w:val="16"/>
                <w:szCs w:val="16"/>
              </w:rPr>
            </w:pPr>
          </w:p>
        </w:tc>
        <w:tc>
          <w:tcPr>
            <w:tcW w:w="2867" w:type="pct"/>
            <w:tcBorders>
              <w:left w:val="nil"/>
            </w:tcBorders>
          </w:tcPr>
          <w:p w14:paraId="075E1BF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“In this experiment two cell lines were incubated with a fixed concentration of ELX-02 and different concentrations of SMG1i.”</w:t>
            </w:r>
          </w:p>
        </w:tc>
      </w:tr>
      <w:tr w:rsidR="004035B4" w:rsidRPr="004035B4" w14:paraId="1E463030" w14:textId="77777777" w:rsidTr="004A0440">
        <w:tc>
          <w:tcPr>
            <w:tcW w:w="708" w:type="pct"/>
            <w:vMerge w:val="restart"/>
            <w:tcBorders>
              <w:right w:val="single" w:sz="4" w:space="0" w:color="auto"/>
            </w:tcBorders>
          </w:tcPr>
          <w:p w14:paraId="1DD9754F" w14:textId="77777777" w:rsidR="004035B4" w:rsidRPr="004035B4" w:rsidRDefault="004035B4" w:rsidP="000908CC">
            <w:pPr>
              <w:rPr>
                <w:rFonts w:ascii="STIX Two Text" w:hAnsi="STIX Two Text"/>
                <w:b/>
                <w:bCs/>
                <w:sz w:val="16"/>
                <w:szCs w:val="16"/>
              </w:rPr>
            </w:pPr>
            <w:r w:rsidRPr="004035B4">
              <w:rPr>
                <w:rFonts w:ascii="STIX Two Text" w:hAnsi="STIX Two Text"/>
                <w:sz w:val="16"/>
                <w:szCs w:val="16"/>
              </w:rPr>
              <w:t>Writing from a human perspective</w:t>
            </w:r>
          </w:p>
        </w:tc>
        <w:tc>
          <w:tcPr>
            <w:tcW w:w="1425" w:type="pct"/>
            <w:vMerge w:val="restart"/>
            <w:tcBorders>
              <w:left w:val="single" w:sz="4" w:space="0" w:color="auto"/>
            </w:tcBorders>
          </w:tcPr>
          <w:p w14:paraId="3A7627F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61E75D5B"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Inferences in science are value-laden.</w:t>
            </w:r>
          </w:p>
          <w:p w14:paraId="03F56239"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Scientists might infer different conclusions in cases of empirical equivalence, when other values might be decisive (e.g., simplicity, explanatory power).</w:t>
            </w:r>
          </w:p>
          <w:p w14:paraId="77C5E957"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There is a clear distinction between observation and inference.</w:t>
            </w:r>
          </w:p>
          <w:p w14:paraId="7E95972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should be justified.</w:t>
            </w:r>
          </w:p>
          <w:p w14:paraId="4BD3B5D0"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Methodological choices are value-laden.</w:t>
            </w:r>
          </w:p>
          <w:p w14:paraId="13F2CAE6"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Methodological pluralism.</w:t>
            </w:r>
          </w:p>
        </w:tc>
        <w:tc>
          <w:tcPr>
            <w:tcW w:w="2867" w:type="pct"/>
            <w:tcBorders>
              <w:left w:val="nil"/>
            </w:tcBorders>
          </w:tcPr>
          <w:p w14:paraId="645EA75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“This leaves us not yet satisfied and looking for improvement.”</w:t>
            </w:r>
          </w:p>
        </w:tc>
      </w:tr>
      <w:tr w:rsidR="004035B4" w:rsidRPr="004035B4" w14:paraId="601C2192" w14:textId="77777777" w:rsidTr="004A0440">
        <w:tc>
          <w:tcPr>
            <w:tcW w:w="708" w:type="pct"/>
            <w:vMerge/>
            <w:tcBorders>
              <w:right w:val="single" w:sz="4" w:space="0" w:color="auto"/>
            </w:tcBorders>
          </w:tcPr>
          <w:p w14:paraId="05B35FC8"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D6E33ED" w14:textId="77777777" w:rsidR="004035B4" w:rsidRPr="004035B4" w:rsidRDefault="004035B4" w:rsidP="000908CC">
            <w:pPr>
              <w:rPr>
                <w:rFonts w:ascii="STIX Two Text" w:hAnsi="STIX Two Text"/>
                <w:sz w:val="16"/>
                <w:szCs w:val="16"/>
              </w:rPr>
            </w:pPr>
          </w:p>
        </w:tc>
        <w:tc>
          <w:tcPr>
            <w:tcW w:w="2867" w:type="pct"/>
            <w:tcBorders>
              <w:left w:val="nil"/>
            </w:tcBorders>
          </w:tcPr>
          <w:p w14:paraId="17CAF4C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(Methods): “According to Qian and Brent, [assay 2] probe 3 and probe 5 target areas within methylation hotspots (92).” (Qian &amp; Brent, 1997)</w:t>
            </w:r>
          </w:p>
        </w:tc>
      </w:tr>
      <w:tr w:rsidR="004035B4" w:rsidRPr="004035B4" w14:paraId="1BBB4C74" w14:textId="77777777" w:rsidTr="004A0440">
        <w:tc>
          <w:tcPr>
            <w:tcW w:w="708" w:type="pct"/>
            <w:vMerge/>
            <w:tcBorders>
              <w:right w:val="single" w:sz="4" w:space="0" w:color="auto"/>
            </w:tcBorders>
          </w:tcPr>
          <w:p w14:paraId="3240C43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9B54F11" w14:textId="77777777" w:rsidR="004035B4" w:rsidRPr="004035B4" w:rsidRDefault="004035B4" w:rsidP="000908CC">
            <w:pPr>
              <w:rPr>
                <w:rFonts w:ascii="STIX Two Text" w:hAnsi="STIX Two Text"/>
                <w:sz w:val="16"/>
                <w:szCs w:val="16"/>
              </w:rPr>
            </w:pPr>
          </w:p>
        </w:tc>
        <w:tc>
          <w:tcPr>
            <w:tcW w:w="2867" w:type="pct"/>
            <w:tcBorders>
              <w:left w:val="nil"/>
            </w:tcBorders>
          </w:tcPr>
          <w:p w14:paraId="3BA7497E"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(Discussion): “I propose a new pipeline for discovery (figure 29).”</w:t>
            </w:r>
          </w:p>
        </w:tc>
      </w:tr>
      <w:tr w:rsidR="004035B4" w:rsidRPr="004035B4" w14:paraId="4C9B060C" w14:textId="77777777" w:rsidTr="004A0440">
        <w:tc>
          <w:tcPr>
            <w:tcW w:w="708" w:type="pct"/>
            <w:vMerge/>
            <w:tcBorders>
              <w:right w:val="single" w:sz="4" w:space="0" w:color="auto"/>
            </w:tcBorders>
          </w:tcPr>
          <w:p w14:paraId="7B70C445"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0268BDF" w14:textId="77777777" w:rsidR="004035B4" w:rsidRPr="004035B4" w:rsidRDefault="004035B4" w:rsidP="000908CC">
            <w:pPr>
              <w:rPr>
                <w:rFonts w:ascii="STIX Two Text" w:hAnsi="STIX Two Text"/>
                <w:sz w:val="16"/>
                <w:szCs w:val="16"/>
              </w:rPr>
            </w:pPr>
          </w:p>
        </w:tc>
        <w:tc>
          <w:tcPr>
            <w:tcW w:w="2867" w:type="pct"/>
            <w:tcBorders>
              <w:left w:val="nil"/>
            </w:tcBorders>
          </w:tcPr>
          <w:p w14:paraId="51D0A6C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(Literature review): “Welch et al. performed two high-throughput screenings in order to find potential new readthrough agents.” (Welch et al., 2007)</w:t>
            </w:r>
          </w:p>
        </w:tc>
      </w:tr>
      <w:tr w:rsidR="004035B4" w:rsidRPr="004035B4" w14:paraId="28A3F621" w14:textId="77777777" w:rsidTr="004A0440">
        <w:tc>
          <w:tcPr>
            <w:tcW w:w="708" w:type="pct"/>
            <w:vMerge/>
            <w:tcBorders>
              <w:right w:val="single" w:sz="4" w:space="0" w:color="auto"/>
            </w:tcBorders>
          </w:tcPr>
          <w:p w14:paraId="7243C775"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D47D030" w14:textId="77777777" w:rsidR="004035B4" w:rsidRPr="004035B4" w:rsidRDefault="004035B4" w:rsidP="000908CC">
            <w:pPr>
              <w:rPr>
                <w:rFonts w:ascii="STIX Two Text" w:hAnsi="STIX Two Text"/>
                <w:sz w:val="16"/>
                <w:szCs w:val="16"/>
              </w:rPr>
            </w:pPr>
          </w:p>
        </w:tc>
        <w:tc>
          <w:tcPr>
            <w:tcW w:w="2867" w:type="pct"/>
            <w:tcBorders>
              <w:left w:val="nil"/>
            </w:tcBorders>
          </w:tcPr>
          <w:p w14:paraId="370A7E8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(Conclusion) wrote a sentence about what results researchers had found the past decades.</w:t>
            </w:r>
          </w:p>
        </w:tc>
      </w:tr>
      <w:tr w:rsidR="004035B4" w:rsidRPr="004035B4" w14:paraId="14137DAA" w14:textId="77777777" w:rsidTr="004A0440">
        <w:tc>
          <w:tcPr>
            <w:tcW w:w="708" w:type="pct"/>
            <w:vMerge/>
            <w:tcBorders>
              <w:right w:val="single" w:sz="4" w:space="0" w:color="auto"/>
            </w:tcBorders>
          </w:tcPr>
          <w:p w14:paraId="35260C9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FBE6E21" w14:textId="77777777" w:rsidR="004035B4" w:rsidRPr="004035B4" w:rsidRDefault="004035B4" w:rsidP="000908CC">
            <w:pPr>
              <w:rPr>
                <w:rFonts w:ascii="STIX Two Text" w:hAnsi="STIX Two Text"/>
                <w:sz w:val="16"/>
                <w:szCs w:val="16"/>
              </w:rPr>
            </w:pPr>
          </w:p>
        </w:tc>
        <w:tc>
          <w:tcPr>
            <w:tcW w:w="2867" w:type="pct"/>
            <w:tcBorders>
              <w:left w:val="nil"/>
            </w:tcBorders>
          </w:tcPr>
          <w:p w14:paraId="179396F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(Introduction): “Here we make a more thorough analysis of KJD predictive factors.”</w:t>
            </w:r>
          </w:p>
        </w:tc>
      </w:tr>
      <w:tr w:rsidR="004035B4" w:rsidRPr="004035B4" w14:paraId="011897CA" w14:textId="77777777" w:rsidTr="004A0440">
        <w:tc>
          <w:tcPr>
            <w:tcW w:w="708" w:type="pct"/>
            <w:vMerge/>
            <w:tcBorders>
              <w:right w:val="single" w:sz="4" w:space="0" w:color="auto"/>
            </w:tcBorders>
          </w:tcPr>
          <w:p w14:paraId="4AC8A6D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EB670C3" w14:textId="77777777" w:rsidR="004035B4" w:rsidRPr="004035B4" w:rsidRDefault="004035B4" w:rsidP="000908CC">
            <w:pPr>
              <w:rPr>
                <w:rFonts w:ascii="STIX Two Text" w:hAnsi="STIX Two Text"/>
                <w:sz w:val="16"/>
                <w:szCs w:val="16"/>
              </w:rPr>
            </w:pPr>
          </w:p>
        </w:tc>
        <w:tc>
          <w:tcPr>
            <w:tcW w:w="2867" w:type="pct"/>
            <w:tcBorders>
              <w:left w:val="nil"/>
            </w:tcBorders>
          </w:tcPr>
          <w:p w14:paraId="0810A1B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(Introduction): “In this experiment we used the FIS assay to study the effect of a selection of RT agents on different CFTR nonsense mutations.”</w:t>
            </w:r>
          </w:p>
        </w:tc>
      </w:tr>
      <w:tr w:rsidR="004035B4" w:rsidRPr="004035B4" w14:paraId="36123568" w14:textId="77777777" w:rsidTr="004A0440">
        <w:tc>
          <w:tcPr>
            <w:tcW w:w="708" w:type="pct"/>
            <w:vMerge/>
            <w:tcBorders>
              <w:right w:val="single" w:sz="4" w:space="0" w:color="auto"/>
            </w:tcBorders>
          </w:tcPr>
          <w:p w14:paraId="2783DD9A"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8D91FC9" w14:textId="77777777" w:rsidR="004035B4" w:rsidRPr="004035B4" w:rsidRDefault="004035B4" w:rsidP="000908CC">
            <w:pPr>
              <w:rPr>
                <w:rFonts w:ascii="STIX Two Text" w:hAnsi="STIX Two Text"/>
                <w:sz w:val="16"/>
                <w:szCs w:val="16"/>
              </w:rPr>
            </w:pPr>
          </w:p>
        </w:tc>
        <w:tc>
          <w:tcPr>
            <w:tcW w:w="2867" w:type="pct"/>
            <w:tcBorders>
              <w:left w:val="nil"/>
            </w:tcBorders>
          </w:tcPr>
          <w:p w14:paraId="0CA521E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(Methods): “Primers were previously described by Esteller et al. (5).” (Esteller et al., 2000)</w:t>
            </w:r>
          </w:p>
        </w:tc>
      </w:tr>
      <w:tr w:rsidR="004035B4" w:rsidRPr="004035B4" w14:paraId="2E8B958B" w14:textId="77777777" w:rsidTr="004A0440">
        <w:tc>
          <w:tcPr>
            <w:tcW w:w="708" w:type="pct"/>
            <w:vMerge/>
            <w:tcBorders>
              <w:right w:val="single" w:sz="4" w:space="0" w:color="auto"/>
            </w:tcBorders>
          </w:tcPr>
          <w:p w14:paraId="7397A57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1BB4B8AE" w14:textId="77777777" w:rsidR="004035B4" w:rsidRPr="004035B4" w:rsidRDefault="004035B4" w:rsidP="000908CC">
            <w:pPr>
              <w:rPr>
                <w:rFonts w:ascii="STIX Two Text" w:hAnsi="STIX Two Text"/>
                <w:sz w:val="16"/>
                <w:szCs w:val="16"/>
              </w:rPr>
            </w:pPr>
          </w:p>
        </w:tc>
        <w:tc>
          <w:tcPr>
            <w:tcW w:w="2867" w:type="pct"/>
            <w:tcBorders>
              <w:left w:val="nil"/>
            </w:tcBorders>
          </w:tcPr>
          <w:p w14:paraId="7F1D9FE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(Literature review): “Using the forskolin-induced swelling (FIS) assay, de Poel et al., tested the effect of ELX-02 on intestinal organoids containing different nonsense mutations.” (Poel et al., 2022)</w:t>
            </w:r>
          </w:p>
        </w:tc>
      </w:tr>
      <w:tr w:rsidR="004035B4" w:rsidRPr="004035B4" w14:paraId="5E554C72" w14:textId="77777777" w:rsidTr="004A0440">
        <w:tc>
          <w:tcPr>
            <w:tcW w:w="708" w:type="pct"/>
            <w:vMerge/>
            <w:tcBorders>
              <w:right w:val="single" w:sz="4" w:space="0" w:color="auto"/>
            </w:tcBorders>
          </w:tcPr>
          <w:p w14:paraId="3BF4B350"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58FD848" w14:textId="77777777" w:rsidR="004035B4" w:rsidRPr="004035B4" w:rsidRDefault="004035B4" w:rsidP="000908CC">
            <w:pPr>
              <w:rPr>
                <w:rFonts w:ascii="STIX Two Text" w:hAnsi="STIX Two Text"/>
                <w:sz w:val="16"/>
                <w:szCs w:val="16"/>
              </w:rPr>
            </w:pPr>
          </w:p>
        </w:tc>
        <w:tc>
          <w:tcPr>
            <w:tcW w:w="2867" w:type="pct"/>
            <w:tcBorders>
              <w:left w:val="nil"/>
            </w:tcBorders>
          </w:tcPr>
          <w:p w14:paraId="6A69224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(Introduction): “To establish a new model for CFTR function the [research group at this institute] developed the forskolin-induced swelling (FIS) assay for intestinal organoids.”</w:t>
            </w:r>
          </w:p>
        </w:tc>
      </w:tr>
      <w:tr w:rsidR="004035B4" w:rsidRPr="004035B4" w14:paraId="191A1839" w14:textId="77777777" w:rsidTr="004A0440">
        <w:tc>
          <w:tcPr>
            <w:tcW w:w="708" w:type="pct"/>
            <w:vMerge/>
            <w:tcBorders>
              <w:right w:val="single" w:sz="4" w:space="0" w:color="auto"/>
            </w:tcBorders>
          </w:tcPr>
          <w:p w14:paraId="096289E8"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451509D" w14:textId="77777777" w:rsidR="004035B4" w:rsidRPr="004035B4" w:rsidRDefault="004035B4" w:rsidP="000908CC">
            <w:pPr>
              <w:rPr>
                <w:rFonts w:ascii="STIX Two Text" w:hAnsi="STIX Two Text"/>
                <w:sz w:val="16"/>
                <w:szCs w:val="16"/>
              </w:rPr>
            </w:pPr>
          </w:p>
        </w:tc>
        <w:tc>
          <w:tcPr>
            <w:tcW w:w="2867" w:type="pct"/>
            <w:tcBorders>
              <w:left w:val="nil"/>
            </w:tcBorders>
          </w:tcPr>
          <w:p w14:paraId="5E8E6DE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(Methods) used sentences like “the results were compared to evaluate.”</w:t>
            </w:r>
          </w:p>
        </w:tc>
      </w:tr>
      <w:tr w:rsidR="004035B4" w:rsidRPr="004035B4" w14:paraId="4A648032" w14:textId="77777777" w:rsidTr="004A0440">
        <w:tc>
          <w:tcPr>
            <w:tcW w:w="708" w:type="pct"/>
            <w:vMerge/>
            <w:tcBorders>
              <w:right w:val="single" w:sz="4" w:space="0" w:color="auto"/>
            </w:tcBorders>
          </w:tcPr>
          <w:p w14:paraId="19200120"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BD7E7DC" w14:textId="77777777" w:rsidR="004035B4" w:rsidRPr="004035B4" w:rsidRDefault="004035B4" w:rsidP="000908CC">
            <w:pPr>
              <w:rPr>
                <w:rFonts w:ascii="STIX Two Text" w:hAnsi="STIX Two Text"/>
                <w:sz w:val="16"/>
                <w:szCs w:val="16"/>
              </w:rPr>
            </w:pPr>
          </w:p>
        </w:tc>
        <w:tc>
          <w:tcPr>
            <w:tcW w:w="2867" w:type="pct"/>
            <w:tcBorders>
              <w:left w:val="nil"/>
            </w:tcBorders>
          </w:tcPr>
          <w:p w14:paraId="24E6EED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(Methods): “Important is to make a distinction between …”</w:t>
            </w:r>
          </w:p>
        </w:tc>
      </w:tr>
      <w:tr w:rsidR="004035B4" w:rsidRPr="004035B4" w14:paraId="3A995667" w14:textId="77777777" w:rsidTr="004A0440">
        <w:tc>
          <w:tcPr>
            <w:tcW w:w="708" w:type="pct"/>
            <w:vMerge/>
            <w:tcBorders>
              <w:right w:val="single" w:sz="4" w:space="0" w:color="auto"/>
            </w:tcBorders>
          </w:tcPr>
          <w:p w14:paraId="0C96E7D1"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1447F4C0" w14:textId="77777777" w:rsidR="004035B4" w:rsidRPr="004035B4" w:rsidRDefault="004035B4" w:rsidP="000908CC">
            <w:pPr>
              <w:rPr>
                <w:rFonts w:ascii="STIX Two Text" w:hAnsi="STIX Two Text"/>
                <w:sz w:val="16"/>
                <w:szCs w:val="16"/>
              </w:rPr>
            </w:pPr>
          </w:p>
        </w:tc>
        <w:tc>
          <w:tcPr>
            <w:tcW w:w="2867" w:type="pct"/>
            <w:tcBorders>
              <w:left w:val="nil"/>
            </w:tcBorders>
          </w:tcPr>
          <w:p w14:paraId="2785299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 it is interesting to see if DAP activity differs between these.”</w:t>
            </w:r>
          </w:p>
        </w:tc>
      </w:tr>
      <w:tr w:rsidR="004035B4" w:rsidRPr="004035B4" w14:paraId="0999CF31" w14:textId="77777777" w:rsidTr="004A0440">
        <w:tc>
          <w:tcPr>
            <w:tcW w:w="5000" w:type="pct"/>
            <w:gridSpan w:val="3"/>
          </w:tcPr>
          <w:p w14:paraId="27949160"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Conveying (un)certainty</w:t>
            </w:r>
          </w:p>
        </w:tc>
      </w:tr>
      <w:tr w:rsidR="004035B4" w:rsidRPr="004035B4" w14:paraId="79B924F8" w14:textId="77777777" w:rsidTr="004A0440">
        <w:tc>
          <w:tcPr>
            <w:tcW w:w="708" w:type="pct"/>
            <w:vMerge w:val="restart"/>
            <w:tcBorders>
              <w:right w:val="single" w:sz="4" w:space="0" w:color="auto"/>
            </w:tcBorders>
          </w:tcPr>
          <w:p w14:paraId="6CAE50EE"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Conveying certainty in (unjustifiably) boosted sentences</w:t>
            </w:r>
          </w:p>
          <w:p w14:paraId="7663BB42" w14:textId="77777777" w:rsidR="004035B4" w:rsidRPr="004035B4" w:rsidRDefault="004035B4" w:rsidP="000908CC">
            <w:pPr>
              <w:rPr>
                <w:rFonts w:ascii="STIX Two Text" w:hAnsi="STIX Two Text"/>
                <w:sz w:val="16"/>
                <w:szCs w:val="16"/>
              </w:rPr>
            </w:pPr>
          </w:p>
        </w:tc>
        <w:tc>
          <w:tcPr>
            <w:tcW w:w="1425" w:type="pct"/>
            <w:vMerge w:val="restart"/>
            <w:tcBorders>
              <w:left w:val="single" w:sz="4" w:space="0" w:color="auto"/>
            </w:tcBorders>
          </w:tcPr>
          <w:p w14:paraId="6B13DC7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should be conclusive.</w:t>
            </w:r>
          </w:p>
          <w:p w14:paraId="73FDCD6B"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are or should be conclusive.</w:t>
            </w:r>
          </w:p>
          <w:p w14:paraId="6ABE7C60"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Research results should be impressive to be valuable.</w:t>
            </w:r>
          </w:p>
        </w:tc>
        <w:tc>
          <w:tcPr>
            <w:tcW w:w="2867" w:type="pct"/>
            <w:tcBorders>
              <w:left w:val="nil"/>
            </w:tcBorders>
          </w:tcPr>
          <w:p w14:paraId="28B66E7B"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Luca (Analysis): “The combination of the variables gender and menopause are of </w:t>
            </w:r>
            <w:r w:rsidRPr="004035B4">
              <w:rPr>
                <w:rFonts w:ascii="STIX Two Text" w:hAnsi="STIX Two Text"/>
                <w:b/>
                <w:bCs/>
                <w:sz w:val="16"/>
                <w:szCs w:val="16"/>
              </w:rPr>
              <w:t xml:space="preserve">great </w:t>
            </w:r>
            <w:r w:rsidRPr="004035B4">
              <w:rPr>
                <w:rFonts w:ascii="STIX Two Text" w:hAnsi="STIX Two Text"/>
                <w:sz w:val="16"/>
                <w:szCs w:val="16"/>
              </w:rPr>
              <w:t>influence on the JSW.”</w:t>
            </w:r>
          </w:p>
        </w:tc>
      </w:tr>
      <w:tr w:rsidR="004035B4" w:rsidRPr="004035B4" w14:paraId="467FCD29" w14:textId="77777777" w:rsidTr="004A0440">
        <w:tc>
          <w:tcPr>
            <w:tcW w:w="708" w:type="pct"/>
            <w:vMerge/>
            <w:tcBorders>
              <w:right w:val="single" w:sz="4" w:space="0" w:color="auto"/>
            </w:tcBorders>
          </w:tcPr>
          <w:p w14:paraId="4ECC3873"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B9E8572" w14:textId="77777777" w:rsidR="004035B4" w:rsidRPr="004035B4" w:rsidRDefault="004035B4" w:rsidP="000908CC">
            <w:pPr>
              <w:rPr>
                <w:rFonts w:ascii="STIX Two Text" w:hAnsi="STIX Two Text"/>
                <w:sz w:val="16"/>
                <w:szCs w:val="16"/>
              </w:rPr>
            </w:pPr>
          </w:p>
        </w:tc>
        <w:tc>
          <w:tcPr>
            <w:tcW w:w="2867" w:type="pct"/>
            <w:tcBorders>
              <w:left w:val="nil"/>
            </w:tcBorders>
          </w:tcPr>
          <w:p w14:paraId="5B722EF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(Conclusion and discussion): “Except for [assay 3] all probes, all tests </w:t>
            </w:r>
            <w:r w:rsidRPr="004035B4">
              <w:rPr>
                <w:rFonts w:ascii="STIX Two Text" w:hAnsi="STIX Two Text"/>
                <w:b/>
                <w:bCs/>
                <w:sz w:val="16"/>
                <w:szCs w:val="16"/>
              </w:rPr>
              <w:t>demonstrated</w:t>
            </w:r>
            <w:r w:rsidRPr="004035B4">
              <w:rPr>
                <w:rFonts w:ascii="STIX Two Text" w:hAnsi="STIX Two Text"/>
                <w:sz w:val="16"/>
                <w:szCs w:val="16"/>
              </w:rPr>
              <w:t xml:space="preserve"> a </w:t>
            </w:r>
            <w:r w:rsidRPr="004035B4">
              <w:rPr>
                <w:rFonts w:ascii="STIX Two Text" w:hAnsi="STIX Two Text"/>
                <w:b/>
                <w:bCs/>
                <w:sz w:val="16"/>
                <w:szCs w:val="16"/>
              </w:rPr>
              <w:t>significantly better</w:t>
            </w:r>
            <w:r w:rsidRPr="004035B4">
              <w:rPr>
                <w:rFonts w:ascii="STIX Two Text" w:hAnsi="STIX Two Text"/>
                <w:sz w:val="16"/>
                <w:szCs w:val="16"/>
              </w:rPr>
              <w:t xml:space="preserve"> survival … </w:t>
            </w:r>
            <w:r w:rsidRPr="004035B4">
              <w:rPr>
                <w:rFonts w:ascii="STIX Two Text" w:hAnsi="STIX Two Text"/>
                <w:b/>
                <w:bCs/>
                <w:sz w:val="16"/>
                <w:szCs w:val="16"/>
              </w:rPr>
              <w:t>again validating</w:t>
            </w:r>
            <w:r w:rsidRPr="004035B4">
              <w:rPr>
                <w:rFonts w:ascii="STIX Two Text" w:hAnsi="STIX Two Text"/>
                <w:sz w:val="16"/>
                <w:szCs w:val="16"/>
              </w:rPr>
              <w:t xml:space="preserve"> the utility of MGMT promoter methylation …”</w:t>
            </w:r>
          </w:p>
        </w:tc>
      </w:tr>
      <w:tr w:rsidR="004035B4" w:rsidRPr="004035B4" w14:paraId="4638CDCB" w14:textId="77777777" w:rsidTr="004A0440">
        <w:tc>
          <w:tcPr>
            <w:tcW w:w="708" w:type="pct"/>
            <w:vMerge/>
            <w:tcBorders>
              <w:right w:val="single" w:sz="4" w:space="0" w:color="auto"/>
            </w:tcBorders>
          </w:tcPr>
          <w:p w14:paraId="2FEE702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951E607" w14:textId="77777777" w:rsidR="004035B4" w:rsidRPr="004035B4" w:rsidRDefault="004035B4" w:rsidP="000908CC">
            <w:pPr>
              <w:rPr>
                <w:rFonts w:ascii="STIX Two Text" w:hAnsi="STIX Two Text"/>
                <w:sz w:val="16"/>
                <w:szCs w:val="16"/>
              </w:rPr>
            </w:pPr>
          </w:p>
        </w:tc>
        <w:tc>
          <w:tcPr>
            <w:tcW w:w="2867" w:type="pct"/>
            <w:tcBorders>
              <w:left w:val="nil"/>
            </w:tcBorders>
          </w:tcPr>
          <w:p w14:paraId="05F2948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Sam (Discussion): “… the NMD inhibitor SMG1i can </w:t>
            </w:r>
            <w:r w:rsidRPr="004035B4">
              <w:rPr>
                <w:rFonts w:ascii="STIX Two Text" w:hAnsi="STIX Two Text"/>
                <w:b/>
                <w:bCs/>
                <w:sz w:val="16"/>
                <w:szCs w:val="16"/>
              </w:rPr>
              <w:t>drastically</w:t>
            </w:r>
            <w:r w:rsidRPr="004035B4">
              <w:rPr>
                <w:rFonts w:ascii="STIX Two Text" w:hAnsi="STIX Two Text"/>
                <w:sz w:val="16"/>
                <w:szCs w:val="16"/>
              </w:rPr>
              <w:t xml:space="preserve"> improve readthrough.”</w:t>
            </w:r>
          </w:p>
        </w:tc>
      </w:tr>
      <w:tr w:rsidR="004035B4" w:rsidRPr="004035B4" w14:paraId="3C43CA98" w14:textId="77777777" w:rsidTr="004A0440">
        <w:tc>
          <w:tcPr>
            <w:tcW w:w="708" w:type="pct"/>
            <w:vMerge/>
            <w:tcBorders>
              <w:right w:val="single" w:sz="4" w:space="0" w:color="auto"/>
            </w:tcBorders>
          </w:tcPr>
          <w:p w14:paraId="0C3BBAE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A7E7880" w14:textId="77777777" w:rsidR="004035B4" w:rsidRPr="004035B4" w:rsidRDefault="004035B4" w:rsidP="000908CC">
            <w:pPr>
              <w:rPr>
                <w:rFonts w:ascii="STIX Two Text" w:hAnsi="STIX Two Text"/>
                <w:sz w:val="16"/>
                <w:szCs w:val="16"/>
              </w:rPr>
            </w:pPr>
          </w:p>
        </w:tc>
        <w:tc>
          <w:tcPr>
            <w:tcW w:w="2867" w:type="pct"/>
            <w:tcBorders>
              <w:left w:val="nil"/>
            </w:tcBorders>
          </w:tcPr>
          <w:p w14:paraId="10E1AA0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Luca (Introduction): “Here we make a </w:t>
            </w:r>
            <w:r w:rsidRPr="004035B4">
              <w:rPr>
                <w:rFonts w:ascii="STIX Two Text" w:hAnsi="STIX Two Text"/>
                <w:b/>
                <w:bCs/>
                <w:sz w:val="16"/>
                <w:szCs w:val="16"/>
              </w:rPr>
              <w:t>more thorough</w:t>
            </w:r>
            <w:r w:rsidRPr="004035B4">
              <w:rPr>
                <w:rFonts w:ascii="STIX Two Text" w:hAnsi="STIX Two Text"/>
                <w:sz w:val="16"/>
                <w:szCs w:val="16"/>
              </w:rPr>
              <w:t xml:space="preserve"> analysis of KJD predictive factors.”</w:t>
            </w:r>
          </w:p>
        </w:tc>
      </w:tr>
      <w:tr w:rsidR="004035B4" w:rsidRPr="004035B4" w14:paraId="3DA7007B" w14:textId="77777777" w:rsidTr="004A0440">
        <w:tc>
          <w:tcPr>
            <w:tcW w:w="708" w:type="pct"/>
            <w:vMerge/>
            <w:tcBorders>
              <w:right w:val="single" w:sz="4" w:space="0" w:color="auto"/>
            </w:tcBorders>
          </w:tcPr>
          <w:p w14:paraId="0FC00815"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502BF75" w14:textId="77777777" w:rsidR="004035B4" w:rsidRPr="004035B4" w:rsidRDefault="004035B4" w:rsidP="000908CC">
            <w:pPr>
              <w:rPr>
                <w:rFonts w:ascii="STIX Two Text" w:hAnsi="STIX Two Text"/>
                <w:sz w:val="16"/>
                <w:szCs w:val="16"/>
              </w:rPr>
            </w:pPr>
          </w:p>
        </w:tc>
        <w:tc>
          <w:tcPr>
            <w:tcW w:w="2867" w:type="pct"/>
            <w:tcBorders>
              <w:left w:val="nil"/>
            </w:tcBorders>
          </w:tcPr>
          <w:p w14:paraId="6577BD5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(Introduction): “The results of this study </w:t>
            </w:r>
            <w:r w:rsidRPr="004035B4">
              <w:rPr>
                <w:rFonts w:ascii="STIX Two Text" w:hAnsi="STIX Two Text"/>
                <w:b/>
                <w:bCs/>
                <w:sz w:val="16"/>
                <w:szCs w:val="16"/>
              </w:rPr>
              <w:t>should ought to be</w:t>
            </w:r>
            <w:r w:rsidRPr="004035B4">
              <w:rPr>
                <w:rFonts w:ascii="STIX Two Text" w:hAnsi="STIX Two Text"/>
                <w:sz w:val="16"/>
                <w:szCs w:val="16"/>
              </w:rPr>
              <w:t xml:space="preserve"> considered in the ongoing debate on MGMT testing, which ideally will lead to agreement soon.”</w:t>
            </w:r>
          </w:p>
        </w:tc>
      </w:tr>
      <w:tr w:rsidR="004035B4" w:rsidRPr="004035B4" w14:paraId="793C507B" w14:textId="77777777" w:rsidTr="004A0440">
        <w:tc>
          <w:tcPr>
            <w:tcW w:w="708" w:type="pct"/>
            <w:vMerge/>
            <w:tcBorders>
              <w:right w:val="single" w:sz="4" w:space="0" w:color="auto"/>
            </w:tcBorders>
          </w:tcPr>
          <w:p w14:paraId="4ACA34A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A53509F" w14:textId="77777777" w:rsidR="004035B4" w:rsidRPr="004035B4" w:rsidRDefault="004035B4" w:rsidP="000908CC">
            <w:pPr>
              <w:rPr>
                <w:rFonts w:ascii="STIX Two Text" w:hAnsi="STIX Two Text"/>
                <w:sz w:val="16"/>
                <w:szCs w:val="16"/>
              </w:rPr>
            </w:pPr>
          </w:p>
        </w:tc>
        <w:tc>
          <w:tcPr>
            <w:tcW w:w="2867" w:type="pct"/>
            <w:tcBorders>
              <w:left w:val="nil"/>
            </w:tcBorders>
          </w:tcPr>
          <w:p w14:paraId="7948CF0E"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(Introduction): “Several techniques are commercially available …, but </w:t>
            </w:r>
            <w:r w:rsidRPr="004035B4">
              <w:rPr>
                <w:rFonts w:ascii="STIX Two Text" w:hAnsi="STIX Two Text"/>
                <w:b/>
                <w:bCs/>
                <w:sz w:val="16"/>
                <w:szCs w:val="16"/>
              </w:rPr>
              <w:t>they all have their shortcomings</w:t>
            </w:r>
            <w:r w:rsidRPr="004035B4">
              <w:rPr>
                <w:rFonts w:ascii="STIX Two Text" w:hAnsi="STIX Two Text"/>
                <w:sz w:val="16"/>
                <w:szCs w:val="16"/>
              </w:rPr>
              <w:t xml:space="preserve"> …”</w:t>
            </w:r>
          </w:p>
        </w:tc>
      </w:tr>
      <w:tr w:rsidR="004035B4" w:rsidRPr="004035B4" w14:paraId="604233DE" w14:textId="77777777" w:rsidTr="004A0440">
        <w:tc>
          <w:tcPr>
            <w:tcW w:w="708" w:type="pct"/>
            <w:vMerge/>
            <w:tcBorders>
              <w:right w:val="single" w:sz="4" w:space="0" w:color="auto"/>
            </w:tcBorders>
          </w:tcPr>
          <w:p w14:paraId="19E87D64"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71F1ECD" w14:textId="77777777" w:rsidR="004035B4" w:rsidRPr="004035B4" w:rsidRDefault="004035B4" w:rsidP="000908CC">
            <w:pPr>
              <w:rPr>
                <w:rFonts w:ascii="STIX Two Text" w:hAnsi="STIX Two Text"/>
                <w:sz w:val="16"/>
                <w:szCs w:val="16"/>
              </w:rPr>
            </w:pPr>
          </w:p>
        </w:tc>
        <w:tc>
          <w:tcPr>
            <w:tcW w:w="2867" w:type="pct"/>
            <w:tcBorders>
              <w:left w:val="nil"/>
            </w:tcBorders>
          </w:tcPr>
          <w:p w14:paraId="4FED5E2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Sam (Discussion): “There is </w:t>
            </w:r>
            <w:r w:rsidRPr="004035B4">
              <w:rPr>
                <w:rFonts w:ascii="STIX Two Text" w:hAnsi="STIX Two Text"/>
                <w:b/>
                <w:bCs/>
                <w:sz w:val="16"/>
                <w:szCs w:val="16"/>
              </w:rPr>
              <w:t>no golden bullet</w:t>
            </w:r>
            <w:r w:rsidRPr="004035B4">
              <w:rPr>
                <w:rFonts w:ascii="STIX Two Text" w:hAnsi="STIX Two Text"/>
                <w:sz w:val="16"/>
                <w:szCs w:val="16"/>
              </w:rPr>
              <w:t xml:space="preserve"> for translational readthrough. Of the readthrough agents discussed </w:t>
            </w:r>
            <w:r w:rsidRPr="004035B4">
              <w:rPr>
                <w:rFonts w:ascii="STIX Two Text" w:hAnsi="STIX Two Text"/>
                <w:b/>
                <w:bCs/>
                <w:sz w:val="16"/>
                <w:szCs w:val="16"/>
              </w:rPr>
              <w:t>only</w:t>
            </w:r>
            <w:r w:rsidRPr="004035B4">
              <w:rPr>
                <w:rFonts w:ascii="STIX Two Text" w:hAnsi="STIX Two Text"/>
                <w:sz w:val="16"/>
                <w:szCs w:val="16"/>
              </w:rPr>
              <w:t xml:space="preserve"> ataluren is in clinical use in the EU. Others, such as ELX-02 are currently in clinical trials with </w:t>
            </w:r>
            <w:r w:rsidRPr="004035B4">
              <w:rPr>
                <w:rFonts w:ascii="STIX Two Text" w:hAnsi="STIX Two Text"/>
                <w:b/>
                <w:bCs/>
                <w:sz w:val="16"/>
                <w:szCs w:val="16"/>
              </w:rPr>
              <w:t>disappointing</w:t>
            </w:r>
            <w:r w:rsidRPr="004035B4">
              <w:rPr>
                <w:rFonts w:ascii="STIX Two Text" w:hAnsi="STIX Two Text"/>
                <w:sz w:val="16"/>
                <w:szCs w:val="16"/>
              </w:rPr>
              <w:t xml:space="preserve"> results.”</w:t>
            </w:r>
          </w:p>
        </w:tc>
      </w:tr>
      <w:tr w:rsidR="004035B4" w:rsidRPr="004035B4" w14:paraId="620AD227" w14:textId="77777777" w:rsidTr="004A0440">
        <w:tc>
          <w:tcPr>
            <w:tcW w:w="708" w:type="pct"/>
            <w:vMerge/>
            <w:tcBorders>
              <w:right w:val="single" w:sz="4" w:space="0" w:color="auto"/>
            </w:tcBorders>
          </w:tcPr>
          <w:p w14:paraId="66CCB7D8"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6B5BE65" w14:textId="77777777" w:rsidR="004035B4" w:rsidRPr="004035B4" w:rsidRDefault="004035B4" w:rsidP="000908CC">
            <w:pPr>
              <w:rPr>
                <w:rFonts w:ascii="STIX Two Text" w:hAnsi="STIX Two Text"/>
                <w:sz w:val="16"/>
                <w:szCs w:val="16"/>
              </w:rPr>
            </w:pPr>
          </w:p>
        </w:tc>
        <w:tc>
          <w:tcPr>
            <w:tcW w:w="2867" w:type="pct"/>
            <w:tcBorders>
              <w:left w:val="nil"/>
            </w:tcBorders>
          </w:tcPr>
          <w:p w14:paraId="15561C3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Luca (Introduction): “Several clinical trials have been performed and efficacy of treatment has been </w:t>
            </w:r>
            <w:r w:rsidRPr="004035B4">
              <w:rPr>
                <w:rFonts w:ascii="STIX Two Text" w:hAnsi="STIX Two Text"/>
                <w:b/>
                <w:bCs/>
                <w:sz w:val="16"/>
                <w:szCs w:val="16"/>
              </w:rPr>
              <w:t xml:space="preserve">demonstrated </w:t>
            </w:r>
            <w:r w:rsidRPr="004035B4">
              <w:rPr>
                <w:rFonts w:ascii="STIX Two Text" w:hAnsi="STIX Two Text"/>
                <w:sz w:val="16"/>
                <w:szCs w:val="16"/>
              </w:rPr>
              <w:t>(16, 17, 18).”</w:t>
            </w:r>
          </w:p>
          <w:p w14:paraId="2385E0B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All sources cited are more cautious in their wording and emphasize that there is still little research on this topic</w:t>
            </w:r>
            <w:r w:rsidRPr="004035B4">
              <w:rPr>
                <w:rFonts w:ascii="STIX Two Text" w:hAnsi="STIX Two Text"/>
                <w:color w:val="000000"/>
                <w:sz w:val="16"/>
                <w:szCs w:val="16"/>
              </w:rPr>
              <w:t xml:space="preserve"> </w:t>
            </w:r>
            <w:sdt>
              <w:sdtPr>
                <w:rPr>
                  <w:rFonts w:ascii="STIX Two Text" w:hAnsi="STIX Two Text"/>
                  <w:color w:val="000000"/>
                  <w:sz w:val="16"/>
                  <w:szCs w:val="16"/>
                </w:rPr>
                <w:tag w:val="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"/>
                <w:id w:val="1217400081"/>
                <w:placeholder>
                  <w:docPart w:val="0D5D435820348346A926D3B4759F46B3"/>
                </w:placeholder>
              </w:sdtPr>
              <w:sdtEndPr/>
              <w:sdtContent>
                <w:r w:rsidRPr="004035B4">
                  <w:rPr>
                    <w:rFonts w:ascii="STIX Two Text" w:hAnsi="STIX Two Text"/>
                    <w:color w:val="000000"/>
                    <w:sz w:val="16"/>
                    <w:szCs w:val="16"/>
                  </w:rPr>
                  <w:t>(Jansen et al., 2021; Takahashi et al., 2019; van der Woude et al., 2016)</w:t>
                </w:r>
              </w:sdtContent>
            </w:sdt>
            <w:r w:rsidRPr="004035B4">
              <w:rPr>
                <w:rFonts w:ascii="STIX Two Text" w:hAnsi="STIX Two Text"/>
                <w:sz w:val="16"/>
                <w:szCs w:val="16"/>
              </w:rPr>
              <w:t>.</w:t>
            </w:r>
          </w:p>
        </w:tc>
      </w:tr>
      <w:tr w:rsidR="004035B4" w:rsidRPr="004035B4" w14:paraId="42C70B30" w14:textId="77777777" w:rsidTr="004A0440">
        <w:tc>
          <w:tcPr>
            <w:tcW w:w="708" w:type="pct"/>
            <w:vMerge/>
            <w:tcBorders>
              <w:right w:val="single" w:sz="4" w:space="0" w:color="auto"/>
            </w:tcBorders>
          </w:tcPr>
          <w:p w14:paraId="542CFDC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D11A74B" w14:textId="77777777" w:rsidR="004035B4" w:rsidRPr="004035B4" w:rsidRDefault="004035B4" w:rsidP="000908CC">
            <w:pPr>
              <w:rPr>
                <w:rFonts w:ascii="STIX Two Text" w:hAnsi="STIX Two Text"/>
                <w:sz w:val="16"/>
                <w:szCs w:val="16"/>
              </w:rPr>
            </w:pPr>
          </w:p>
        </w:tc>
        <w:tc>
          <w:tcPr>
            <w:tcW w:w="2867" w:type="pct"/>
            <w:tcBorders>
              <w:left w:val="nil"/>
            </w:tcBorders>
          </w:tcPr>
          <w:p w14:paraId="094BD1D3" w14:textId="77777777" w:rsidR="004035B4" w:rsidRPr="004035B4" w:rsidRDefault="004035B4" w:rsidP="000908CC">
            <w:pPr>
              <w:rPr>
                <w:rFonts w:ascii="STIX Two Text" w:hAnsi="STIX Two Text"/>
                <w:color w:val="000000" w:themeColor="text1"/>
                <w:sz w:val="16"/>
                <w:szCs w:val="16"/>
              </w:rPr>
            </w:pPr>
            <w:r w:rsidRPr="004035B4">
              <w:rPr>
                <w:rFonts w:ascii="STIX Two Text" w:hAnsi="STIX Two Text"/>
                <w:color w:val="000000" w:themeColor="text1"/>
                <w:sz w:val="16"/>
                <w:szCs w:val="16"/>
              </w:rPr>
              <w:t xml:space="preserve">Robin (General Discussion): “Excessive fixation of samples </w:t>
            </w:r>
            <w:r w:rsidRPr="004035B4">
              <w:rPr>
                <w:rFonts w:ascii="STIX Two Text" w:hAnsi="STIX Two Text"/>
                <w:b/>
                <w:bCs/>
                <w:color w:val="000000" w:themeColor="text1"/>
                <w:sz w:val="16"/>
                <w:szCs w:val="16"/>
              </w:rPr>
              <w:t>should</w:t>
            </w:r>
            <w:r w:rsidRPr="004035B4">
              <w:rPr>
                <w:rFonts w:ascii="STIX Two Text" w:hAnsi="STIX Two Text"/>
                <w:color w:val="000000" w:themeColor="text1"/>
                <w:sz w:val="16"/>
                <w:szCs w:val="16"/>
              </w:rPr>
              <w:t xml:space="preserve"> be avoided, since it decreases DNA quality through crosslinking. Procedures </w:t>
            </w:r>
            <w:r w:rsidRPr="004035B4">
              <w:rPr>
                <w:rFonts w:ascii="STIX Two Text" w:hAnsi="STIX Two Text"/>
                <w:b/>
                <w:bCs/>
                <w:color w:val="000000" w:themeColor="text1"/>
                <w:sz w:val="16"/>
                <w:szCs w:val="16"/>
              </w:rPr>
              <w:t>should</w:t>
            </w:r>
            <w:r w:rsidRPr="004035B4">
              <w:rPr>
                <w:rFonts w:ascii="STIX Two Text" w:hAnsi="STIX Two Text"/>
                <w:color w:val="000000" w:themeColor="text1"/>
                <w:sz w:val="16"/>
                <w:szCs w:val="16"/>
              </w:rPr>
              <w:t xml:space="preserve"> be integrated to both avoid and detect contamination, including contaminant-degrading reaction protocols and designation of pre-PCR and post-PCR areas within laboratories (79).” [Christians, 2012]</w:t>
            </w:r>
          </w:p>
          <w:p w14:paraId="3CBD3C82" w14:textId="77777777" w:rsidR="004035B4" w:rsidRPr="004035B4" w:rsidRDefault="004035B4" w:rsidP="000908CC">
            <w:pPr>
              <w:rPr>
                <w:rFonts w:ascii="STIX Two Text" w:hAnsi="STIX Two Text"/>
                <w:sz w:val="16"/>
                <w:szCs w:val="16"/>
              </w:rPr>
            </w:pPr>
            <w:r w:rsidRPr="004035B4">
              <w:rPr>
                <w:rFonts w:ascii="STIX Two Text" w:hAnsi="STIX Two Text"/>
                <w:color w:val="000000" w:themeColor="text1"/>
                <w:sz w:val="16"/>
                <w:szCs w:val="16"/>
              </w:rPr>
              <w:t>This type of claim could have been supported by reasoning, by explaining the procedures mentioned would help avoid contamination, instead of citing literature.</w:t>
            </w:r>
          </w:p>
        </w:tc>
      </w:tr>
      <w:tr w:rsidR="004035B4" w:rsidRPr="004035B4" w14:paraId="2640924B" w14:textId="77777777" w:rsidTr="004A0440">
        <w:tc>
          <w:tcPr>
            <w:tcW w:w="708" w:type="pct"/>
            <w:vMerge w:val="restart"/>
            <w:tcBorders>
              <w:right w:val="single" w:sz="4" w:space="0" w:color="auto"/>
            </w:tcBorders>
          </w:tcPr>
          <w:p w14:paraId="6905009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Conveying uncertainty in hedged sentences and by using interpretative words</w:t>
            </w:r>
          </w:p>
          <w:p w14:paraId="7FF54825" w14:textId="77777777" w:rsidR="004035B4" w:rsidRPr="004035B4" w:rsidRDefault="004035B4" w:rsidP="000908CC">
            <w:pPr>
              <w:rPr>
                <w:rFonts w:ascii="STIX Two Text" w:hAnsi="STIX Two Text"/>
                <w:sz w:val="16"/>
                <w:szCs w:val="16"/>
              </w:rPr>
            </w:pPr>
          </w:p>
        </w:tc>
        <w:tc>
          <w:tcPr>
            <w:tcW w:w="1425" w:type="pct"/>
            <w:vMerge w:val="restart"/>
            <w:tcBorders>
              <w:left w:val="single" w:sz="4" w:space="0" w:color="auto"/>
            </w:tcBorders>
          </w:tcPr>
          <w:p w14:paraId="7FDDADB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can be tentative.</w:t>
            </w:r>
          </w:p>
          <w:p w14:paraId="765E7CD4"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can be tentative.</w:t>
            </w:r>
          </w:p>
          <w:p w14:paraId="21E7BD24"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Research results might be unimpressive and still valuable.</w:t>
            </w:r>
          </w:p>
          <w:p w14:paraId="524FC5C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59622F04"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Scientists might infer different conclusions in cases of empirical equivalence, when other values might be decisive (e.g., simplicity, explanatory power).</w:t>
            </w:r>
          </w:p>
          <w:p w14:paraId="26B2853F"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There is a clear distinction between observation and inference.</w:t>
            </w:r>
          </w:p>
        </w:tc>
        <w:tc>
          <w:tcPr>
            <w:tcW w:w="2867" w:type="pct"/>
            <w:tcBorders>
              <w:left w:val="nil"/>
            </w:tcBorders>
          </w:tcPr>
          <w:p w14:paraId="29AE7EBB" w14:textId="77777777" w:rsidR="004035B4" w:rsidRPr="004035B4" w:rsidRDefault="004035B4" w:rsidP="000908CC">
            <w:pPr>
              <w:rPr>
                <w:rFonts w:ascii="STIX Two Text" w:hAnsi="STIX Two Text"/>
                <w:sz w:val="16"/>
                <w:szCs w:val="16"/>
                <w:lang w:val="en-GB"/>
              </w:rPr>
            </w:pPr>
            <w:r w:rsidRPr="004035B4">
              <w:rPr>
                <w:rFonts w:ascii="STIX Two Text" w:hAnsi="STIX Two Text"/>
                <w:sz w:val="16"/>
                <w:szCs w:val="16"/>
                <w:lang w:val="en-GB"/>
              </w:rPr>
              <w:t xml:space="preserve">Luca (Analysis): “ACL lesions </w:t>
            </w:r>
            <w:r w:rsidRPr="004035B4">
              <w:rPr>
                <w:rFonts w:ascii="STIX Two Text" w:hAnsi="STIX Two Text"/>
                <w:sz w:val="16"/>
                <w:szCs w:val="16"/>
                <w:u w:val="single"/>
                <w:lang w:val="en-GB"/>
              </w:rPr>
              <w:t>seem</w:t>
            </w:r>
            <w:r w:rsidRPr="004035B4">
              <w:rPr>
                <w:rFonts w:ascii="STIX Two Text" w:hAnsi="STIX Two Text"/>
                <w:sz w:val="16"/>
                <w:szCs w:val="16"/>
                <w:lang w:val="en-GB"/>
              </w:rPr>
              <w:t xml:space="preserve"> to have a similar effect after KJD.”</w:t>
            </w:r>
          </w:p>
        </w:tc>
      </w:tr>
      <w:tr w:rsidR="004035B4" w:rsidRPr="004035B4" w14:paraId="4E339368" w14:textId="77777777" w:rsidTr="004A0440">
        <w:tc>
          <w:tcPr>
            <w:tcW w:w="708" w:type="pct"/>
            <w:vMerge/>
            <w:tcBorders>
              <w:right w:val="single" w:sz="4" w:space="0" w:color="auto"/>
            </w:tcBorders>
          </w:tcPr>
          <w:p w14:paraId="1639103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63057C4" w14:textId="77777777" w:rsidR="004035B4" w:rsidRPr="004035B4" w:rsidRDefault="004035B4" w:rsidP="000908CC">
            <w:pPr>
              <w:rPr>
                <w:rFonts w:ascii="STIX Two Text" w:hAnsi="STIX Two Text"/>
                <w:sz w:val="16"/>
                <w:szCs w:val="16"/>
              </w:rPr>
            </w:pPr>
          </w:p>
        </w:tc>
        <w:tc>
          <w:tcPr>
            <w:tcW w:w="2867" w:type="pct"/>
            <w:tcBorders>
              <w:left w:val="nil"/>
            </w:tcBorders>
          </w:tcPr>
          <w:p w14:paraId="27A3B3C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w:t>
            </w:r>
            <w:r w:rsidRPr="004035B4">
              <w:rPr>
                <w:rFonts w:ascii="STIX Two Text" w:hAnsi="STIX Two Text"/>
                <w:sz w:val="16"/>
                <w:szCs w:val="16"/>
                <w:u w:val="single"/>
              </w:rPr>
              <w:t>it is thought</w:t>
            </w:r>
            <w:r w:rsidRPr="004035B4">
              <w:rPr>
                <w:rFonts w:ascii="STIX Two Text" w:hAnsi="STIX Two Text"/>
                <w:sz w:val="16"/>
                <w:szCs w:val="16"/>
              </w:rPr>
              <w:t xml:space="preserve"> that an increased joint space is clinically </w:t>
            </w:r>
            <w:r w:rsidRPr="004035B4">
              <w:rPr>
                <w:rFonts w:ascii="STIX Two Text" w:hAnsi="STIX Two Text"/>
                <w:sz w:val="16"/>
                <w:szCs w:val="16"/>
                <w:u w:val="single"/>
              </w:rPr>
              <w:t>more favourable</w:t>
            </w:r>
            <w:r w:rsidRPr="004035B4">
              <w:rPr>
                <w:rFonts w:ascii="STIX Two Text" w:hAnsi="STIX Two Text"/>
                <w:sz w:val="16"/>
                <w:szCs w:val="16"/>
              </w:rPr>
              <w:t xml:space="preserve"> for the patient that [sic] reduced bone density.”</w:t>
            </w:r>
          </w:p>
        </w:tc>
      </w:tr>
      <w:tr w:rsidR="004035B4" w:rsidRPr="004035B4" w14:paraId="660EB283" w14:textId="77777777" w:rsidTr="004A0440">
        <w:tc>
          <w:tcPr>
            <w:tcW w:w="708" w:type="pct"/>
            <w:vMerge/>
            <w:tcBorders>
              <w:right w:val="single" w:sz="4" w:space="0" w:color="auto"/>
            </w:tcBorders>
          </w:tcPr>
          <w:p w14:paraId="2BAAE1A3"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59EF06C" w14:textId="77777777" w:rsidR="004035B4" w:rsidRPr="004035B4" w:rsidRDefault="004035B4" w:rsidP="000908CC">
            <w:pPr>
              <w:rPr>
                <w:rFonts w:ascii="STIX Two Text" w:hAnsi="STIX Two Text"/>
                <w:sz w:val="16"/>
                <w:szCs w:val="16"/>
              </w:rPr>
            </w:pPr>
          </w:p>
        </w:tc>
        <w:tc>
          <w:tcPr>
            <w:tcW w:w="2867" w:type="pct"/>
            <w:tcBorders>
              <w:left w:val="nil"/>
            </w:tcBorders>
          </w:tcPr>
          <w:p w14:paraId="4D7A40A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(Conclusion and discussion): “</w:t>
            </w:r>
            <w:r w:rsidRPr="004035B4">
              <w:rPr>
                <w:rFonts w:ascii="STIX Two Text" w:hAnsi="STIX Two Text"/>
                <w:sz w:val="16"/>
                <w:szCs w:val="16"/>
                <w:u w:val="single"/>
              </w:rPr>
              <w:t>Suggesting</w:t>
            </w:r>
            <w:r w:rsidRPr="004035B4">
              <w:rPr>
                <w:rFonts w:ascii="STIX Two Text" w:hAnsi="STIX Two Text"/>
                <w:sz w:val="16"/>
                <w:szCs w:val="16"/>
              </w:rPr>
              <w:t xml:space="preserve"> that these tests </w:t>
            </w:r>
            <w:r w:rsidRPr="004035B4">
              <w:rPr>
                <w:rFonts w:ascii="STIX Two Text" w:hAnsi="STIX Two Text"/>
                <w:sz w:val="16"/>
                <w:szCs w:val="16"/>
                <w:u w:val="single"/>
              </w:rPr>
              <w:t>can be considered</w:t>
            </w:r>
            <w:r w:rsidRPr="004035B4">
              <w:rPr>
                <w:rFonts w:ascii="STIX Two Text" w:hAnsi="STIX Two Text"/>
                <w:sz w:val="16"/>
                <w:szCs w:val="16"/>
              </w:rPr>
              <w:t xml:space="preserve"> most suitable for clinical evaluation of MGMT promoter methylation status.”</w:t>
            </w:r>
          </w:p>
        </w:tc>
      </w:tr>
      <w:tr w:rsidR="004035B4" w:rsidRPr="004035B4" w14:paraId="07AF2526" w14:textId="77777777" w:rsidTr="004A0440">
        <w:tc>
          <w:tcPr>
            <w:tcW w:w="708" w:type="pct"/>
            <w:vMerge/>
            <w:tcBorders>
              <w:right w:val="single" w:sz="4" w:space="0" w:color="auto"/>
            </w:tcBorders>
          </w:tcPr>
          <w:p w14:paraId="5CE32AB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11EBD574" w14:textId="77777777" w:rsidR="004035B4" w:rsidRPr="004035B4" w:rsidRDefault="004035B4" w:rsidP="000908CC">
            <w:pPr>
              <w:rPr>
                <w:rFonts w:ascii="STIX Two Text" w:hAnsi="STIX Two Text"/>
                <w:sz w:val="16"/>
                <w:szCs w:val="16"/>
              </w:rPr>
            </w:pPr>
          </w:p>
        </w:tc>
        <w:tc>
          <w:tcPr>
            <w:tcW w:w="2867" w:type="pct"/>
            <w:tcBorders>
              <w:left w:val="nil"/>
            </w:tcBorders>
          </w:tcPr>
          <w:p w14:paraId="1F68847B"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(Conclusion and discussion): “Other molecular and genetic mechanisms … </w:t>
            </w:r>
            <w:r w:rsidRPr="004035B4">
              <w:rPr>
                <w:rFonts w:ascii="STIX Two Text" w:hAnsi="STIX Two Text"/>
                <w:sz w:val="16"/>
                <w:szCs w:val="16"/>
                <w:u w:val="single"/>
              </w:rPr>
              <w:t>might</w:t>
            </w:r>
            <w:r w:rsidRPr="004035B4">
              <w:rPr>
                <w:rFonts w:ascii="STIX Two Text" w:hAnsi="STIX Two Text"/>
                <w:sz w:val="16"/>
                <w:szCs w:val="16"/>
              </w:rPr>
              <w:t xml:space="preserve"> explain this observation”</w:t>
            </w:r>
          </w:p>
        </w:tc>
      </w:tr>
      <w:tr w:rsidR="004035B4" w:rsidRPr="004035B4" w14:paraId="377826F8" w14:textId="77777777" w:rsidTr="004A0440">
        <w:tc>
          <w:tcPr>
            <w:tcW w:w="708" w:type="pct"/>
            <w:vMerge/>
            <w:tcBorders>
              <w:right w:val="single" w:sz="4" w:space="0" w:color="auto"/>
            </w:tcBorders>
          </w:tcPr>
          <w:p w14:paraId="6530DAB3"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1E42F233" w14:textId="77777777" w:rsidR="004035B4" w:rsidRPr="004035B4" w:rsidRDefault="004035B4" w:rsidP="000908CC">
            <w:pPr>
              <w:rPr>
                <w:rFonts w:ascii="STIX Two Text" w:hAnsi="STIX Two Text"/>
                <w:sz w:val="16"/>
                <w:szCs w:val="16"/>
              </w:rPr>
            </w:pPr>
          </w:p>
        </w:tc>
        <w:tc>
          <w:tcPr>
            <w:tcW w:w="2867" w:type="pct"/>
            <w:tcBorders>
              <w:left w:val="nil"/>
            </w:tcBorders>
          </w:tcPr>
          <w:p w14:paraId="09525AF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Sam (Results): “SMG1i </w:t>
            </w:r>
            <w:r w:rsidRPr="004035B4">
              <w:rPr>
                <w:rFonts w:ascii="STIX Two Text" w:hAnsi="STIX Two Text"/>
                <w:sz w:val="16"/>
                <w:szCs w:val="16"/>
                <w:u w:val="single"/>
              </w:rPr>
              <w:t>could thus be an interesting</w:t>
            </w:r>
            <w:r w:rsidRPr="004035B4">
              <w:rPr>
                <w:rFonts w:ascii="STIX Two Text" w:hAnsi="STIX Two Text"/>
                <w:sz w:val="16"/>
                <w:szCs w:val="16"/>
              </w:rPr>
              <w:t xml:space="preserve"> drug for further investigation.”</w:t>
            </w:r>
          </w:p>
        </w:tc>
      </w:tr>
      <w:tr w:rsidR="004035B4" w:rsidRPr="004035B4" w14:paraId="31AED3C7" w14:textId="77777777" w:rsidTr="004A0440">
        <w:tc>
          <w:tcPr>
            <w:tcW w:w="708" w:type="pct"/>
            <w:vMerge/>
            <w:tcBorders>
              <w:right w:val="single" w:sz="4" w:space="0" w:color="auto"/>
            </w:tcBorders>
          </w:tcPr>
          <w:p w14:paraId="177BDA41"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570A125" w14:textId="77777777" w:rsidR="004035B4" w:rsidRPr="004035B4" w:rsidRDefault="004035B4" w:rsidP="000908CC">
            <w:pPr>
              <w:rPr>
                <w:rFonts w:ascii="STIX Two Text" w:hAnsi="STIX Two Text"/>
                <w:sz w:val="16"/>
                <w:szCs w:val="16"/>
              </w:rPr>
            </w:pPr>
          </w:p>
        </w:tc>
        <w:tc>
          <w:tcPr>
            <w:tcW w:w="2867" w:type="pct"/>
            <w:tcBorders>
              <w:left w:val="nil"/>
            </w:tcBorders>
          </w:tcPr>
          <w:p w14:paraId="4CE2BE6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(Literature review): “</w:t>
            </w:r>
            <w:r w:rsidRPr="004035B4">
              <w:rPr>
                <w:rFonts w:ascii="STIX Two Text" w:hAnsi="STIX Two Text"/>
                <w:sz w:val="16"/>
                <w:szCs w:val="16"/>
                <w:u w:val="single"/>
              </w:rPr>
              <w:t>Though the exact mechanism is largely unknown</w:t>
            </w:r>
            <w:r w:rsidRPr="004035B4">
              <w:rPr>
                <w:rFonts w:ascii="STIX Two Text" w:hAnsi="STIX Two Text"/>
                <w:sz w:val="16"/>
                <w:szCs w:val="16"/>
              </w:rPr>
              <w:t xml:space="preserve">, subchondral bone and synovial fluid MSCs </w:t>
            </w:r>
            <w:r w:rsidRPr="004035B4">
              <w:rPr>
                <w:rFonts w:ascii="STIX Two Text" w:hAnsi="STIX Two Text"/>
                <w:sz w:val="16"/>
                <w:szCs w:val="16"/>
                <w:u w:val="single"/>
              </w:rPr>
              <w:t>have been suggested</w:t>
            </w:r>
            <w:r w:rsidRPr="004035B4">
              <w:rPr>
                <w:rFonts w:ascii="STIX Two Text" w:hAnsi="STIX Two Text"/>
                <w:sz w:val="16"/>
                <w:szCs w:val="16"/>
              </w:rPr>
              <w:t xml:space="preserve"> as </w:t>
            </w:r>
            <w:r w:rsidRPr="004035B4">
              <w:rPr>
                <w:rFonts w:ascii="STIX Two Text" w:hAnsi="STIX Two Text"/>
                <w:sz w:val="16"/>
                <w:szCs w:val="16"/>
                <w:u w:val="single"/>
              </w:rPr>
              <w:t>potential</w:t>
            </w:r>
            <w:r w:rsidRPr="004035B4">
              <w:rPr>
                <w:rFonts w:ascii="STIX Two Text" w:hAnsi="STIX Two Text"/>
                <w:sz w:val="16"/>
                <w:szCs w:val="16"/>
              </w:rPr>
              <w:t xml:space="preserve"> contributors to the structural improvement.”</w:t>
            </w:r>
          </w:p>
        </w:tc>
      </w:tr>
      <w:tr w:rsidR="004035B4" w:rsidRPr="004035B4" w14:paraId="472D217A" w14:textId="77777777" w:rsidTr="004A0440">
        <w:tc>
          <w:tcPr>
            <w:tcW w:w="708" w:type="pct"/>
            <w:vMerge/>
            <w:tcBorders>
              <w:right w:val="single" w:sz="4" w:space="0" w:color="auto"/>
            </w:tcBorders>
          </w:tcPr>
          <w:p w14:paraId="1AFF3DC8"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CF1D5E1" w14:textId="77777777" w:rsidR="004035B4" w:rsidRPr="004035B4" w:rsidRDefault="004035B4" w:rsidP="000908CC">
            <w:pPr>
              <w:rPr>
                <w:rFonts w:ascii="STIX Two Text" w:hAnsi="STIX Two Text"/>
                <w:sz w:val="16"/>
                <w:szCs w:val="16"/>
              </w:rPr>
            </w:pPr>
          </w:p>
        </w:tc>
        <w:tc>
          <w:tcPr>
            <w:tcW w:w="2867" w:type="pct"/>
            <w:tcBorders>
              <w:left w:val="nil"/>
            </w:tcBorders>
          </w:tcPr>
          <w:p w14:paraId="74A709B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(Conclusion and discussion): “This finding supports the </w:t>
            </w:r>
            <w:r w:rsidRPr="004035B4">
              <w:rPr>
                <w:rFonts w:ascii="STIX Two Text" w:hAnsi="STIX Two Text"/>
                <w:sz w:val="16"/>
                <w:szCs w:val="16"/>
                <w:u w:val="single"/>
              </w:rPr>
              <w:t>suggestion</w:t>
            </w:r>
            <w:r w:rsidRPr="004035B4">
              <w:rPr>
                <w:rFonts w:ascii="STIX Two Text" w:hAnsi="STIX Two Text"/>
                <w:sz w:val="16"/>
                <w:szCs w:val="16"/>
              </w:rPr>
              <w:t xml:space="preserve"> of Qian and Brent that [assay 2] probe 3 and 5 target areas within relevant methylation hotspots (92).” </w:t>
            </w:r>
            <w:sdt>
              <w:sdtPr>
                <w:rPr>
                  <w:rFonts w:ascii="STIX Two Text" w:hAnsi="STIX Two Text"/>
                  <w:color w:val="000000"/>
                  <w:sz w:val="16"/>
                  <w:szCs w:val="16"/>
                </w:rPr>
                <w:tag w:val="MENDELEY_CITATION_v3_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"/>
                <w:id w:val="-1578668735"/>
                <w:placeholder>
                  <w:docPart w:val="61EBD1EFA72FA847B31C6E81233BEEF2"/>
                </w:placeholder>
              </w:sdtPr>
              <w:sdtEndPr/>
              <w:sdtContent>
                <w:r w:rsidRPr="004035B4">
                  <w:rPr>
                    <w:rFonts w:ascii="STIX Two Text" w:eastAsia="Times New Roman" w:hAnsi="STIX Two Text"/>
                    <w:color w:val="000000"/>
                    <w:sz w:val="16"/>
                    <w:szCs w:val="16"/>
                  </w:rPr>
                  <w:t>(Qian &amp; Brent, 1997)</w:t>
                </w:r>
              </w:sdtContent>
            </w:sdt>
          </w:p>
        </w:tc>
      </w:tr>
      <w:tr w:rsidR="004035B4" w:rsidRPr="004035B4" w14:paraId="51624A50" w14:textId="77777777" w:rsidTr="004A0440">
        <w:tc>
          <w:tcPr>
            <w:tcW w:w="708" w:type="pct"/>
            <w:vMerge/>
            <w:tcBorders>
              <w:right w:val="single" w:sz="4" w:space="0" w:color="auto"/>
            </w:tcBorders>
          </w:tcPr>
          <w:p w14:paraId="296A175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60F4704" w14:textId="77777777" w:rsidR="004035B4" w:rsidRPr="004035B4" w:rsidRDefault="004035B4" w:rsidP="000908CC">
            <w:pPr>
              <w:rPr>
                <w:rFonts w:ascii="STIX Two Text" w:hAnsi="STIX Two Text"/>
                <w:sz w:val="16"/>
                <w:szCs w:val="16"/>
              </w:rPr>
            </w:pPr>
          </w:p>
        </w:tc>
        <w:tc>
          <w:tcPr>
            <w:tcW w:w="2867" w:type="pct"/>
            <w:tcBorders>
              <w:left w:val="nil"/>
            </w:tcBorders>
          </w:tcPr>
          <w:p w14:paraId="7324446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Sam (Results): “It also </w:t>
            </w:r>
            <w:r w:rsidRPr="004035B4">
              <w:rPr>
                <w:rFonts w:ascii="STIX Two Text" w:hAnsi="STIX Two Text"/>
                <w:sz w:val="16"/>
                <w:szCs w:val="16"/>
                <w:u w:val="single"/>
              </w:rPr>
              <w:t>indicates</w:t>
            </w:r>
            <w:r w:rsidRPr="004035B4">
              <w:rPr>
                <w:rFonts w:ascii="STIX Two Text" w:hAnsi="STIX Two Text"/>
                <w:sz w:val="16"/>
                <w:szCs w:val="16"/>
              </w:rPr>
              <w:t xml:space="preserve"> that NMD inhibition results in </w:t>
            </w:r>
            <w:r w:rsidRPr="004035B4">
              <w:rPr>
                <w:rFonts w:ascii="STIX Two Text" w:hAnsi="STIX Two Text"/>
                <w:b/>
                <w:bCs/>
                <w:sz w:val="16"/>
                <w:szCs w:val="16"/>
              </w:rPr>
              <w:t xml:space="preserve">significant </w:t>
            </w:r>
            <w:r w:rsidRPr="004035B4">
              <w:rPr>
                <w:rFonts w:ascii="STIX Two Text" w:hAnsi="STIX Two Text"/>
                <w:sz w:val="16"/>
                <w:szCs w:val="16"/>
              </w:rPr>
              <w:t>[sic]</w:t>
            </w:r>
            <w:r w:rsidRPr="004035B4">
              <w:rPr>
                <w:rFonts w:ascii="STIX Two Text" w:hAnsi="STIX Two Text"/>
                <w:b/>
                <w:bCs/>
                <w:sz w:val="16"/>
                <w:szCs w:val="16"/>
              </w:rPr>
              <w:t xml:space="preserve"> more</w:t>
            </w:r>
            <w:r w:rsidRPr="004035B4">
              <w:rPr>
                <w:rFonts w:ascii="STIX Two Text" w:hAnsi="STIX Two Text"/>
                <w:sz w:val="16"/>
                <w:szCs w:val="16"/>
              </w:rPr>
              <w:t xml:space="preserve"> readthrough.”</w:t>
            </w:r>
          </w:p>
        </w:tc>
      </w:tr>
      <w:tr w:rsidR="004035B4" w:rsidRPr="004035B4" w14:paraId="266422C5" w14:textId="77777777" w:rsidTr="004A0440">
        <w:tc>
          <w:tcPr>
            <w:tcW w:w="708" w:type="pct"/>
            <w:vMerge/>
            <w:tcBorders>
              <w:right w:val="single" w:sz="4" w:space="0" w:color="auto"/>
            </w:tcBorders>
          </w:tcPr>
          <w:p w14:paraId="42C9BFCC"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0CFBBB1" w14:textId="77777777" w:rsidR="004035B4" w:rsidRPr="004035B4" w:rsidRDefault="004035B4" w:rsidP="000908CC">
            <w:pPr>
              <w:rPr>
                <w:rFonts w:ascii="STIX Two Text" w:hAnsi="STIX Two Text"/>
                <w:sz w:val="16"/>
                <w:szCs w:val="16"/>
              </w:rPr>
            </w:pPr>
          </w:p>
        </w:tc>
        <w:tc>
          <w:tcPr>
            <w:tcW w:w="2867" w:type="pct"/>
            <w:tcBorders>
              <w:left w:val="nil"/>
            </w:tcBorders>
          </w:tcPr>
          <w:p w14:paraId="4C60532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(Discussion): “</w:t>
            </w:r>
            <w:r w:rsidRPr="004035B4">
              <w:rPr>
                <w:rFonts w:ascii="STIX Two Text" w:hAnsi="STIX Two Text"/>
                <w:b/>
                <w:bCs/>
                <w:sz w:val="16"/>
                <w:szCs w:val="16"/>
              </w:rPr>
              <w:t>Ultimately</w:t>
            </w:r>
            <w:r w:rsidRPr="004035B4">
              <w:rPr>
                <w:rFonts w:ascii="STIX Two Text" w:hAnsi="STIX Two Text"/>
                <w:sz w:val="16"/>
                <w:szCs w:val="16"/>
              </w:rPr>
              <w:t xml:space="preserve">, protein restoration in patient-derived cells is </w:t>
            </w:r>
            <w:r w:rsidRPr="004035B4">
              <w:rPr>
                <w:rFonts w:ascii="STIX Two Text" w:hAnsi="STIX Two Text"/>
                <w:b/>
                <w:bCs/>
                <w:sz w:val="16"/>
                <w:szCs w:val="16"/>
              </w:rPr>
              <w:t>most</w:t>
            </w:r>
            <w:r w:rsidRPr="004035B4">
              <w:rPr>
                <w:rFonts w:ascii="STIX Two Text" w:hAnsi="STIX Two Text"/>
                <w:sz w:val="16"/>
                <w:szCs w:val="16"/>
              </w:rPr>
              <w:t xml:space="preserve"> </w:t>
            </w:r>
            <w:r w:rsidRPr="004035B4">
              <w:rPr>
                <w:rFonts w:ascii="STIX Two Text" w:hAnsi="STIX Two Text"/>
                <w:sz w:val="16"/>
                <w:szCs w:val="16"/>
                <w:u w:val="single"/>
              </w:rPr>
              <w:t>likely</w:t>
            </w:r>
            <w:r w:rsidRPr="004035B4">
              <w:rPr>
                <w:rFonts w:ascii="STIX Two Text" w:hAnsi="STIX Two Text"/>
                <w:sz w:val="16"/>
                <w:szCs w:val="16"/>
              </w:rPr>
              <w:t xml:space="preserve"> to </w:t>
            </w:r>
            <w:r w:rsidRPr="004035B4">
              <w:rPr>
                <w:rFonts w:ascii="STIX Two Text" w:hAnsi="STIX Two Text"/>
                <w:b/>
                <w:bCs/>
                <w:sz w:val="16"/>
                <w:szCs w:val="16"/>
              </w:rPr>
              <w:t>show</w:t>
            </w:r>
            <w:r w:rsidRPr="004035B4">
              <w:rPr>
                <w:rFonts w:ascii="STIX Two Text" w:hAnsi="STIX Two Text"/>
                <w:sz w:val="16"/>
                <w:szCs w:val="16"/>
              </w:rPr>
              <w:t xml:space="preserve"> the </w:t>
            </w:r>
            <w:r w:rsidRPr="004035B4">
              <w:rPr>
                <w:rFonts w:ascii="STIX Two Text" w:hAnsi="STIX Two Text"/>
                <w:b/>
                <w:bCs/>
                <w:sz w:val="16"/>
                <w:szCs w:val="16"/>
              </w:rPr>
              <w:t>best</w:t>
            </w:r>
            <w:r w:rsidRPr="004035B4">
              <w:rPr>
                <w:rFonts w:ascii="STIX Two Text" w:hAnsi="STIX Two Text"/>
                <w:sz w:val="16"/>
                <w:szCs w:val="16"/>
              </w:rPr>
              <w:t xml:space="preserve"> in vivo prove [sic] of concept.”</w:t>
            </w:r>
          </w:p>
        </w:tc>
      </w:tr>
      <w:tr w:rsidR="004035B4" w:rsidRPr="004035B4" w14:paraId="3C7F6EA6" w14:textId="77777777" w:rsidTr="004A0440">
        <w:tc>
          <w:tcPr>
            <w:tcW w:w="708" w:type="pct"/>
            <w:vMerge w:val="restart"/>
            <w:tcBorders>
              <w:right w:val="single" w:sz="4" w:space="0" w:color="auto"/>
            </w:tcBorders>
          </w:tcPr>
          <w:p w14:paraId="6A969A3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Conveying certainty without modals, in fact-like sentences</w:t>
            </w:r>
          </w:p>
        </w:tc>
        <w:tc>
          <w:tcPr>
            <w:tcW w:w="1425" w:type="pct"/>
            <w:vMerge w:val="restart"/>
            <w:tcBorders>
              <w:left w:val="single" w:sz="4" w:space="0" w:color="auto"/>
            </w:tcBorders>
          </w:tcPr>
          <w:p w14:paraId="2EA7D24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should be conclusive.</w:t>
            </w:r>
          </w:p>
          <w:p w14:paraId="7739D503"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are or should be conclusive.</w:t>
            </w:r>
          </w:p>
          <w:p w14:paraId="00ADC64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speak for themselves.</w:t>
            </w:r>
          </w:p>
          <w:p w14:paraId="259C8B1B"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can be treated as facts and do not warrant justification or qualification.</w:t>
            </w:r>
          </w:p>
        </w:tc>
        <w:tc>
          <w:tcPr>
            <w:tcW w:w="2867" w:type="pct"/>
            <w:tcBorders>
              <w:left w:val="nil"/>
            </w:tcBorders>
          </w:tcPr>
          <w:p w14:paraId="0191413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w:t>
            </w:r>
            <w:r w:rsidRPr="004035B4">
              <w:rPr>
                <w:rFonts w:ascii="STIX Two Text" w:hAnsi="STIX Two Text"/>
                <w:sz w:val="16"/>
                <w:szCs w:val="16"/>
                <w:lang w:val="en-GB"/>
              </w:rPr>
              <w:t xml:space="preserve"> (Analysis)</w:t>
            </w:r>
            <w:r w:rsidRPr="004035B4">
              <w:rPr>
                <w:rFonts w:ascii="STIX Two Text" w:hAnsi="STIX Two Text"/>
                <w:sz w:val="16"/>
                <w:szCs w:val="16"/>
              </w:rPr>
              <w:t>: “The mean and middle mean of the lateral femur are determined by the same variables.”</w:t>
            </w:r>
          </w:p>
        </w:tc>
      </w:tr>
      <w:tr w:rsidR="004035B4" w:rsidRPr="004035B4" w14:paraId="796C0D4B" w14:textId="77777777" w:rsidTr="004A0440">
        <w:tc>
          <w:tcPr>
            <w:tcW w:w="708" w:type="pct"/>
            <w:vMerge/>
            <w:tcBorders>
              <w:right w:val="single" w:sz="4" w:space="0" w:color="auto"/>
            </w:tcBorders>
          </w:tcPr>
          <w:p w14:paraId="7FC4B712"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8B03CA7" w14:textId="77777777" w:rsidR="004035B4" w:rsidRPr="004035B4" w:rsidRDefault="004035B4" w:rsidP="000908CC">
            <w:pPr>
              <w:rPr>
                <w:rFonts w:ascii="STIX Two Text" w:hAnsi="STIX Two Text"/>
                <w:sz w:val="16"/>
                <w:szCs w:val="16"/>
              </w:rPr>
            </w:pPr>
          </w:p>
        </w:tc>
        <w:tc>
          <w:tcPr>
            <w:tcW w:w="2867" w:type="pct"/>
            <w:tcBorders>
              <w:left w:val="nil"/>
            </w:tcBorders>
          </w:tcPr>
          <w:p w14:paraId="5C13A9F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“Interpatient heterogeneity hampers development of successful therapy for all glioblastoma patients and complicates obtaining consistent results in clinical trials.”</w:t>
            </w:r>
          </w:p>
        </w:tc>
      </w:tr>
      <w:tr w:rsidR="004035B4" w:rsidRPr="004035B4" w14:paraId="214FA86E" w14:textId="77777777" w:rsidTr="004A0440">
        <w:tc>
          <w:tcPr>
            <w:tcW w:w="708" w:type="pct"/>
            <w:vMerge/>
            <w:tcBorders>
              <w:right w:val="single" w:sz="4" w:space="0" w:color="auto"/>
            </w:tcBorders>
          </w:tcPr>
          <w:p w14:paraId="4146E8A9"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8588352" w14:textId="77777777" w:rsidR="004035B4" w:rsidRPr="004035B4" w:rsidRDefault="004035B4" w:rsidP="000908CC">
            <w:pPr>
              <w:rPr>
                <w:rFonts w:ascii="STIX Two Text" w:hAnsi="STIX Two Text"/>
                <w:sz w:val="16"/>
                <w:szCs w:val="16"/>
              </w:rPr>
            </w:pPr>
          </w:p>
        </w:tc>
        <w:tc>
          <w:tcPr>
            <w:tcW w:w="2867" w:type="pct"/>
            <w:tcBorders>
              <w:left w:val="nil"/>
            </w:tcBorders>
          </w:tcPr>
          <w:p w14:paraId="56B2B828" w14:textId="77777777" w:rsidR="004035B4" w:rsidRPr="004035B4" w:rsidRDefault="004035B4" w:rsidP="000908CC">
            <w:pPr>
              <w:rPr>
                <w:rFonts w:ascii="STIX Two Text" w:hAnsi="STIX Two Text"/>
                <w:color w:val="000000" w:themeColor="text1"/>
                <w:sz w:val="16"/>
                <w:szCs w:val="16"/>
              </w:rPr>
            </w:pPr>
            <w:r w:rsidRPr="004035B4">
              <w:rPr>
                <w:rFonts w:ascii="STIX Two Text" w:hAnsi="STIX Two Text"/>
                <w:color w:val="000000" w:themeColor="text1"/>
                <w:sz w:val="16"/>
                <w:szCs w:val="16"/>
              </w:rPr>
              <w:t>Sam (Discussion) summarized a section of their literature review to support a claim: “Whilst most experiments used multiple termination codons, about half of them used a PTC in a luciferase gene.” However, in this section, cited sources are often missing or not clearly cited and the traceable sources did not support this claim.</w:t>
            </w:r>
          </w:p>
        </w:tc>
      </w:tr>
      <w:tr w:rsidR="004035B4" w:rsidRPr="004035B4" w14:paraId="1B55520E" w14:textId="77777777" w:rsidTr="004A0440">
        <w:tc>
          <w:tcPr>
            <w:tcW w:w="5000" w:type="pct"/>
            <w:gridSpan w:val="3"/>
          </w:tcPr>
          <w:p w14:paraId="07FD4BE5" w14:textId="77777777" w:rsidR="004035B4" w:rsidRPr="004035B4" w:rsidRDefault="004035B4" w:rsidP="000908CC">
            <w:pPr>
              <w:rPr>
                <w:rFonts w:ascii="STIX Two Text" w:hAnsi="STIX Two Text"/>
                <w:sz w:val="16"/>
                <w:szCs w:val="16"/>
              </w:rPr>
            </w:pPr>
            <w:r w:rsidRPr="004035B4">
              <w:rPr>
                <w:rFonts w:ascii="STIX Two Text" w:hAnsi="STIX Two Text"/>
                <w:b/>
                <w:bCs/>
                <w:sz w:val="16"/>
                <w:szCs w:val="16"/>
              </w:rPr>
              <w:t>Evidence and justifications for claims</w:t>
            </w:r>
          </w:p>
        </w:tc>
      </w:tr>
      <w:tr w:rsidR="004035B4" w:rsidRPr="004035B4" w14:paraId="5988B199" w14:textId="77777777" w:rsidTr="004A0440">
        <w:tc>
          <w:tcPr>
            <w:tcW w:w="708" w:type="pct"/>
            <w:tcBorders>
              <w:right w:val="single" w:sz="4" w:space="0" w:color="auto"/>
            </w:tcBorders>
          </w:tcPr>
          <w:p w14:paraId="3339AFF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Providing insufficient evidence and/or justification to support a claim</w:t>
            </w:r>
          </w:p>
        </w:tc>
        <w:tc>
          <w:tcPr>
            <w:tcW w:w="1425" w:type="pct"/>
            <w:tcBorders>
              <w:left w:val="single" w:sz="4" w:space="0" w:color="auto"/>
            </w:tcBorders>
          </w:tcPr>
          <w:p w14:paraId="4720582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speak for themselves.</w:t>
            </w:r>
          </w:p>
          <w:p w14:paraId="3EE24CDF"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Data provide sufficient evidence to prove a claim.</w:t>
            </w:r>
          </w:p>
          <w:p w14:paraId="0AABE127"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Inferences are a logical outcome of observations.</w:t>
            </w:r>
          </w:p>
        </w:tc>
        <w:tc>
          <w:tcPr>
            <w:tcW w:w="2867" w:type="pct"/>
            <w:tcBorders>
              <w:left w:val="nil"/>
            </w:tcBorders>
          </w:tcPr>
          <w:p w14:paraId="7EE95C5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“It is known that increasing age and depletion of oestrogen leads to osteoporosis.”</w:t>
            </w:r>
          </w:p>
        </w:tc>
      </w:tr>
      <w:tr w:rsidR="004035B4" w:rsidRPr="004035B4" w14:paraId="657EF79F" w14:textId="77777777" w:rsidTr="004A0440">
        <w:tc>
          <w:tcPr>
            <w:tcW w:w="708" w:type="pct"/>
            <w:tcBorders>
              <w:right w:val="single" w:sz="4" w:space="0" w:color="auto"/>
            </w:tcBorders>
          </w:tcPr>
          <w:p w14:paraId="6C1230BE"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Providing sufficient evidence and justifications to support a claim</w:t>
            </w:r>
          </w:p>
        </w:tc>
        <w:tc>
          <w:tcPr>
            <w:tcW w:w="1425" w:type="pct"/>
            <w:tcBorders>
              <w:left w:val="single" w:sz="4" w:space="0" w:color="auto"/>
            </w:tcBorders>
          </w:tcPr>
          <w:p w14:paraId="10E4D40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35A6AC58"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Data can be interpreted multiple ways.</w:t>
            </w:r>
          </w:p>
          <w:p w14:paraId="562E6E5B"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There is a clear difference between observation and inference.</w:t>
            </w:r>
          </w:p>
        </w:tc>
        <w:tc>
          <w:tcPr>
            <w:tcW w:w="2867" w:type="pct"/>
            <w:tcBorders>
              <w:left w:val="nil"/>
            </w:tcBorders>
          </w:tcPr>
          <w:p w14:paraId="4E4C705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(Conclusion and discussion): “For both [overall survival] and [progression free survival] curves [as supported by Kaplan-Meijer curves], [assay 2] probes 3 and 5 demonstrated a lower log rank compared to [assay 2] all probes. This finding supports the suggestion of Qian and Brent that … probe 3 and 5 [used in assay 2] target areas within relevant methylation hotspots (92).” </w:t>
            </w:r>
            <w:sdt>
              <w:sdtPr>
                <w:rPr>
                  <w:rFonts w:ascii="STIX Two Text" w:hAnsi="STIX Two Text"/>
                  <w:color w:val="000000"/>
                  <w:sz w:val="16"/>
                  <w:szCs w:val="16"/>
                </w:rPr>
                <w:tag w:val="MENDELEY_CITATION_v3_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"/>
                <w:id w:val="452295846"/>
                <w:placeholder>
                  <w:docPart w:val="33BC60C9BB764E4690E6844D7CB955C7"/>
                </w:placeholder>
              </w:sdtPr>
              <w:sdtEndPr/>
              <w:sdtContent>
                <w:r w:rsidRPr="004035B4">
                  <w:rPr>
                    <w:rFonts w:ascii="STIX Two Text" w:eastAsia="Times New Roman" w:hAnsi="STIX Two Text"/>
                    <w:color w:val="000000"/>
                    <w:sz w:val="16"/>
                    <w:szCs w:val="16"/>
                  </w:rPr>
                  <w:t>(Qian &amp; Brent, 1997)</w:t>
                </w:r>
              </w:sdtContent>
            </w:sdt>
          </w:p>
        </w:tc>
      </w:tr>
      <w:tr w:rsidR="004035B4" w:rsidRPr="004035B4" w14:paraId="5CDBD6D1" w14:textId="77777777" w:rsidTr="004A0440">
        <w:tc>
          <w:tcPr>
            <w:tcW w:w="708" w:type="pct"/>
            <w:vMerge w:val="restart"/>
            <w:tcBorders>
              <w:right w:val="single" w:sz="4" w:space="0" w:color="auto"/>
            </w:tcBorders>
          </w:tcPr>
          <w:p w14:paraId="52EE812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Empirical justifications</w:t>
            </w:r>
          </w:p>
          <w:p w14:paraId="22DE8333" w14:textId="77777777" w:rsidR="004035B4" w:rsidRPr="004035B4" w:rsidRDefault="004035B4" w:rsidP="000908CC">
            <w:pPr>
              <w:rPr>
                <w:rFonts w:ascii="STIX Two Text" w:hAnsi="STIX Two Text"/>
                <w:sz w:val="16"/>
                <w:szCs w:val="16"/>
              </w:rPr>
            </w:pPr>
          </w:p>
        </w:tc>
        <w:tc>
          <w:tcPr>
            <w:tcW w:w="1425" w:type="pct"/>
            <w:vMerge w:val="restart"/>
            <w:tcBorders>
              <w:left w:val="single" w:sz="4" w:space="0" w:color="auto"/>
            </w:tcBorders>
          </w:tcPr>
          <w:p w14:paraId="4D5C0BE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Scientific knowledge is derived from observations of the natural world.</w:t>
            </w:r>
          </w:p>
          <w:p w14:paraId="5F42591D"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need to be supported by empirical evidence.</w:t>
            </w:r>
          </w:p>
          <w:p w14:paraId="0F619B7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lastRenderedPageBreak/>
              <w:t>Research results and scientific theories can be tentative.</w:t>
            </w:r>
          </w:p>
          <w:p w14:paraId="2E959CE4"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can be tentative, with additional empirical evidence increasing support.</w:t>
            </w:r>
          </w:p>
        </w:tc>
        <w:tc>
          <w:tcPr>
            <w:tcW w:w="2867" w:type="pct"/>
            <w:tcBorders>
              <w:left w:val="nil"/>
            </w:tcBorders>
          </w:tcPr>
          <w:p w14:paraId="3CB091F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lastRenderedPageBreak/>
              <w:t>Robin (Conclusion and discussion): “Together with the fact that both [assays] demonstrated high potential to predict [treatment] response based on [overall survival] and [progression free survival] curves, these [assays] can be considered most suitable for clinical evaluation of … methylation status.”</w:t>
            </w:r>
          </w:p>
        </w:tc>
      </w:tr>
      <w:tr w:rsidR="004035B4" w:rsidRPr="004035B4" w14:paraId="5A1FEFAC" w14:textId="77777777" w:rsidTr="004A0440">
        <w:tc>
          <w:tcPr>
            <w:tcW w:w="708" w:type="pct"/>
            <w:vMerge/>
            <w:tcBorders>
              <w:right w:val="single" w:sz="4" w:space="0" w:color="auto"/>
            </w:tcBorders>
          </w:tcPr>
          <w:p w14:paraId="78CCEAF6"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85ED3CE" w14:textId="77777777" w:rsidR="004035B4" w:rsidRPr="004035B4" w:rsidRDefault="004035B4" w:rsidP="000908CC">
            <w:pPr>
              <w:rPr>
                <w:rFonts w:ascii="STIX Two Text" w:hAnsi="STIX Two Text"/>
                <w:sz w:val="16"/>
                <w:szCs w:val="16"/>
              </w:rPr>
            </w:pPr>
          </w:p>
        </w:tc>
        <w:tc>
          <w:tcPr>
            <w:tcW w:w="2867" w:type="pct"/>
            <w:tcBorders>
              <w:left w:val="nil"/>
            </w:tcBorders>
          </w:tcPr>
          <w:p w14:paraId="18F06A0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(Discussion): “However, as seen in the experimental part, the genetic context plays an important part in PTC readthrough.”</w:t>
            </w:r>
          </w:p>
        </w:tc>
      </w:tr>
      <w:tr w:rsidR="004035B4" w:rsidRPr="004035B4" w14:paraId="75DDA540" w14:textId="77777777" w:rsidTr="004A0440">
        <w:tc>
          <w:tcPr>
            <w:tcW w:w="708" w:type="pct"/>
            <w:vMerge/>
            <w:tcBorders>
              <w:right w:val="single" w:sz="4" w:space="0" w:color="auto"/>
            </w:tcBorders>
          </w:tcPr>
          <w:p w14:paraId="163A799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C587DF6" w14:textId="77777777" w:rsidR="004035B4" w:rsidRPr="004035B4" w:rsidRDefault="004035B4" w:rsidP="000908CC">
            <w:pPr>
              <w:rPr>
                <w:rFonts w:ascii="STIX Two Text" w:hAnsi="STIX Two Text"/>
                <w:sz w:val="16"/>
                <w:szCs w:val="16"/>
              </w:rPr>
            </w:pPr>
          </w:p>
        </w:tc>
        <w:tc>
          <w:tcPr>
            <w:tcW w:w="2867" w:type="pct"/>
            <w:tcBorders>
              <w:left w:val="nil"/>
            </w:tcBorders>
          </w:tcPr>
          <w:p w14:paraId="49E51EDB" w14:textId="77777777" w:rsidR="004035B4" w:rsidRPr="004035B4" w:rsidRDefault="004035B4" w:rsidP="000908CC">
            <w:pPr>
              <w:rPr>
                <w:rFonts w:ascii="STIX Two Text" w:hAnsi="STIX Two Text"/>
                <w:sz w:val="16"/>
                <w:szCs w:val="16"/>
                <w:lang w:val="nl-NL"/>
              </w:rPr>
            </w:pPr>
            <w:r w:rsidRPr="004035B4">
              <w:rPr>
                <w:rFonts w:ascii="STIX Two Text" w:hAnsi="STIX Two Text"/>
                <w:sz w:val="16"/>
                <w:szCs w:val="16"/>
              </w:rPr>
              <w:t xml:space="preserve">Robin (General Discussion): Many studies have demonstrated that [assay 1] has the best predictive value for patient survival when compared to other methylation-specific techniques, including [assay 2, 3, 4, and semi-quantitative assay 4]. </w:t>
            </w:r>
            <w:r w:rsidRPr="004035B4">
              <w:rPr>
                <w:rFonts w:ascii="STIX Two Text" w:hAnsi="STIX Two Text"/>
                <w:sz w:val="16"/>
                <w:szCs w:val="16"/>
                <w:lang w:val="nl-NL"/>
              </w:rPr>
              <w:t>(79,80,83,96).” (</w:t>
            </w:r>
            <w:proofErr w:type="spellStart"/>
            <w:r w:rsidRPr="004035B4">
              <w:rPr>
                <w:rFonts w:ascii="STIX Two Text" w:hAnsi="STIX Two Text"/>
                <w:sz w:val="16"/>
                <w:szCs w:val="16"/>
                <w:lang w:val="nl-NL"/>
              </w:rPr>
              <w:t>Bienkowski</w:t>
            </w:r>
            <w:proofErr w:type="spellEnd"/>
            <w:r w:rsidRPr="004035B4">
              <w:rPr>
                <w:rFonts w:ascii="STIX Two Text" w:hAnsi="STIX Two Text"/>
                <w:sz w:val="16"/>
                <w:szCs w:val="16"/>
                <w:lang w:val="nl-NL"/>
              </w:rPr>
              <w:t xml:space="preserve"> et al., 2015; Christians et al., 2012; </w:t>
            </w:r>
            <w:proofErr w:type="spellStart"/>
            <w:r w:rsidRPr="004035B4">
              <w:rPr>
                <w:rFonts w:ascii="STIX Two Text" w:hAnsi="STIX Two Text"/>
                <w:sz w:val="16"/>
                <w:szCs w:val="16"/>
                <w:lang w:val="nl-NL"/>
              </w:rPr>
              <w:t>Karayan-Tapon</w:t>
            </w:r>
            <w:proofErr w:type="spellEnd"/>
            <w:r w:rsidRPr="004035B4">
              <w:rPr>
                <w:rFonts w:ascii="STIX Two Text" w:hAnsi="STIX Two Text"/>
                <w:sz w:val="16"/>
                <w:szCs w:val="16"/>
                <w:lang w:val="nl-NL"/>
              </w:rPr>
              <w:t xml:space="preserve"> et al., 2010; </w:t>
            </w:r>
            <w:proofErr w:type="spellStart"/>
            <w:r w:rsidRPr="004035B4">
              <w:rPr>
                <w:rFonts w:ascii="STIX Two Text" w:hAnsi="STIX Two Text"/>
                <w:sz w:val="16"/>
                <w:szCs w:val="16"/>
                <w:lang w:val="nl-NL"/>
              </w:rPr>
              <w:t>Mikeska</w:t>
            </w:r>
            <w:proofErr w:type="spellEnd"/>
            <w:r w:rsidRPr="004035B4">
              <w:rPr>
                <w:rFonts w:ascii="STIX Two Text" w:hAnsi="STIX Two Text"/>
                <w:sz w:val="16"/>
                <w:szCs w:val="16"/>
                <w:lang w:val="nl-NL"/>
              </w:rPr>
              <w:t xml:space="preserve"> et al., 2007)</w:t>
            </w:r>
          </w:p>
        </w:tc>
      </w:tr>
      <w:tr w:rsidR="004035B4" w:rsidRPr="004035B4" w14:paraId="3A3D67A5" w14:textId="77777777" w:rsidTr="004A0440">
        <w:tc>
          <w:tcPr>
            <w:tcW w:w="708" w:type="pct"/>
            <w:vMerge/>
            <w:tcBorders>
              <w:right w:val="single" w:sz="4" w:space="0" w:color="auto"/>
            </w:tcBorders>
          </w:tcPr>
          <w:p w14:paraId="53198574" w14:textId="77777777" w:rsidR="004035B4" w:rsidRPr="004035B4" w:rsidRDefault="004035B4" w:rsidP="000908CC">
            <w:pPr>
              <w:rPr>
                <w:rFonts w:ascii="STIX Two Text" w:hAnsi="STIX Two Text"/>
                <w:sz w:val="16"/>
                <w:szCs w:val="16"/>
                <w:lang w:val="nl-NL"/>
              </w:rPr>
            </w:pPr>
          </w:p>
        </w:tc>
        <w:tc>
          <w:tcPr>
            <w:tcW w:w="1425" w:type="pct"/>
            <w:vMerge/>
            <w:tcBorders>
              <w:left w:val="single" w:sz="4" w:space="0" w:color="auto"/>
            </w:tcBorders>
          </w:tcPr>
          <w:p w14:paraId="1521A110" w14:textId="77777777" w:rsidR="004035B4" w:rsidRPr="004035B4" w:rsidRDefault="004035B4" w:rsidP="000908CC">
            <w:pPr>
              <w:rPr>
                <w:rFonts w:ascii="STIX Two Text" w:hAnsi="STIX Two Text"/>
                <w:sz w:val="16"/>
                <w:szCs w:val="16"/>
                <w:lang w:val="nl-NL"/>
              </w:rPr>
            </w:pPr>
          </w:p>
        </w:tc>
        <w:tc>
          <w:tcPr>
            <w:tcW w:w="2867" w:type="pct"/>
            <w:tcBorders>
              <w:left w:val="nil"/>
            </w:tcBorders>
          </w:tcPr>
          <w:p w14:paraId="462CA83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“To provide accurate prediction of MGMT expression based on promoter methylation, additional research should involve large scale assessment of the correlation of clinical outcomes with methylation at specific sites within the MGMT promoter.”</w:t>
            </w:r>
          </w:p>
        </w:tc>
      </w:tr>
      <w:tr w:rsidR="004035B4" w:rsidRPr="004035B4" w14:paraId="327545A8" w14:textId="77777777" w:rsidTr="004A0440">
        <w:tc>
          <w:tcPr>
            <w:tcW w:w="708" w:type="pct"/>
            <w:vMerge w:val="restart"/>
            <w:tcBorders>
              <w:right w:val="single" w:sz="4" w:space="0" w:color="auto"/>
            </w:tcBorders>
          </w:tcPr>
          <w:p w14:paraId="60BE0AD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Reasoning-based justifications</w:t>
            </w:r>
          </w:p>
        </w:tc>
        <w:tc>
          <w:tcPr>
            <w:tcW w:w="1425" w:type="pct"/>
            <w:vMerge w:val="restart"/>
            <w:tcBorders>
              <w:left w:val="single" w:sz="4" w:space="0" w:color="auto"/>
            </w:tcBorders>
          </w:tcPr>
          <w:p w14:paraId="75B2DB8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can be tentative.</w:t>
            </w:r>
          </w:p>
          <w:p w14:paraId="699BD84D"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The epistemic status of scientific claims is reliant on multiple factors.</w:t>
            </w:r>
          </w:p>
          <w:p w14:paraId="1AC5E628"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can be tentative.</w:t>
            </w:r>
          </w:p>
          <w:p w14:paraId="351B3A6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709BC818"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Scientists might infer different conclusions in cases of empirical equivalence, when other values might be decisive (e.g., simplicity, explanatory power).</w:t>
            </w:r>
          </w:p>
          <w:p w14:paraId="235842A5"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are socially negotiated.</w:t>
            </w:r>
          </w:p>
        </w:tc>
        <w:tc>
          <w:tcPr>
            <w:tcW w:w="2867" w:type="pct"/>
            <w:tcBorders>
              <w:left w:val="nil"/>
            </w:tcBorders>
          </w:tcPr>
          <w:p w14:paraId="0C018C6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(Results): “A decrease in osteophytes means that these protrusions disappear.”</w:t>
            </w:r>
          </w:p>
        </w:tc>
      </w:tr>
      <w:tr w:rsidR="004035B4" w:rsidRPr="004035B4" w14:paraId="2DAA62D9" w14:textId="77777777" w:rsidTr="004A0440">
        <w:tc>
          <w:tcPr>
            <w:tcW w:w="708" w:type="pct"/>
            <w:vMerge/>
            <w:tcBorders>
              <w:right w:val="single" w:sz="4" w:space="0" w:color="auto"/>
            </w:tcBorders>
          </w:tcPr>
          <w:p w14:paraId="57FE14D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9739CDB" w14:textId="77777777" w:rsidR="004035B4" w:rsidRPr="004035B4" w:rsidRDefault="004035B4" w:rsidP="000908CC">
            <w:pPr>
              <w:rPr>
                <w:rFonts w:ascii="STIX Two Text" w:hAnsi="STIX Two Text"/>
                <w:sz w:val="16"/>
                <w:szCs w:val="16"/>
              </w:rPr>
            </w:pPr>
          </w:p>
        </w:tc>
        <w:tc>
          <w:tcPr>
            <w:tcW w:w="2867" w:type="pct"/>
            <w:tcBorders>
              <w:left w:val="nil"/>
            </w:tcBorders>
          </w:tcPr>
          <w:p w14:paraId="7355625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“Furthermore, cut-off values do not acknowledge the potential role of clinically relevant individual CpG sites for MGMT silencing and quantitative methylation”</w:t>
            </w:r>
          </w:p>
        </w:tc>
      </w:tr>
      <w:tr w:rsidR="004035B4" w:rsidRPr="004035B4" w14:paraId="6732EED9" w14:textId="77777777" w:rsidTr="004A0440">
        <w:tc>
          <w:tcPr>
            <w:tcW w:w="708" w:type="pct"/>
            <w:vMerge/>
            <w:tcBorders>
              <w:right w:val="single" w:sz="4" w:space="0" w:color="auto"/>
            </w:tcBorders>
          </w:tcPr>
          <w:p w14:paraId="7C9EDDF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5B75E31" w14:textId="77777777" w:rsidR="004035B4" w:rsidRPr="004035B4" w:rsidRDefault="004035B4" w:rsidP="000908CC">
            <w:pPr>
              <w:rPr>
                <w:rFonts w:ascii="STIX Two Text" w:hAnsi="STIX Two Text"/>
                <w:sz w:val="16"/>
                <w:szCs w:val="16"/>
              </w:rPr>
            </w:pPr>
          </w:p>
        </w:tc>
        <w:tc>
          <w:tcPr>
            <w:tcW w:w="2867" w:type="pct"/>
            <w:tcBorders>
              <w:left w:val="nil"/>
            </w:tcBorders>
          </w:tcPr>
          <w:p w14:paraId="16A586D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“As discussed in chapter 2 and 3 DAP is only effective for an UGA termination codon and introduces a Trp amino acid. This explains why DAP is more potent for W to X mutations because it re-introduces the Trp amino acid “missing”, resulting in a CFTR wildtype-like protein.”</w:t>
            </w:r>
          </w:p>
        </w:tc>
      </w:tr>
      <w:tr w:rsidR="004035B4" w:rsidRPr="004035B4" w14:paraId="05344793" w14:textId="77777777" w:rsidTr="004A0440">
        <w:tc>
          <w:tcPr>
            <w:tcW w:w="708" w:type="pct"/>
            <w:vMerge w:val="restart"/>
            <w:tcBorders>
              <w:right w:val="single" w:sz="4" w:space="0" w:color="auto"/>
            </w:tcBorders>
          </w:tcPr>
          <w:p w14:paraId="2801E7A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Evaluating results in the context of published research</w:t>
            </w:r>
          </w:p>
        </w:tc>
        <w:tc>
          <w:tcPr>
            <w:tcW w:w="1425" w:type="pct"/>
            <w:vMerge w:val="restart"/>
            <w:tcBorders>
              <w:left w:val="single" w:sz="4" w:space="0" w:color="auto"/>
            </w:tcBorders>
          </w:tcPr>
          <w:p w14:paraId="6C1FDB6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can be tentative.</w:t>
            </w:r>
          </w:p>
          <w:p w14:paraId="1D322A43"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The epistemic status of scientific claims is reliant on multiple factors.</w:t>
            </w:r>
          </w:p>
          <w:p w14:paraId="288C0643"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can be tentative.</w:t>
            </w:r>
          </w:p>
        </w:tc>
        <w:tc>
          <w:tcPr>
            <w:tcW w:w="2867" w:type="pct"/>
            <w:tcBorders>
              <w:left w:val="nil"/>
            </w:tcBorders>
          </w:tcPr>
          <w:p w14:paraId="1ED8FB7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“Based on the literature study and experimental results presented in this thesis, [assay 1] can be currently considered the best method to determine MGMT methylation status in glioblastoma patients.”</w:t>
            </w:r>
          </w:p>
        </w:tc>
      </w:tr>
      <w:tr w:rsidR="004035B4" w:rsidRPr="004035B4" w14:paraId="2DE660F1" w14:textId="77777777" w:rsidTr="004A0440">
        <w:tc>
          <w:tcPr>
            <w:tcW w:w="708" w:type="pct"/>
            <w:vMerge/>
            <w:tcBorders>
              <w:right w:val="single" w:sz="4" w:space="0" w:color="auto"/>
            </w:tcBorders>
          </w:tcPr>
          <w:p w14:paraId="41AA741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335990F" w14:textId="77777777" w:rsidR="004035B4" w:rsidRPr="004035B4" w:rsidRDefault="004035B4" w:rsidP="000908CC">
            <w:pPr>
              <w:rPr>
                <w:rFonts w:ascii="STIX Two Text" w:hAnsi="STIX Two Text"/>
                <w:sz w:val="16"/>
                <w:szCs w:val="16"/>
              </w:rPr>
            </w:pPr>
          </w:p>
        </w:tc>
        <w:tc>
          <w:tcPr>
            <w:tcW w:w="2867" w:type="pct"/>
            <w:tcBorders>
              <w:left w:val="nil"/>
            </w:tcBorders>
          </w:tcPr>
          <w:p w14:paraId="7A3DBF7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“Malley et al. found that mutation of CpG 89 alone was sufficient to almost abolish promoter activity completely (49). Interestingly, none of the methylation-specific assays covered in this thesis interrogate this CpG site.” (Malley et al., 2011)</w:t>
            </w:r>
          </w:p>
        </w:tc>
      </w:tr>
      <w:tr w:rsidR="004035B4" w:rsidRPr="004035B4" w14:paraId="5B86D15D" w14:textId="77777777" w:rsidTr="004A0440">
        <w:tc>
          <w:tcPr>
            <w:tcW w:w="708" w:type="pct"/>
            <w:vMerge/>
            <w:tcBorders>
              <w:right w:val="single" w:sz="4" w:space="0" w:color="auto"/>
            </w:tcBorders>
          </w:tcPr>
          <w:p w14:paraId="7A21C002"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BD01159" w14:textId="77777777" w:rsidR="004035B4" w:rsidRPr="004035B4" w:rsidRDefault="004035B4" w:rsidP="000908CC">
            <w:pPr>
              <w:rPr>
                <w:rFonts w:ascii="STIX Two Text" w:hAnsi="STIX Two Text"/>
                <w:sz w:val="16"/>
                <w:szCs w:val="16"/>
              </w:rPr>
            </w:pPr>
          </w:p>
        </w:tc>
        <w:tc>
          <w:tcPr>
            <w:tcW w:w="2867" w:type="pct"/>
            <w:tcBorders>
              <w:left w:val="nil"/>
            </w:tcBorders>
          </w:tcPr>
          <w:p w14:paraId="7836708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(Discussion): “Because of the limitations of luciferase, the exclusion of NMD, and the difficulties of comparing readthrough agents [i.e., results from literature, described in an earlier section of the thesis], I propose a new pipeline for discovery (figure 29). Large screenings are very common to use to find new drugs, but the disappointing results suggest it is time for another approach.”</w:t>
            </w:r>
          </w:p>
        </w:tc>
      </w:tr>
      <w:tr w:rsidR="004035B4" w:rsidRPr="004035B4" w14:paraId="15011C2D" w14:textId="77777777" w:rsidTr="004A0440">
        <w:tc>
          <w:tcPr>
            <w:tcW w:w="708" w:type="pct"/>
            <w:vMerge/>
            <w:tcBorders>
              <w:right w:val="single" w:sz="4" w:space="0" w:color="auto"/>
            </w:tcBorders>
          </w:tcPr>
          <w:p w14:paraId="5E1AC828"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47D8B89" w14:textId="77777777" w:rsidR="004035B4" w:rsidRPr="004035B4" w:rsidRDefault="004035B4" w:rsidP="000908CC">
            <w:pPr>
              <w:rPr>
                <w:rFonts w:ascii="STIX Two Text" w:hAnsi="STIX Two Text"/>
                <w:sz w:val="16"/>
                <w:szCs w:val="16"/>
              </w:rPr>
            </w:pPr>
          </w:p>
        </w:tc>
        <w:tc>
          <w:tcPr>
            <w:tcW w:w="2867" w:type="pct"/>
            <w:tcBorders>
              <w:left w:val="nil"/>
            </w:tcBorders>
          </w:tcPr>
          <w:p w14:paraId="1F5EDAEB"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“In contrast, female patients in menopause seem to benefit less from distraction as a reduced increase of the joint space width was seem [sic] with these characteristics. It is known that increasing age and depletion of oestrogen leads to osteoporosis, which might influence the bone changes induced by distraction. Providing post-menopausal women with oestrogen could therefore reduce knee deterioration.”</w:t>
            </w:r>
          </w:p>
        </w:tc>
      </w:tr>
      <w:tr w:rsidR="004035B4" w:rsidRPr="004035B4" w14:paraId="0741ECB8" w14:textId="77777777" w:rsidTr="004A0440">
        <w:tc>
          <w:tcPr>
            <w:tcW w:w="708" w:type="pct"/>
            <w:vMerge w:val="restart"/>
            <w:tcBorders>
              <w:right w:val="single" w:sz="4" w:space="0" w:color="auto"/>
            </w:tcBorders>
          </w:tcPr>
          <w:p w14:paraId="66A2A3A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Acknowledging debates in science</w:t>
            </w:r>
          </w:p>
        </w:tc>
        <w:tc>
          <w:tcPr>
            <w:tcW w:w="1425" w:type="pct"/>
            <w:vMerge w:val="restart"/>
            <w:tcBorders>
              <w:left w:val="single" w:sz="4" w:space="0" w:color="auto"/>
            </w:tcBorders>
          </w:tcPr>
          <w:p w14:paraId="086DAF3E"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can be tentative.</w:t>
            </w:r>
          </w:p>
          <w:p w14:paraId="72E88203"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Scientific claims can be tentative.</w:t>
            </w:r>
          </w:p>
          <w:p w14:paraId="5CD0988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4978ABBE"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Data can be interpreted multiple ways.</w:t>
            </w:r>
          </w:p>
          <w:p w14:paraId="3561680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There is a clear difference between observation and inference.</w:t>
            </w:r>
          </w:p>
        </w:tc>
        <w:tc>
          <w:tcPr>
            <w:tcW w:w="2867" w:type="pct"/>
            <w:tcBorders>
              <w:left w:val="nil"/>
            </w:tcBorders>
          </w:tcPr>
          <w:p w14:paraId="74E16DE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(Introduction): “The results of this study should ought to be considered in the ongoing debate on MGMT testing, which ideally will lead to agreement soon.”</w:t>
            </w:r>
          </w:p>
        </w:tc>
      </w:tr>
      <w:tr w:rsidR="004035B4" w:rsidRPr="004035B4" w14:paraId="570D6298" w14:textId="77777777" w:rsidTr="004A0440">
        <w:tc>
          <w:tcPr>
            <w:tcW w:w="708" w:type="pct"/>
            <w:vMerge/>
            <w:tcBorders>
              <w:right w:val="single" w:sz="4" w:space="0" w:color="auto"/>
            </w:tcBorders>
          </w:tcPr>
          <w:p w14:paraId="0723125C"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783F9C8" w14:textId="77777777" w:rsidR="004035B4" w:rsidRPr="004035B4" w:rsidRDefault="004035B4" w:rsidP="000908CC">
            <w:pPr>
              <w:rPr>
                <w:rFonts w:ascii="STIX Two Text" w:hAnsi="STIX Two Text"/>
                <w:sz w:val="16"/>
                <w:szCs w:val="16"/>
              </w:rPr>
            </w:pPr>
          </w:p>
        </w:tc>
        <w:tc>
          <w:tcPr>
            <w:tcW w:w="2867" w:type="pct"/>
            <w:tcBorders>
              <w:left w:val="nil"/>
            </w:tcBorders>
          </w:tcPr>
          <w:p w14:paraId="4D126DD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(Discussion) mentioned that there is controversy about how to perform an experiment.</w:t>
            </w:r>
          </w:p>
        </w:tc>
      </w:tr>
      <w:tr w:rsidR="004035B4" w:rsidRPr="004035B4" w14:paraId="5ACC9919" w14:textId="77777777" w:rsidTr="004A0440">
        <w:tc>
          <w:tcPr>
            <w:tcW w:w="708" w:type="pct"/>
            <w:vMerge w:val="restart"/>
            <w:tcBorders>
              <w:right w:val="single" w:sz="4" w:space="0" w:color="auto"/>
            </w:tcBorders>
          </w:tcPr>
          <w:p w14:paraId="378C3A9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lastRenderedPageBreak/>
              <w:t>Acknowledging the influence of methodological choices</w:t>
            </w:r>
          </w:p>
        </w:tc>
        <w:tc>
          <w:tcPr>
            <w:tcW w:w="1425" w:type="pct"/>
            <w:vMerge w:val="restart"/>
            <w:tcBorders>
              <w:left w:val="single" w:sz="4" w:space="0" w:color="auto"/>
            </w:tcBorders>
          </w:tcPr>
          <w:p w14:paraId="19B140E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should be justified.</w:t>
            </w:r>
          </w:p>
          <w:p w14:paraId="4013834F"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Methodological choices can affect the epistemic status or generalizability of the claims.</w:t>
            </w:r>
          </w:p>
          <w:p w14:paraId="47A139A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0F2E82BC"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Scientists might infer different conclusions in cases of empirical equivalence, when other values might be decisive (e.g., simplicity, explanatory power).</w:t>
            </w:r>
          </w:p>
          <w:p w14:paraId="065A1475"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Inferences in science are value-laden.</w:t>
            </w:r>
          </w:p>
        </w:tc>
        <w:tc>
          <w:tcPr>
            <w:tcW w:w="2867" w:type="pct"/>
            <w:tcBorders>
              <w:left w:val="nil"/>
            </w:tcBorders>
          </w:tcPr>
          <w:p w14:paraId="48CF7BC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“Establishment of standardized procedures is essential to guarantee reproducibility and representative controls are essential to assure reliable testing.”</w:t>
            </w:r>
          </w:p>
        </w:tc>
      </w:tr>
      <w:tr w:rsidR="004035B4" w:rsidRPr="004035B4" w14:paraId="08AD219E" w14:textId="77777777" w:rsidTr="004A0440">
        <w:tc>
          <w:tcPr>
            <w:tcW w:w="708" w:type="pct"/>
            <w:vMerge/>
            <w:tcBorders>
              <w:right w:val="single" w:sz="4" w:space="0" w:color="auto"/>
            </w:tcBorders>
          </w:tcPr>
          <w:p w14:paraId="761A2E11"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5664825" w14:textId="77777777" w:rsidR="004035B4" w:rsidRPr="004035B4" w:rsidRDefault="004035B4" w:rsidP="000908CC">
            <w:pPr>
              <w:rPr>
                <w:rFonts w:ascii="STIX Two Text" w:hAnsi="STIX Two Text"/>
                <w:sz w:val="16"/>
                <w:szCs w:val="16"/>
              </w:rPr>
            </w:pPr>
          </w:p>
        </w:tc>
        <w:tc>
          <w:tcPr>
            <w:tcW w:w="2867" w:type="pct"/>
            <w:tcBorders>
              <w:left w:val="nil"/>
            </w:tcBorders>
          </w:tcPr>
          <w:p w14:paraId="1FEAAAF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Marijn (Discussion) mentioned the effects of differences in time and temperature of incubation between experiments. </w:t>
            </w:r>
          </w:p>
        </w:tc>
      </w:tr>
      <w:tr w:rsidR="004035B4" w:rsidRPr="004035B4" w14:paraId="76611F9C" w14:textId="77777777" w:rsidTr="004A0440">
        <w:tc>
          <w:tcPr>
            <w:tcW w:w="708" w:type="pct"/>
            <w:vMerge/>
            <w:tcBorders>
              <w:right w:val="single" w:sz="4" w:space="0" w:color="auto"/>
            </w:tcBorders>
          </w:tcPr>
          <w:p w14:paraId="74EF6F1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0864E4E" w14:textId="77777777" w:rsidR="004035B4" w:rsidRPr="004035B4" w:rsidRDefault="004035B4" w:rsidP="000908CC">
            <w:pPr>
              <w:rPr>
                <w:rFonts w:ascii="STIX Two Text" w:hAnsi="STIX Two Text"/>
                <w:sz w:val="16"/>
                <w:szCs w:val="16"/>
              </w:rPr>
            </w:pPr>
          </w:p>
        </w:tc>
        <w:tc>
          <w:tcPr>
            <w:tcW w:w="2867" w:type="pct"/>
            <w:tcBorders>
              <w:left w:val="nil"/>
            </w:tcBorders>
          </w:tcPr>
          <w:p w14:paraId="5B76C49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(Discussion) mentioned the effects of biological features of reagents.</w:t>
            </w:r>
          </w:p>
        </w:tc>
      </w:tr>
      <w:tr w:rsidR="004035B4" w:rsidRPr="004035B4" w14:paraId="7DE6C6FB" w14:textId="77777777" w:rsidTr="004A0440">
        <w:tc>
          <w:tcPr>
            <w:tcW w:w="708" w:type="pct"/>
            <w:vMerge/>
            <w:tcBorders>
              <w:right w:val="single" w:sz="4" w:space="0" w:color="auto"/>
            </w:tcBorders>
          </w:tcPr>
          <w:p w14:paraId="07069172"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20679F0" w14:textId="77777777" w:rsidR="004035B4" w:rsidRPr="004035B4" w:rsidRDefault="004035B4" w:rsidP="000908CC">
            <w:pPr>
              <w:rPr>
                <w:rFonts w:ascii="STIX Two Text" w:hAnsi="STIX Two Text"/>
                <w:sz w:val="16"/>
                <w:szCs w:val="16"/>
              </w:rPr>
            </w:pPr>
          </w:p>
        </w:tc>
        <w:tc>
          <w:tcPr>
            <w:tcW w:w="2867" w:type="pct"/>
            <w:tcBorders>
              <w:left w:val="nil"/>
            </w:tcBorders>
          </w:tcPr>
          <w:p w14:paraId="6D80B684" w14:textId="77777777" w:rsidR="004035B4" w:rsidRPr="004035B4" w:rsidRDefault="004035B4" w:rsidP="000908CC">
            <w:pPr>
              <w:rPr>
                <w:rFonts w:ascii="STIX Two Text" w:hAnsi="STIX Two Text"/>
                <w:color w:val="7030A0"/>
                <w:sz w:val="16"/>
                <w:szCs w:val="16"/>
              </w:rPr>
            </w:pPr>
            <w:r w:rsidRPr="004035B4">
              <w:rPr>
                <w:rFonts w:ascii="STIX Two Text" w:hAnsi="STIX Two Text"/>
                <w:sz w:val="16"/>
                <w:szCs w:val="16"/>
              </w:rPr>
              <w:t>Robin (General Discussion): “Interpatient heterogeneity hampers development of successful therapy for all glioblastoma patients and complicates obtaining consistent results in clinical trials.”</w:t>
            </w:r>
          </w:p>
        </w:tc>
      </w:tr>
      <w:tr w:rsidR="004035B4" w:rsidRPr="004035B4" w14:paraId="15A50DF3" w14:textId="77777777" w:rsidTr="004A0440">
        <w:tc>
          <w:tcPr>
            <w:tcW w:w="708" w:type="pct"/>
            <w:vMerge/>
            <w:tcBorders>
              <w:right w:val="single" w:sz="4" w:space="0" w:color="auto"/>
            </w:tcBorders>
          </w:tcPr>
          <w:p w14:paraId="196C9415"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57997B5" w14:textId="77777777" w:rsidR="004035B4" w:rsidRPr="004035B4" w:rsidRDefault="004035B4" w:rsidP="000908CC">
            <w:pPr>
              <w:rPr>
                <w:rFonts w:ascii="STIX Two Text" w:hAnsi="STIX Two Text"/>
                <w:sz w:val="16"/>
                <w:szCs w:val="16"/>
              </w:rPr>
            </w:pPr>
          </w:p>
        </w:tc>
        <w:tc>
          <w:tcPr>
            <w:tcW w:w="2867" w:type="pct"/>
            <w:tcBorders>
              <w:left w:val="nil"/>
            </w:tcBorders>
          </w:tcPr>
          <w:p w14:paraId="54BDEFC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“The readthrough activity of DAP differs visibly between organoid lines, which underlines the specificity of DAP for genetic context.”</w:t>
            </w:r>
          </w:p>
        </w:tc>
      </w:tr>
      <w:tr w:rsidR="004035B4" w:rsidRPr="004035B4" w14:paraId="798D24A1" w14:textId="77777777" w:rsidTr="004A0440">
        <w:tc>
          <w:tcPr>
            <w:tcW w:w="708" w:type="pct"/>
            <w:vMerge/>
            <w:tcBorders>
              <w:right w:val="single" w:sz="4" w:space="0" w:color="auto"/>
            </w:tcBorders>
          </w:tcPr>
          <w:p w14:paraId="7814D686"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276DC2C" w14:textId="77777777" w:rsidR="004035B4" w:rsidRPr="004035B4" w:rsidRDefault="004035B4" w:rsidP="000908CC">
            <w:pPr>
              <w:rPr>
                <w:rFonts w:ascii="STIX Two Text" w:hAnsi="STIX Two Text"/>
                <w:sz w:val="16"/>
                <w:szCs w:val="16"/>
              </w:rPr>
            </w:pPr>
          </w:p>
        </w:tc>
        <w:tc>
          <w:tcPr>
            <w:tcW w:w="2867" w:type="pct"/>
            <w:tcBorders>
              <w:left w:val="nil"/>
            </w:tcBorders>
          </w:tcPr>
          <w:p w14:paraId="34E969D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(Discussion) advocated for a better disease model for the disease of their interest.</w:t>
            </w:r>
          </w:p>
        </w:tc>
      </w:tr>
      <w:tr w:rsidR="004035B4" w:rsidRPr="004035B4" w14:paraId="598BF8EC" w14:textId="77777777" w:rsidTr="004A0440">
        <w:tc>
          <w:tcPr>
            <w:tcW w:w="708" w:type="pct"/>
            <w:tcBorders>
              <w:right w:val="single" w:sz="4" w:space="0" w:color="auto"/>
            </w:tcBorders>
          </w:tcPr>
          <w:p w14:paraId="36C32D0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Not integrating qualifiers and contradicting evidence into the argument</w:t>
            </w:r>
          </w:p>
          <w:p w14:paraId="78A4093C" w14:textId="77777777" w:rsidR="004035B4" w:rsidRPr="004035B4" w:rsidRDefault="004035B4" w:rsidP="000908CC">
            <w:pPr>
              <w:rPr>
                <w:rFonts w:ascii="STIX Two Text" w:hAnsi="STIX Two Text"/>
                <w:sz w:val="16"/>
                <w:szCs w:val="16"/>
              </w:rPr>
            </w:pPr>
          </w:p>
        </w:tc>
        <w:tc>
          <w:tcPr>
            <w:tcW w:w="1425" w:type="pct"/>
            <w:tcBorders>
              <w:left w:val="single" w:sz="4" w:space="0" w:color="auto"/>
            </w:tcBorders>
          </w:tcPr>
          <w:p w14:paraId="480347D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should be conclusive.</w:t>
            </w:r>
          </w:p>
          <w:p w14:paraId="40E90044"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Scientific claims are or should be conclusive.</w:t>
            </w:r>
          </w:p>
          <w:p w14:paraId="45BC0AC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should be impressive to be valuable.</w:t>
            </w:r>
          </w:p>
        </w:tc>
        <w:tc>
          <w:tcPr>
            <w:tcW w:w="2867" w:type="pct"/>
            <w:tcBorders>
              <w:left w:val="nil"/>
            </w:tcBorders>
          </w:tcPr>
          <w:p w14:paraId="59F5E7C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(Conclusion): Claim without modals or qualifiers: “While ACL lesions lead to osteopenia, they have a negative influence on the success of KJD; inducing a reduced JSW and osteophyte formation.”</w:t>
            </w:r>
          </w:p>
          <w:p w14:paraId="49C9B0A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Qualification (Discussion): “This leaves us not yet satisfied and looking for improvement. In order to do so the data need to be validated with a corresponding patients group. In this way, a more accurate model for knee joint distraction can be produced.”</w:t>
            </w:r>
          </w:p>
        </w:tc>
      </w:tr>
      <w:tr w:rsidR="004035B4" w:rsidRPr="004035B4" w14:paraId="3A9C5F50" w14:textId="77777777" w:rsidTr="004A0440">
        <w:tc>
          <w:tcPr>
            <w:tcW w:w="708" w:type="pct"/>
            <w:tcBorders>
              <w:right w:val="single" w:sz="4" w:space="0" w:color="auto"/>
            </w:tcBorders>
          </w:tcPr>
          <w:p w14:paraId="69D95D4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Integrating qualifiers and contradicting evidence into the argument</w:t>
            </w:r>
          </w:p>
          <w:p w14:paraId="52DC9468" w14:textId="77777777" w:rsidR="004035B4" w:rsidRPr="004035B4" w:rsidRDefault="004035B4" w:rsidP="000908CC">
            <w:pPr>
              <w:rPr>
                <w:rFonts w:ascii="STIX Two Text" w:hAnsi="STIX Two Text"/>
                <w:sz w:val="16"/>
                <w:szCs w:val="16"/>
              </w:rPr>
            </w:pPr>
          </w:p>
        </w:tc>
        <w:tc>
          <w:tcPr>
            <w:tcW w:w="1425" w:type="pct"/>
            <w:tcBorders>
              <w:left w:val="single" w:sz="4" w:space="0" w:color="auto"/>
            </w:tcBorders>
          </w:tcPr>
          <w:p w14:paraId="7336404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can be tentative.</w:t>
            </w:r>
          </w:p>
        </w:tc>
        <w:tc>
          <w:tcPr>
            <w:tcW w:w="2867" w:type="pct"/>
            <w:tcBorders>
              <w:left w:val="nil"/>
            </w:tcBorders>
          </w:tcPr>
          <w:p w14:paraId="034CF69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“The most important factors included range of motion, frame duration, gender and menopause, age at surgery, ACL lesions and the Kellgren-Lawrence scale. Although the last variable showed opposing results, it is thought that an increased joint space is clinically more favourable for the patient that reduced bone density.”</w:t>
            </w:r>
          </w:p>
        </w:tc>
      </w:tr>
      <w:tr w:rsidR="004035B4" w:rsidRPr="004035B4" w14:paraId="782E1AC2" w14:textId="77777777" w:rsidTr="004A0440">
        <w:tc>
          <w:tcPr>
            <w:tcW w:w="5000" w:type="pct"/>
            <w:gridSpan w:val="3"/>
          </w:tcPr>
          <w:p w14:paraId="1C0147D9"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Description of methodology and methods</w:t>
            </w:r>
          </w:p>
        </w:tc>
      </w:tr>
      <w:tr w:rsidR="004035B4" w:rsidRPr="004035B4" w14:paraId="650671E0" w14:textId="77777777" w:rsidTr="004A0440">
        <w:tc>
          <w:tcPr>
            <w:tcW w:w="708" w:type="pct"/>
            <w:vMerge w:val="restart"/>
            <w:tcBorders>
              <w:right w:val="single" w:sz="4" w:space="0" w:color="auto"/>
            </w:tcBorders>
          </w:tcPr>
          <w:p w14:paraId="1BC576E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Providing few details about methodology and methods</w:t>
            </w:r>
          </w:p>
        </w:tc>
        <w:tc>
          <w:tcPr>
            <w:tcW w:w="1425" w:type="pct"/>
            <w:vMerge w:val="restart"/>
            <w:tcBorders>
              <w:left w:val="single" w:sz="4" w:space="0" w:color="auto"/>
            </w:tcBorders>
          </w:tcPr>
          <w:p w14:paraId="016EF0C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speak for themselves.</w:t>
            </w:r>
          </w:p>
          <w:p w14:paraId="1816F37C"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Methodological choices are value-free.</w:t>
            </w:r>
          </w:p>
          <w:p w14:paraId="43878795"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Methodological monism.</w:t>
            </w:r>
          </w:p>
          <w:p w14:paraId="41693290" w14:textId="77777777" w:rsidR="004035B4" w:rsidRPr="004035B4" w:rsidRDefault="004035B4" w:rsidP="000908CC">
            <w:pPr>
              <w:pStyle w:val="ListParagraph"/>
              <w:numPr>
                <w:ilvl w:val="0"/>
                <w:numId w:val="3"/>
              </w:numPr>
              <w:rPr>
                <w:rFonts w:ascii="STIX Two Text" w:hAnsi="STIX Two Text"/>
                <w:sz w:val="16"/>
                <w:szCs w:val="16"/>
              </w:rPr>
            </w:pPr>
            <w:r w:rsidRPr="004035B4">
              <w:rPr>
                <w:rFonts w:ascii="STIX Two Text" w:hAnsi="STIX Two Text"/>
                <w:sz w:val="16"/>
                <w:szCs w:val="16"/>
              </w:rPr>
              <w:t>The phenomenon of interest can be directly observed and measured.</w:t>
            </w:r>
          </w:p>
        </w:tc>
        <w:tc>
          <w:tcPr>
            <w:tcW w:w="2867" w:type="pct"/>
            <w:tcBorders>
              <w:left w:val="nil"/>
            </w:tcBorders>
          </w:tcPr>
          <w:p w14:paraId="7BC58EDB"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(Methods) described the 43 variables in their analysis and mentioned which statistical tests they used but did not elaborate on research procedures.</w:t>
            </w:r>
          </w:p>
        </w:tc>
      </w:tr>
      <w:tr w:rsidR="004035B4" w:rsidRPr="004035B4" w14:paraId="4F000CB6" w14:textId="77777777" w:rsidTr="004A0440">
        <w:trPr>
          <w:trHeight w:val="653"/>
        </w:trPr>
        <w:tc>
          <w:tcPr>
            <w:tcW w:w="708" w:type="pct"/>
            <w:vMerge/>
            <w:tcBorders>
              <w:right w:val="single" w:sz="4" w:space="0" w:color="auto"/>
            </w:tcBorders>
          </w:tcPr>
          <w:p w14:paraId="434B840E"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315D338" w14:textId="77777777" w:rsidR="004035B4" w:rsidRPr="004035B4" w:rsidRDefault="004035B4" w:rsidP="000908CC">
            <w:pPr>
              <w:rPr>
                <w:rFonts w:ascii="STIX Two Text" w:hAnsi="STIX Two Text"/>
                <w:sz w:val="16"/>
                <w:szCs w:val="16"/>
              </w:rPr>
            </w:pPr>
          </w:p>
        </w:tc>
        <w:tc>
          <w:tcPr>
            <w:tcW w:w="2867" w:type="pct"/>
            <w:tcBorders>
              <w:left w:val="nil"/>
            </w:tcBorders>
          </w:tcPr>
          <w:p w14:paraId="3754E5C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(Methods) described the patient sample, DNA sample preparation, and how each of the assays under study was performed.</w:t>
            </w:r>
            <w:r w:rsidRPr="004035B4">
              <w:rPr>
                <w:rFonts w:ascii="STIX Two Text" w:hAnsi="STIX Two Text"/>
                <w:color w:val="00B050"/>
                <w:sz w:val="16"/>
                <w:szCs w:val="16"/>
              </w:rPr>
              <w:t xml:space="preserve"> </w:t>
            </w:r>
            <w:r w:rsidRPr="004035B4">
              <w:rPr>
                <w:rFonts w:ascii="STIX Two Text" w:hAnsi="STIX Two Text"/>
                <w:color w:val="000000" w:themeColor="text1"/>
                <w:sz w:val="16"/>
                <w:szCs w:val="16"/>
              </w:rPr>
              <w:t xml:space="preserve">However, concerning statistical analyses, they only write: “Statistical analyses were performed using IBM SPSS version 25.” </w:t>
            </w:r>
          </w:p>
        </w:tc>
      </w:tr>
      <w:tr w:rsidR="004035B4" w:rsidRPr="004035B4" w14:paraId="6766BCD7" w14:textId="77777777" w:rsidTr="004A0440">
        <w:tc>
          <w:tcPr>
            <w:tcW w:w="708" w:type="pct"/>
            <w:vMerge/>
            <w:tcBorders>
              <w:right w:val="single" w:sz="4" w:space="0" w:color="auto"/>
            </w:tcBorders>
          </w:tcPr>
          <w:p w14:paraId="4FF480E7"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201EF23" w14:textId="77777777" w:rsidR="004035B4" w:rsidRPr="004035B4" w:rsidRDefault="004035B4" w:rsidP="000908CC">
            <w:pPr>
              <w:rPr>
                <w:rFonts w:ascii="STIX Two Text" w:hAnsi="STIX Two Text"/>
                <w:sz w:val="16"/>
                <w:szCs w:val="16"/>
              </w:rPr>
            </w:pPr>
          </w:p>
        </w:tc>
        <w:tc>
          <w:tcPr>
            <w:tcW w:w="2867" w:type="pct"/>
            <w:tcBorders>
              <w:left w:val="nil"/>
            </w:tcBorders>
          </w:tcPr>
          <w:p w14:paraId="4F400E0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Sam’s thesis lacked a methods section, and experiments were described only very briefly throughout the results section.</w:t>
            </w:r>
          </w:p>
        </w:tc>
      </w:tr>
      <w:tr w:rsidR="004035B4" w:rsidRPr="004035B4" w14:paraId="41333CD5" w14:textId="77777777" w:rsidTr="004A0440">
        <w:tc>
          <w:tcPr>
            <w:tcW w:w="708" w:type="pct"/>
            <w:vMerge w:val="restart"/>
            <w:tcBorders>
              <w:right w:val="single" w:sz="4" w:space="0" w:color="auto"/>
            </w:tcBorders>
          </w:tcPr>
          <w:p w14:paraId="6B677AF0"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Prescriptive recommendations for future research</w:t>
            </w:r>
          </w:p>
        </w:tc>
        <w:tc>
          <w:tcPr>
            <w:tcW w:w="1425" w:type="pct"/>
            <w:vMerge w:val="restart"/>
            <w:tcBorders>
              <w:left w:val="single" w:sz="4" w:space="0" w:color="auto"/>
            </w:tcBorders>
          </w:tcPr>
          <w:p w14:paraId="7BE44C8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speak for themselves.</w:t>
            </w:r>
          </w:p>
          <w:p w14:paraId="00590DA6"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are either right or wrong.</w:t>
            </w:r>
          </w:p>
        </w:tc>
        <w:tc>
          <w:tcPr>
            <w:tcW w:w="2867" w:type="pct"/>
            <w:tcBorders>
              <w:left w:val="nil"/>
            </w:tcBorders>
          </w:tcPr>
          <w:p w14:paraId="736D3FB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(General Discussion): “Regular re-evaluation of the same specimen </w:t>
            </w:r>
            <w:r w:rsidRPr="004035B4">
              <w:rPr>
                <w:rFonts w:ascii="STIX Two Text" w:hAnsi="STIX Two Text"/>
                <w:b/>
                <w:bCs/>
                <w:sz w:val="16"/>
                <w:szCs w:val="16"/>
              </w:rPr>
              <w:t>should</w:t>
            </w:r>
            <w:r w:rsidRPr="004035B4">
              <w:rPr>
                <w:rFonts w:ascii="STIX Two Text" w:hAnsi="STIX Two Text"/>
                <w:sz w:val="16"/>
                <w:szCs w:val="16"/>
              </w:rPr>
              <w:t xml:space="preserve"> be performed to assess and assure reproducibility of testing.”</w:t>
            </w:r>
          </w:p>
        </w:tc>
      </w:tr>
      <w:tr w:rsidR="004035B4" w:rsidRPr="004035B4" w14:paraId="3999975F" w14:textId="77777777" w:rsidTr="004A0440">
        <w:tc>
          <w:tcPr>
            <w:tcW w:w="708" w:type="pct"/>
            <w:vMerge/>
            <w:tcBorders>
              <w:right w:val="single" w:sz="4" w:space="0" w:color="auto"/>
            </w:tcBorders>
          </w:tcPr>
          <w:p w14:paraId="65B19350"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86D5F64" w14:textId="77777777" w:rsidR="004035B4" w:rsidRPr="004035B4" w:rsidRDefault="004035B4" w:rsidP="000908CC">
            <w:pPr>
              <w:rPr>
                <w:rFonts w:ascii="STIX Two Text" w:hAnsi="STIX Two Text"/>
                <w:sz w:val="16"/>
                <w:szCs w:val="16"/>
              </w:rPr>
            </w:pPr>
          </w:p>
        </w:tc>
        <w:tc>
          <w:tcPr>
            <w:tcW w:w="2867" w:type="pct"/>
            <w:tcBorders>
              <w:left w:val="nil"/>
            </w:tcBorders>
          </w:tcPr>
          <w:p w14:paraId="46F17EC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Luca (Discussion): “In order to do so the data </w:t>
            </w:r>
            <w:r w:rsidRPr="004035B4">
              <w:rPr>
                <w:rFonts w:ascii="STIX Two Text" w:hAnsi="STIX Two Text"/>
                <w:b/>
                <w:bCs/>
                <w:sz w:val="16"/>
                <w:szCs w:val="16"/>
              </w:rPr>
              <w:t>need to be</w:t>
            </w:r>
            <w:r w:rsidRPr="004035B4">
              <w:rPr>
                <w:rFonts w:ascii="STIX Two Text" w:hAnsi="STIX Two Text"/>
                <w:sz w:val="16"/>
                <w:szCs w:val="16"/>
              </w:rPr>
              <w:t xml:space="preserve"> validated with a corresponding patients group [sic].”</w:t>
            </w:r>
          </w:p>
        </w:tc>
      </w:tr>
      <w:tr w:rsidR="004035B4" w:rsidRPr="004035B4" w14:paraId="470848D9" w14:textId="77777777" w:rsidTr="004A0440">
        <w:tc>
          <w:tcPr>
            <w:tcW w:w="708" w:type="pct"/>
            <w:vMerge/>
            <w:tcBorders>
              <w:right w:val="single" w:sz="4" w:space="0" w:color="auto"/>
            </w:tcBorders>
          </w:tcPr>
          <w:p w14:paraId="5450F3B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0A3D73B" w14:textId="77777777" w:rsidR="004035B4" w:rsidRPr="004035B4" w:rsidRDefault="004035B4" w:rsidP="000908CC">
            <w:pPr>
              <w:rPr>
                <w:rFonts w:ascii="STIX Two Text" w:hAnsi="STIX Two Text"/>
                <w:sz w:val="16"/>
                <w:szCs w:val="16"/>
              </w:rPr>
            </w:pPr>
          </w:p>
        </w:tc>
        <w:tc>
          <w:tcPr>
            <w:tcW w:w="2867" w:type="pct"/>
            <w:tcBorders>
              <w:left w:val="nil"/>
            </w:tcBorders>
          </w:tcPr>
          <w:p w14:paraId="6884BB0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Sam (Discussion): “These newly discovered drugs </w:t>
            </w:r>
            <w:r w:rsidRPr="004035B4">
              <w:rPr>
                <w:rFonts w:ascii="STIX Two Text" w:hAnsi="STIX Two Text"/>
                <w:b/>
                <w:bCs/>
                <w:sz w:val="16"/>
                <w:szCs w:val="16"/>
              </w:rPr>
              <w:t>should</w:t>
            </w:r>
            <w:r w:rsidRPr="004035B4">
              <w:rPr>
                <w:rFonts w:ascii="STIX Two Text" w:hAnsi="STIX Two Text"/>
                <w:sz w:val="16"/>
                <w:szCs w:val="16"/>
              </w:rPr>
              <w:t xml:space="preserve"> be combined with (new) NMD inhibitors.”</w:t>
            </w:r>
          </w:p>
        </w:tc>
      </w:tr>
      <w:tr w:rsidR="004035B4" w:rsidRPr="004035B4" w14:paraId="50C9D6F2" w14:textId="77777777" w:rsidTr="004A0440">
        <w:tc>
          <w:tcPr>
            <w:tcW w:w="708" w:type="pct"/>
            <w:vMerge w:val="restart"/>
            <w:tcBorders>
              <w:right w:val="single" w:sz="4" w:space="0" w:color="auto"/>
            </w:tcBorders>
          </w:tcPr>
          <w:p w14:paraId="23DF7AF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Providing many details about methodology and methods</w:t>
            </w:r>
          </w:p>
        </w:tc>
        <w:tc>
          <w:tcPr>
            <w:tcW w:w="1425" w:type="pct"/>
            <w:vMerge w:val="restart"/>
            <w:tcBorders>
              <w:left w:val="single" w:sz="4" w:space="0" w:color="auto"/>
            </w:tcBorders>
          </w:tcPr>
          <w:p w14:paraId="4F7DDA5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should be justified.</w:t>
            </w:r>
          </w:p>
          <w:p w14:paraId="2A2DBEFB"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Methodological choices are value-laden.</w:t>
            </w:r>
          </w:p>
          <w:p w14:paraId="38045D54"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lastRenderedPageBreak/>
              <w:t>Methodological pluralism.</w:t>
            </w:r>
          </w:p>
          <w:p w14:paraId="1A7D378F" w14:textId="77777777" w:rsidR="004035B4" w:rsidRPr="004035B4" w:rsidRDefault="004035B4" w:rsidP="000908CC">
            <w:pPr>
              <w:pStyle w:val="ListParagraph"/>
              <w:numPr>
                <w:ilvl w:val="0"/>
                <w:numId w:val="1"/>
              </w:numPr>
              <w:rPr>
                <w:rFonts w:ascii="STIX Two Text" w:hAnsi="STIX Two Text"/>
                <w:sz w:val="16"/>
                <w:szCs w:val="16"/>
              </w:rPr>
            </w:pPr>
            <w:r w:rsidRPr="004035B4">
              <w:rPr>
                <w:rFonts w:ascii="STIX Two Text" w:hAnsi="STIX Two Text"/>
                <w:sz w:val="16"/>
                <w:szCs w:val="16"/>
              </w:rPr>
              <w:t>There is a clear difference between observation and inference.</w:t>
            </w:r>
          </w:p>
        </w:tc>
        <w:tc>
          <w:tcPr>
            <w:tcW w:w="2867" w:type="pct"/>
            <w:tcBorders>
              <w:left w:val="nil"/>
            </w:tcBorders>
          </w:tcPr>
          <w:p w14:paraId="50C92CD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lastRenderedPageBreak/>
              <w:t>Marijn (Methods) extensively described how they prepared their samples, which solutions they used, included incubation times, and detailed concentrations.</w:t>
            </w:r>
          </w:p>
        </w:tc>
      </w:tr>
      <w:tr w:rsidR="004035B4" w:rsidRPr="004035B4" w14:paraId="46FC8E6D" w14:textId="77777777" w:rsidTr="004A0440">
        <w:tc>
          <w:tcPr>
            <w:tcW w:w="708" w:type="pct"/>
            <w:vMerge/>
            <w:tcBorders>
              <w:right w:val="single" w:sz="4" w:space="0" w:color="auto"/>
            </w:tcBorders>
          </w:tcPr>
          <w:p w14:paraId="6A47ED82"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46F8E22" w14:textId="77777777" w:rsidR="004035B4" w:rsidRPr="004035B4" w:rsidRDefault="004035B4" w:rsidP="000908CC">
            <w:pPr>
              <w:rPr>
                <w:rFonts w:ascii="STIX Two Text" w:hAnsi="STIX Two Text"/>
                <w:sz w:val="16"/>
                <w:szCs w:val="16"/>
              </w:rPr>
            </w:pPr>
          </w:p>
        </w:tc>
        <w:tc>
          <w:tcPr>
            <w:tcW w:w="2867" w:type="pct"/>
            <w:tcBorders>
              <w:left w:val="nil"/>
            </w:tcBorders>
          </w:tcPr>
          <w:p w14:paraId="26AC9C7F" w14:textId="77777777" w:rsidR="004035B4" w:rsidRPr="004035B4" w:rsidRDefault="004035B4" w:rsidP="000908CC">
            <w:pPr>
              <w:rPr>
                <w:rFonts w:ascii="STIX Two Text" w:hAnsi="STIX Two Text"/>
                <w:color w:val="00B050"/>
                <w:sz w:val="16"/>
                <w:szCs w:val="16"/>
              </w:rPr>
            </w:pPr>
            <w:r w:rsidRPr="004035B4">
              <w:rPr>
                <w:rFonts w:ascii="STIX Two Text" w:hAnsi="STIX Two Text"/>
                <w:color w:val="000000" w:themeColor="text1"/>
                <w:sz w:val="16"/>
                <w:szCs w:val="16"/>
              </w:rPr>
              <w:t>Robin (Methods) cited several studies to justify their assay choice and a that they followed published protocols, for example: “The cut-off value for MGMT promoter hypermethylation is set at 0.3582 (94).” [Bady, 2016]</w:t>
            </w:r>
          </w:p>
        </w:tc>
      </w:tr>
      <w:tr w:rsidR="004035B4" w:rsidRPr="004035B4" w14:paraId="05A8DA04" w14:textId="77777777" w:rsidTr="004A0440">
        <w:tc>
          <w:tcPr>
            <w:tcW w:w="708" w:type="pct"/>
            <w:vMerge/>
            <w:tcBorders>
              <w:right w:val="single" w:sz="4" w:space="0" w:color="auto"/>
            </w:tcBorders>
          </w:tcPr>
          <w:p w14:paraId="61F0C0B7"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C1E1381" w14:textId="77777777" w:rsidR="004035B4" w:rsidRPr="004035B4" w:rsidRDefault="004035B4" w:rsidP="000908CC">
            <w:pPr>
              <w:rPr>
                <w:rFonts w:ascii="STIX Two Text" w:hAnsi="STIX Two Text"/>
                <w:sz w:val="16"/>
                <w:szCs w:val="16"/>
              </w:rPr>
            </w:pPr>
          </w:p>
        </w:tc>
        <w:tc>
          <w:tcPr>
            <w:tcW w:w="2867" w:type="pct"/>
            <w:tcBorders>
              <w:left w:val="nil"/>
            </w:tcBorders>
          </w:tcPr>
          <w:p w14:paraId="58DF32B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(Methods) explained why two of their variables were included.</w:t>
            </w:r>
          </w:p>
        </w:tc>
      </w:tr>
      <w:tr w:rsidR="004035B4" w:rsidRPr="004035B4" w14:paraId="5EC26170" w14:textId="77777777" w:rsidTr="004A0440">
        <w:tc>
          <w:tcPr>
            <w:tcW w:w="708" w:type="pct"/>
            <w:vMerge/>
            <w:tcBorders>
              <w:right w:val="single" w:sz="4" w:space="0" w:color="auto"/>
            </w:tcBorders>
          </w:tcPr>
          <w:p w14:paraId="39C08EE4"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B368697" w14:textId="77777777" w:rsidR="004035B4" w:rsidRPr="004035B4" w:rsidRDefault="004035B4" w:rsidP="000908CC">
            <w:pPr>
              <w:rPr>
                <w:rFonts w:ascii="STIX Two Text" w:hAnsi="STIX Two Text"/>
                <w:sz w:val="16"/>
                <w:szCs w:val="16"/>
              </w:rPr>
            </w:pPr>
          </w:p>
        </w:tc>
        <w:tc>
          <w:tcPr>
            <w:tcW w:w="2867" w:type="pct"/>
            <w:tcBorders>
              <w:left w:val="nil"/>
            </w:tcBorders>
          </w:tcPr>
          <w:p w14:paraId="65D6067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(Introduction): “When forskolin is added to these organoids, cAMP levels rise which results in subsequent CFTR activation. CFTR activity leads to chloride transport followed by luminal fluid influx causing organoid swelling. The FIS assay can thus be used as a measure for CFTR function (Boj et al., 2017).” (Boj et al., 2017)</w:t>
            </w:r>
          </w:p>
        </w:tc>
      </w:tr>
      <w:tr w:rsidR="004035B4" w:rsidRPr="004035B4" w14:paraId="633C9B0A" w14:textId="77777777" w:rsidTr="004A0440">
        <w:tc>
          <w:tcPr>
            <w:tcW w:w="708" w:type="pct"/>
            <w:tcBorders>
              <w:right w:val="single" w:sz="4" w:space="0" w:color="auto"/>
            </w:tcBorders>
          </w:tcPr>
          <w:p w14:paraId="6220E29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Descriptive recommendations for future research</w:t>
            </w:r>
          </w:p>
        </w:tc>
        <w:tc>
          <w:tcPr>
            <w:tcW w:w="1425" w:type="pct"/>
            <w:tcBorders>
              <w:left w:val="single" w:sz="4" w:space="0" w:color="auto"/>
            </w:tcBorders>
          </w:tcPr>
          <w:p w14:paraId="22A1EA6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should be justified.</w:t>
            </w:r>
          </w:p>
          <w:p w14:paraId="38AAAE6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There can be multiple reasonable alternative methods to study a research question.</w:t>
            </w:r>
          </w:p>
        </w:tc>
        <w:tc>
          <w:tcPr>
            <w:tcW w:w="2867" w:type="pct"/>
            <w:tcBorders>
              <w:left w:val="nil"/>
            </w:tcBorders>
          </w:tcPr>
          <w:p w14:paraId="06F0E98E"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Sam (Literature review): “Regarding the discovery of new readthrough agents, the luciferase assay </w:t>
            </w:r>
            <w:r w:rsidRPr="004035B4">
              <w:rPr>
                <w:rFonts w:ascii="STIX Two Text" w:hAnsi="STIX Two Text"/>
                <w:sz w:val="16"/>
                <w:szCs w:val="16"/>
                <w:u w:val="single"/>
              </w:rPr>
              <w:t>can be</w:t>
            </w:r>
            <w:r w:rsidRPr="004035B4">
              <w:rPr>
                <w:rFonts w:ascii="STIX Two Text" w:hAnsi="STIX Two Text"/>
                <w:sz w:val="16"/>
                <w:szCs w:val="16"/>
              </w:rPr>
              <w:t xml:space="preserve"> used to perform large screenings. By introducing a PTC in a luciferase gene readthrough </w:t>
            </w:r>
            <w:r w:rsidRPr="004035B4">
              <w:rPr>
                <w:rFonts w:ascii="STIX Two Text" w:hAnsi="STIX Two Text"/>
                <w:sz w:val="16"/>
                <w:szCs w:val="16"/>
                <w:u w:val="single"/>
              </w:rPr>
              <w:t>can be</w:t>
            </w:r>
            <w:r w:rsidRPr="004035B4">
              <w:rPr>
                <w:rFonts w:ascii="STIX Two Text" w:hAnsi="STIX Two Text"/>
                <w:sz w:val="16"/>
                <w:szCs w:val="16"/>
              </w:rPr>
              <w:t xml:space="preserve"> measured. If there is an increase in bioluminescence, there is also an increase in readthrough.”</w:t>
            </w:r>
          </w:p>
        </w:tc>
      </w:tr>
      <w:tr w:rsidR="004035B4" w:rsidRPr="004035B4" w14:paraId="3BEB78A3" w14:textId="77777777" w:rsidTr="004A0440">
        <w:tc>
          <w:tcPr>
            <w:tcW w:w="708" w:type="pct"/>
            <w:vMerge w:val="restart"/>
            <w:tcBorders>
              <w:right w:val="single" w:sz="4" w:space="0" w:color="auto"/>
            </w:tcBorders>
          </w:tcPr>
          <w:p w14:paraId="2714C02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Emphasizing protocols and objective measurements</w:t>
            </w:r>
          </w:p>
        </w:tc>
        <w:tc>
          <w:tcPr>
            <w:tcW w:w="1425" w:type="pct"/>
            <w:vMerge w:val="restart"/>
            <w:tcBorders>
              <w:left w:val="single" w:sz="4" w:space="0" w:color="auto"/>
            </w:tcBorders>
          </w:tcPr>
          <w:p w14:paraId="621C52C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Methodological choices speak for themselves.</w:t>
            </w:r>
          </w:p>
          <w:p w14:paraId="739FDE53"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Protocols increase reliability of scientific research.</w:t>
            </w:r>
          </w:p>
          <w:p w14:paraId="57210E09"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Methodological choices are value-free.</w:t>
            </w:r>
          </w:p>
          <w:p w14:paraId="2A246116"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Observations can and must be truly objective.</w:t>
            </w:r>
          </w:p>
          <w:p w14:paraId="50AD5F7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Research results and scientific theories should be conclusive.</w:t>
            </w:r>
          </w:p>
          <w:p w14:paraId="2633FCDF"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Scientific claims are or should be conclusive.</w:t>
            </w:r>
          </w:p>
        </w:tc>
        <w:tc>
          <w:tcPr>
            <w:tcW w:w="2867" w:type="pct"/>
            <w:tcBorders>
              <w:left w:val="nil"/>
            </w:tcBorders>
          </w:tcPr>
          <w:p w14:paraId="3378CA0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(Introduction &amp; Discussion) emphasized the necessity of clear protocols. They used this as a justification for the aim of their thesis—optimizing a protocol—and noted the need for a reliable model.</w:t>
            </w:r>
          </w:p>
        </w:tc>
      </w:tr>
      <w:tr w:rsidR="004035B4" w:rsidRPr="004035B4" w14:paraId="4F679E57" w14:textId="77777777" w:rsidTr="004A0440">
        <w:tc>
          <w:tcPr>
            <w:tcW w:w="708" w:type="pct"/>
            <w:vMerge/>
            <w:tcBorders>
              <w:right w:val="single" w:sz="4" w:space="0" w:color="auto"/>
            </w:tcBorders>
          </w:tcPr>
          <w:p w14:paraId="537FD5FD"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A411D67" w14:textId="77777777" w:rsidR="004035B4" w:rsidRPr="004035B4" w:rsidRDefault="004035B4" w:rsidP="000908CC">
            <w:pPr>
              <w:rPr>
                <w:rFonts w:ascii="STIX Two Text" w:hAnsi="STIX Two Text"/>
                <w:sz w:val="16"/>
                <w:szCs w:val="16"/>
              </w:rPr>
            </w:pPr>
          </w:p>
        </w:tc>
        <w:tc>
          <w:tcPr>
            <w:tcW w:w="2867" w:type="pct"/>
            <w:tcBorders>
              <w:left w:val="nil"/>
            </w:tcBorders>
          </w:tcPr>
          <w:p w14:paraId="5F11F818"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writes several times that the research community should reach consensus about the cut-off values for determining whether a patient has a methylated genetic region of interest or not. They write that this will lead to better insights and that it can aid clinical decision-making. For example (General Discussion): “Tumor heterogeneity </w:t>
            </w:r>
            <w:r w:rsidRPr="004035B4">
              <w:rPr>
                <w:rFonts w:ascii="STIX Two Text" w:hAnsi="STIX Two Text"/>
                <w:b/>
                <w:bCs/>
                <w:sz w:val="16"/>
                <w:szCs w:val="16"/>
              </w:rPr>
              <w:t>highlights</w:t>
            </w:r>
            <w:r w:rsidRPr="004035B4">
              <w:rPr>
                <w:rFonts w:ascii="STIX Two Text" w:hAnsi="STIX Two Text"/>
                <w:sz w:val="16"/>
                <w:szCs w:val="16"/>
              </w:rPr>
              <w:t xml:space="preserve"> the </w:t>
            </w:r>
            <w:r w:rsidRPr="004035B4">
              <w:rPr>
                <w:rFonts w:ascii="STIX Two Text" w:hAnsi="STIX Two Text"/>
                <w:b/>
                <w:bCs/>
                <w:sz w:val="16"/>
                <w:szCs w:val="16"/>
              </w:rPr>
              <w:t>importance</w:t>
            </w:r>
            <w:r w:rsidRPr="004035B4">
              <w:rPr>
                <w:rFonts w:ascii="STIX Two Text" w:hAnsi="STIX Two Text"/>
                <w:sz w:val="16"/>
                <w:szCs w:val="16"/>
              </w:rPr>
              <w:t xml:space="preserve"> of establishing </w:t>
            </w:r>
            <w:r w:rsidRPr="004035B4">
              <w:rPr>
                <w:rFonts w:ascii="STIX Two Text" w:hAnsi="STIX Two Text"/>
                <w:b/>
                <w:bCs/>
                <w:sz w:val="16"/>
                <w:szCs w:val="16"/>
              </w:rPr>
              <w:t>proper</w:t>
            </w:r>
            <w:r w:rsidRPr="004035B4">
              <w:rPr>
                <w:rFonts w:ascii="STIX Two Text" w:hAnsi="STIX Two Text"/>
                <w:sz w:val="16"/>
                <w:szCs w:val="16"/>
              </w:rPr>
              <w:t xml:space="preserve"> clinical cut-off values used to interpret and dichotomize results from methylation-specific assays.”</w:t>
            </w:r>
          </w:p>
        </w:tc>
      </w:tr>
      <w:tr w:rsidR="004035B4" w:rsidRPr="004035B4" w14:paraId="03BA1D4A" w14:textId="77777777" w:rsidTr="004A0440">
        <w:tc>
          <w:tcPr>
            <w:tcW w:w="5000" w:type="pct"/>
            <w:gridSpan w:val="3"/>
          </w:tcPr>
          <w:p w14:paraId="55323F7A" w14:textId="77777777" w:rsidR="004035B4" w:rsidRPr="004035B4" w:rsidRDefault="004035B4" w:rsidP="000908CC">
            <w:pPr>
              <w:rPr>
                <w:rFonts w:ascii="STIX Two Text" w:hAnsi="STIX Two Text"/>
                <w:b/>
                <w:bCs/>
                <w:sz w:val="16"/>
                <w:szCs w:val="16"/>
              </w:rPr>
            </w:pPr>
            <w:r w:rsidRPr="004035B4">
              <w:rPr>
                <w:rFonts w:ascii="STIX Two Text" w:hAnsi="STIX Two Text"/>
                <w:b/>
                <w:bCs/>
                <w:sz w:val="16"/>
                <w:szCs w:val="16"/>
              </w:rPr>
              <w:t>Reporting statistics</w:t>
            </w:r>
          </w:p>
        </w:tc>
      </w:tr>
      <w:tr w:rsidR="004035B4" w:rsidRPr="004035B4" w14:paraId="57958AFC" w14:textId="77777777" w:rsidTr="004A0440">
        <w:tc>
          <w:tcPr>
            <w:tcW w:w="708" w:type="pct"/>
            <w:vMerge w:val="restart"/>
            <w:tcBorders>
              <w:right w:val="single" w:sz="4" w:space="0" w:color="auto"/>
            </w:tcBorders>
          </w:tcPr>
          <w:p w14:paraId="16025DE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Reporting statistics without measures of spread</w:t>
            </w:r>
          </w:p>
        </w:tc>
        <w:tc>
          <w:tcPr>
            <w:tcW w:w="1425" w:type="pct"/>
            <w:vMerge w:val="restart"/>
            <w:tcBorders>
              <w:left w:val="single" w:sz="4" w:space="0" w:color="auto"/>
            </w:tcBorders>
          </w:tcPr>
          <w:p w14:paraId="73DA0FDB"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speak for themselves.</w:t>
            </w:r>
          </w:p>
          <w:p w14:paraId="0F9F3EB2"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A single statistic, without measures of spread or confidence, is sufficient for supporting claims about a population.</w:t>
            </w:r>
          </w:p>
          <w:p w14:paraId="6B34E8FC"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Statistics are self-evident.</w:t>
            </w:r>
          </w:p>
        </w:tc>
        <w:tc>
          <w:tcPr>
            <w:tcW w:w="2867" w:type="pct"/>
            <w:tcBorders>
              <w:left w:val="nil"/>
            </w:tcBorders>
          </w:tcPr>
          <w:p w14:paraId="67DAFFD5" w14:textId="77777777" w:rsidR="004035B4" w:rsidRPr="004035B4" w:rsidRDefault="004035B4" w:rsidP="000908CC">
            <w:pPr>
              <w:rPr>
                <w:rFonts w:ascii="STIX Two Text" w:hAnsi="STIX Two Text"/>
                <w:sz w:val="16"/>
                <w:szCs w:val="16"/>
              </w:rPr>
            </w:pPr>
            <w:r w:rsidRPr="004035B4">
              <w:rPr>
                <w:rFonts w:ascii="STIX Two Text" w:hAnsi="STIX Two Text"/>
                <w:color w:val="000000" w:themeColor="text1"/>
                <w:sz w:val="16"/>
                <w:szCs w:val="16"/>
              </w:rPr>
              <w:t>Luca (Results &amp; Analysis) only reported the mean value of patient characteristics, without measures of spread (e.g., quote 2). In Luca’s scatter plots, there is considerable variation, but this is not discussed.</w:t>
            </w:r>
          </w:p>
        </w:tc>
      </w:tr>
      <w:tr w:rsidR="004035B4" w:rsidRPr="004035B4" w14:paraId="24C347A2" w14:textId="77777777" w:rsidTr="004A0440">
        <w:tc>
          <w:tcPr>
            <w:tcW w:w="708" w:type="pct"/>
            <w:vMerge/>
            <w:tcBorders>
              <w:right w:val="single" w:sz="4" w:space="0" w:color="auto"/>
            </w:tcBorders>
          </w:tcPr>
          <w:p w14:paraId="1F01C203"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217CA61D" w14:textId="77777777" w:rsidR="004035B4" w:rsidRPr="004035B4" w:rsidRDefault="004035B4" w:rsidP="000908CC">
            <w:pPr>
              <w:rPr>
                <w:rFonts w:ascii="STIX Two Text" w:hAnsi="STIX Two Text"/>
                <w:sz w:val="16"/>
                <w:szCs w:val="16"/>
              </w:rPr>
            </w:pPr>
          </w:p>
        </w:tc>
        <w:tc>
          <w:tcPr>
            <w:tcW w:w="2867" w:type="pct"/>
            <w:tcBorders>
              <w:left w:val="nil"/>
            </w:tcBorders>
          </w:tcPr>
          <w:p w14:paraId="45FD62C7" w14:textId="77777777" w:rsidR="004035B4" w:rsidRPr="004035B4" w:rsidRDefault="004035B4" w:rsidP="000908CC">
            <w:pPr>
              <w:rPr>
                <w:rFonts w:ascii="STIX Two Text" w:hAnsi="STIX Two Text"/>
                <w:color w:val="00B050"/>
                <w:sz w:val="16"/>
                <w:szCs w:val="16"/>
              </w:rPr>
            </w:pPr>
            <w:r w:rsidRPr="004035B4">
              <w:rPr>
                <w:rFonts w:ascii="STIX Two Text" w:hAnsi="STIX Two Text"/>
                <w:color w:val="000000" w:themeColor="text1"/>
                <w:sz w:val="16"/>
                <w:szCs w:val="16"/>
              </w:rPr>
              <w:t>Robin (Results) only reported Kappa values and survival analysis log ranks without confidence intervals.</w:t>
            </w:r>
          </w:p>
        </w:tc>
      </w:tr>
      <w:tr w:rsidR="004035B4" w:rsidRPr="004035B4" w14:paraId="0AC0163B" w14:textId="77777777" w:rsidTr="004A0440">
        <w:tc>
          <w:tcPr>
            <w:tcW w:w="708" w:type="pct"/>
            <w:tcBorders>
              <w:right w:val="single" w:sz="4" w:space="0" w:color="auto"/>
            </w:tcBorders>
          </w:tcPr>
          <w:p w14:paraId="729FD56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Reporting statistics with measures of spread</w:t>
            </w:r>
          </w:p>
        </w:tc>
        <w:tc>
          <w:tcPr>
            <w:tcW w:w="1425" w:type="pct"/>
            <w:tcBorders>
              <w:left w:val="single" w:sz="4" w:space="0" w:color="auto"/>
            </w:tcBorders>
          </w:tcPr>
          <w:p w14:paraId="78CBFD61"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44C46E65"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Measures of spread are necessary to interpret statistics.</w:t>
            </w:r>
          </w:p>
          <w:p w14:paraId="3ECBF1C8"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Data can be interpreted multiple ways.</w:t>
            </w:r>
          </w:p>
        </w:tc>
        <w:tc>
          <w:tcPr>
            <w:tcW w:w="2867" w:type="pct"/>
            <w:tcBorders>
              <w:left w:val="nil"/>
            </w:tcBorders>
          </w:tcPr>
          <w:p w14:paraId="31075E5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(Results): “The mean overall survival was 23.5 months (SD 22.3 months, range 3-125 months).”</w:t>
            </w:r>
          </w:p>
          <w:p w14:paraId="02BC3EC1" w14:textId="77777777" w:rsidR="004035B4" w:rsidRPr="004035B4" w:rsidRDefault="004035B4" w:rsidP="000908CC">
            <w:pPr>
              <w:rPr>
                <w:rFonts w:ascii="STIX Two Text" w:hAnsi="STIX Two Text"/>
                <w:sz w:val="16"/>
                <w:szCs w:val="16"/>
              </w:rPr>
            </w:pPr>
          </w:p>
        </w:tc>
      </w:tr>
      <w:tr w:rsidR="004035B4" w:rsidRPr="004035B4" w14:paraId="603E607E" w14:textId="77777777" w:rsidTr="004A0440">
        <w:tc>
          <w:tcPr>
            <w:tcW w:w="708" w:type="pct"/>
            <w:vMerge w:val="restart"/>
            <w:tcBorders>
              <w:right w:val="single" w:sz="4" w:space="0" w:color="auto"/>
            </w:tcBorders>
          </w:tcPr>
          <w:p w14:paraId="06219E0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Not discussing clinical or biological relevance</w:t>
            </w:r>
          </w:p>
        </w:tc>
        <w:tc>
          <w:tcPr>
            <w:tcW w:w="1425" w:type="pct"/>
            <w:vMerge w:val="restart"/>
            <w:tcBorders>
              <w:left w:val="single" w:sz="4" w:space="0" w:color="auto"/>
            </w:tcBorders>
          </w:tcPr>
          <w:p w14:paraId="52B8D6D7"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speak for themselves.</w:t>
            </w:r>
          </w:p>
          <w:p w14:paraId="1816D24C"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Statistics are self-evident.</w:t>
            </w:r>
          </w:p>
          <w:p w14:paraId="3E8E788A"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Statistically significant differences are also relevant.</w:t>
            </w:r>
          </w:p>
          <w:p w14:paraId="7AB3122F"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Statistical outcome measures are representative of or identical to the phenomenon of interest.</w:t>
            </w:r>
          </w:p>
        </w:tc>
        <w:tc>
          <w:tcPr>
            <w:tcW w:w="2867" w:type="pct"/>
            <w:tcBorders>
              <w:left w:val="nil"/>
            </w:tcBorders>
          </w:tcPr>
          <w:p w14:paraId="42CD7CE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(Results) visually assessed the differences in size of cell clusters and size of Western Blot bands between different conditions.</w:t>
            </w:r>
          </w:p>
        </w:tc>
      </w:tr>
      <w:tr w:rsidR="004035B4" w:rsidRPr="004035B4" w14:paraId="42BE5B24" w14:textId="77777777" w:rsidTr="004A0440">
        <w:tc>
          <w:tcPr>
            <w:tcW w:w="708" w:type="pct"/>
            <w:vMerge/>
            <w:tcBorders>
              <w:right w:val="single" w:sz="4" w:space="0" w:color="auto"/>
            </w:tcBorders>
          </w:tcPr>
          <w:p w14:paraId="5408BE27"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E73CC16" w14:textId="77777777" w:rsidR="004035B4" w:rsidRPr="004035B4" w:rsidRDefault="004035B4" w:rsidP="000908CC">
            <w:pPr>
              <w:pStyle w:val="ListParagraph"/>
              <w:numPr>
                <w:ilvl w:val="0"/>
                <w:numId w:val="2"/>
              </w:numPr>
              <w:rPr>
                <w:rFonts w:ascii="STIX Two Text" w:hAnsi="STIX Two Text"/>
                <w:sz w:val="16"/>
                <w:szCs w:val="16"/>
              </w:rPr>
            </w:pPr>
          </w:p>
        </w:tc>
        <w:tc>
          <w:tcPr>
            <w:tcW w:w="2867" w:type="pct"/>
            <w:tcBorders>
              <w:left w:val="nil"/>
            </w:tcBorders>
          </w:tcPr>
          <w:p w14:paraId="6B6953B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(Results) visually assessed the differences in areas under the curve (AUC) between different conditions.</w:t>
            </w:r>
          </w:p>
        </w:tc>
      </w:tr>
      <w:tr w:rsidR="004035B4" w:rsidRPr="004035B4" w14:paraId="08B11A1E" w14:textId="77777777" w:rsidTr="004A0440">
        <w:tc>
          <w:tcPr>
            <w:tcW w:w="708" w:type="pct"/>
            <w:vMerge/>
            <w:tcBorders>
              <w:right w:val="single" w:sz="4" w:space="0" w:color="auto"/>
            </w:tcBorders>
          </w:tcPr>
          <w:p w14:paraId="1BBB5A0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D7AAD17" w14:textId="77777777" w:rsidR="004035B4" w:rsidRPr="004035B4" w:rsidRDefault="004035B4" w:rsidP="000908CC">
            <w:pPr>
              <w:pStyle w:val="ListParagraph"/>
              <w:numPr>
                <w:ilvl w:val="0"/>
                <w:numId w:val="2"/>
              </w:numPr>
              <w:rPr>
                <w:rFonts w:ascii="STIX Two Text" w:hAnsi="STIX Two Text"/>
                <w:sz w:val="16"/>
                <w:szCs w:val="16"/>
              </w:rPr>
            </w:pPr>
          </w:p>
        </w:tc>
        <w:tc>
          <w:tcPr>
            <w:tcW w:w="2867" w:type="pct"/>
            <w:tcBorders>
              <w:left w:val="nil"/>
            </w:tcBorders>
          </w:tcPr>
          <w:p w14:paraId="664F3BA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(Results) found correlations of 0.7 or higher, usually considered a strong correlation </w:t>
            </w:r>
            <w:sdt>
              <w:sdtPr>
                <w:rPr>
                  <w:rFonts w:ascii="STIX Two Text" w:hAnsi="STIX Two Text"/>
                  <w:color w:val="000000"/>
                  <w:sz w:val="16"/>
                  <w:szCs w:val="16"/>
                </w:rPr>
                <w:tag w:val="MENDELEY_CITATION_v3_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"/>
                <w:id w:val="48269263"/>
                <w:placeholder>
                  <w:docPart w:val="8CF7519788F1754BA8AA289C67F05831"/>
                </w:placeholder>
              </w:sdtPr>
              <w:sdtEndPr/>
              <w:sdtContent>
                <w:r w:rsidRPr="004035B4">
                  <w:rPr>
                    <w:rFonts w:ascii="STIX Two Text" w:hAnsi="STIX Two Text"/>
                    <w:color w:val="000000"/>
                    <w:sz w:val="16"/>
                    <w:szCs w:val="16"/>
                  </w:rPr>
                  <w:t>(Cohen, 1988)</w:t>
                </w:r>
              </w:sdtContent>
            </w:sdt>
            <w:r w:rsidRPr="004035B4">
              <w:rPr>
                <w:rFonts w:ascii="STIX Two Text" w:hAnsi="STIX Two Text"/>
                <w:sz w:val="16"/>
                <w:szCs w:val="16"/>
              </w:rPr>
              <w:t>. However, they only noted which was highest and which lowest without interpreting their importance for identifying the best assay.</w:t>
            </w:r>
          </w:p>
        </w:tc>
      </w:tr>
      <w:tr w:rsidR="004035B4" w:rsidRPr="004035B4" w14:paraId="0C655B99" w14:textId="77777777" w:rsidTr="004A0440">
        <w:tc>
          <w:tcPr>
            <w:tcW w:w="708" w:type="pct"/>
            <w:vMerge/>
            <w:tcBorders>
              <w:right w:val="single" w:sz="4" w:space="0" w:color="auto"/>
            </w:tcBorders>
          </w:tcPr>
          <w:p w14:paraId="0D43A234"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76B26C4B" w14:textId="77777777" w:rsidR="004035B4" w:rsidRPr="004035B4" w:rsidRDefault="004035B4" w:rsidP="000908CC">
            <w:pPr>
              <w:rPr>
                <w:rFonts w:ascii="STIX Two Text" w:hAnsi="STIX Two Text"/>
                <w:sz w:val="16"/>
                <w:szCs w:val="16"/>
              </w:rPr>
            </w:pPr>
          </w:p>
        </w:tc>
        <w:tc>
          <w:tcPr>
            <w:tcW w:w="2867" w:type="pct"/>
            <w:tcBorders>
              <w:left w:val="nil"/>
            </w:tcBorders>
          </w:tcPr>
          <w:p w14:paraId="35F17D6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does not explain what an increase in the area under the curve means for the biological processes it represents.</w:t>
            </w:r>
          </w:p>
        </w:tc>
      </w:tr>
      <w:tr w:rsidR="004035B4" w:rsidRPr="004035B4" w14:paraId="5F6FB282" w14:textId="77777777" w:rsidTr="004A0440">
        <w:tc>
          <w:tcPr>
            <w:tcW w:w="708" w:type="pct"/>
            <w:vMerge/>
            <w:tcBorders>
              <w:right w:val="single" w:sz="4" w:space="0" w:color="auto"/>
            </w:tcBorders>
          </w:tcPr>
          <w:p w14:paraId="2777BB60"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375C0D98" w14:textId="77777777" w:rsidR="004035B4" w:rsidRPr="004035B4" w:rsidRDefault="004035B4" w:rsidP="000908CC">
            <w:pPr>
              <w:rPr>
                <w:rFonts w:ascii="STIX Two Text" w:hAnsi="STIX Two Text"/>
                <w:sz w:val="16"/>
                <w:szCs w:val="16"/>
              </w:rPr>
            </w:pPr>
          </w:p>
        </w:tc>
        <w:tc>
          <w:tcPr>
            <w:tcW w:w="2867" w:type="pct"/>
            <w:tcBorders>
              <w:left w:val="nil"/>
            </w:tcBorders>
          </w:tcPr>
          <w:p w14:paraId="6182512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 xml:space="preserve">Robin (Results): “All [assays] were able to distinguish two groups with significantly different overall survival curves … Survival curves were best separated with [assay 5] (log rank p&lt;0.0001), [assay 2 with] probes 3 and 5 (log rank </w:t>
            </w:r>
            <w:r w:rsidRPr="004035B4">
              <w:rPr>
                <w:rFonts w:ascii="STIX Two Text" w:hAnsi="STIX Two Text"/>
                <w:sz w:val="16"/>
                <w:szCs w:val="16"/>
              </w:rPr>
              <w:lastRenderedPageBreak/>
              <w:t>p=0.0003), and [assay 1] (log rank p=0.0004). [Assay 4] showed the lowest separation between both survival curves (log rank p=0.0244).”</w:t>
            </w:r>
          </w:p>
        </w:tc>
      </w:tr>
      <w:tr w:rsidR="004035B4" w:rsidRPr="004035B4" w14:paraId="0A0A3DEB" w14:textId="77777777" w:rsidTr="004A0440">
        <w:tc>
          <w:tcPr>
            <w:tcW w:w="708" w:type="pct"/>
            <w:vMerge w:val="restart"/>
            <w:tcBorders>
              <w:right w:val="single" w:sz="4" w:space="0" w:color="auto"/>
            </w:tcBorders>
          </w:tcPr>
          <w:p w14:paraId="5B201CA9"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lastRenderedPageBreak/>
              <w:t>Discussing clinical or biological relevance</w:t>
            </w:r>
          </w:p>
        </w:tc>
        <w:tc>
          <w:tcPr>
            <w:tcW w:w="1425" w:type="pct"/>
            <w:vMerge w:val="restart"/>
            <w:tcBorders>
              <w:left w:val="single" w:sz="4" w:space="0" w:color="auto"/>
            </w:tcBorders>
          </w:tcPr>
          <w:p w14:paraId="79F86DC3"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Data require interpretation by researchers.</w:t>
            </w:r>
          </w:p>
          <w:p w14:paraId="4A97C108"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Statistics require interpretation.</w:t>
            </w:r>
          </w:p>
          <w:p w14:paraId="3AD53F07"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The epistemic status of scientific claims is reliant on multiple factors.</w:t>
            </w:r>
          </w:p>
          <w:p w14:paraId="21DFB155" w14:textId="77777777" w:rsidR="004035B4" w:rsidRPr="004035B4" w:rsidRDefault="004035B4" w:rsidP="000908CC">
            <w:pPr>
              <w:pStyle w:val="ListParagraph"/>
              <w:numPr>
                <w:ilvl w:val="0"/>
                <w:numId w:val="2"/>
              </w:numPr>
              <w:rPr>
                <w:rFonts w:ascii="STIX Two Text" w:hAnsi="STIX Two Text"/>
                <w:sz w:val="16"/>
                <w:szCs w:val="16"/>
              </w:rPr>
            </w:pPr>
            <w:r w:rsidRPr="004035B4">
              <w:rPr>
                <w:rFonts w:ascii="STIX Two Text" w:hAnsi="STIX Two Text"/>
                <w:sz w:val="16"/>
                <w:szCs w:val="16"/>
              </w:rPr>
              <w:t>Statistical outcome measures might not be representative of or identical to the phenomenon of interest.</w:t>
            </w:r>
          </w:p>
        </w:tc>
        <w:tc>
          <w:tcPr>
            <w:tcW w:w="2867" w:type="pct"/>
            <w:tcBorders>
              <w:left w:val="nil"/>
            </w:tcBorders>
          </w:tcPr>
          <w:p w14:paraId="1DA2CFC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Robin’s thesis focused on identifying the best assay for determining methylation status of a specific region in the genome. They reported two measures of degree of agreement between sets of assays and did a survival analysis to see which assay could best discern differences in survival between methylated and non-methylated patients. In their discussion section, they discussed the relevance of the results to determine which assay performed best. Robin related the statistical results to prior literature, explained why better performance of some assays could be explained by biological processes and test procedures, and discussed costs of implementing the assays in the clinic.</w:t>
            </w:r>
          </w:p>
        </w:tc>
      </w:tr>
      <w:tr w:rsidR="004035B4" w:rsidRPr="004035B4" w14:paraId="3132613D" w14:textId="77777777" w:rsidTr="004A0440">
        <w:tc>
          <w:tcPr>
            <w:tcW w:w="708" w:type="pct"/>
            <w:vMerge/>
            <w:tcBorders>
              <w:right w:val="single" w:sz="4" w:space="0" w:color="auto"/>
            </w:tcBorders>
          </w:tcPr>
          <w:p w14:paraId="45F6296D"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FA01843" w14:textId="77777777" w:rsidR="004035B4" w:rsidRPr="004035B4" w:rsidRDefault="004035B4" w:rsidP="000908CC">
            <w:pPr>
              <w:pStyle w:val="ListParagraph"/>
              <w:numPr>
                <w:ilvl w:val="0"/>
                <w:numId w:val="2"/>
              </w:numPr>
              <w:rPr>
                <w:rFonts w:ascii="STIX Two Text" w:hAnsi="STIX Two Text"/>
                <w:sz w:val="16"/>
                <w:szCs w:val="16"/>
              </w:rPr>
            </w:pPr>
          </w:p>
        </w:tc>
        <w:tc>
          <w:tcPr>
            <w:tcW w:w="2867" w:type="pct"/>
            <w:tcBorders>
              <w:left w:val="nil"/>
            </w:tcBorders>
          </w:tcPr>
          <w:p w14:paraId="0BCF77C4"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(Conclusion and discussion): “Since methylation of the different probes is being averaged during analysis, the effect of [areas targeted by specific probes] that have been shown to be important for [regulation of the gene of interest] may be underestimated. … Exclusion of [assay 3] probes 3 and 6 resulted in more significant distinction between methylated and unmethylated [overall survival] and [progression free] curves. Indicating that probes 3 and 6 do not target relevant [areas] within the [gene of interest].”</w:t>
            </w:r>
          </w:p>
        </w:tc>
      </w:tr>
      <w:tr w:rsidR="004035B4" w:rsidRPr="004035B4" w14:paraId="26624F10" w14:textId="77777777" w:rsidTr="004A0440">
        <w:tc>
          <w:tcPr>
            <w:tcW w:w="708" w:type="pct"/>
            <w:vMerge/>
            <w:tcBorders>
              <w:right w:val="single" w:sz="4" w:space="0" w:color="auto"/>
            </w:tcBorders>
          </w:tcPr>
          <w:p w14:paraId="74C91C20"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248F5F4" w14:textId="77777777" w:rsidR="004035B4" w:rsidRPr="004035B4" w:rsidRDefault="004035B4" w:rsidP="000908CC">
            <w:pPr>
              <w:rPr>
                <w:rFonts w:ascii="STIX Two Text" w:hAnsi="STIX Two Text"/>
                <w:sz w:val="16"/>
                <w:szCs w:val="16"/>
              </w:rPr>
            </w:pPr>
          </w:p>
        </w:tc>
        <w:tc>
          <w:tcPr>
            <w:tcW w:w="2867" w:type="pct"/>
            <w:tcBorders>
              <w:left w:val="nil"/>
            </w:tcBorders>
          </w:tcPr>
          <w:p w14:paraId="241074E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“Compared to [assay 5], which also demonstrates good correlation with [treatment] response, [assay 1] is a relatively cheap and fast method.”</w:t>
            </w:r>
          </w:p>
        </w:tc>
      </w:tr>
      <w:tr w:rsidR="004035B4" w:rsidRPr="004035B4" w14:paraId="3A6CB817" w14:textId="77777777" w:rsidTr="004A0440">
        <w:tc>
          <w:tcPr>
            <w:tcW w:w="708" w:type="pct"/>
            <w:vMerge/>
            <w:tcBorders>
              <w:right w:val="single" w:sz="4" w:space="0" w:color="auto"/>
            </w:tcBorders>
          </w:tcPr>
          <w:p w14:paraId="247FDDAC"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867E68D" w14:textId="77777777" w:rsidR="004035B4" w:rsidRPr="004035B4" w:rsidRDefault="004035B4" w:rsidP="000908CC">
            <w:pPr>
              <w:rPr>
                <w:rFonts w:ascii="STIX Two Text" w:hAnsi="STIX Two Text"/>
                <w:sz w:val="16"/>
                <w:szCs w:val="16"/>
              </w:rPr>
            </w:pPr>
          </w:p>
        </w:tc>
        <w:tc>
          <w:tcPr>
            <w:tcW w:w="2867" w:type="pct"/>
            <w:tcBorders>
              <w:left w:val="nil"/>
            </w:tcBorders>
          </w:tcPr>
          <w:p w14:paraId="25048B9C"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“Additional fundamental research should be performed to gain better insight in the regulatory mechanisms of [the gene of interest], and their influence on [treatment] response, to improve the relevance of ... methylation status as [an indication] for guiding treatment in ... patients.”</w:t>
            </w:r>
          </w:p>
        </w:tc>
      </w:tr>
      <w:tr w:rsidR="004035B4" w:rsidRPr="004035B4" w14:paraId="4DAB7BA3" w14:textId="77777777" w:rsidTr="004A0440">
        <w:tc>
          <w:tcPr>
            <w:tcW w:w="708" w:type="pct"/>
            <w:vMerge/>
            <w:tcBorders>
              <w:right w:val="single" w:sz="4" w:space="0" w:color="auto"/>
            </w:tcBorders>
          </w:tcPr>
          <w:p w14:paraId="77DF0AB7"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42AB0FCF" w14:textId="77777777" w:rsidR="004035B4" w:rsidRPr="004035B4" w:rsidRDefault="004035B4" w:rsidP="000908CC">
            <w:pPr>
              <w:rPr>
                <w:rFonts w:ascii="STIX Two Text" w:hAnsi="STIX Two Text"/>
                <w:sz w:val="16"/>
                <w:szCs w:val="16"/>
              </w:rPr>
            </w:pPr>
          </w:p>
        </w:tc>
        <w:tc>
          <w:tcPr>
            <w:tcW w:w="2867" w:type="pct"/>
            <w:tcBorders>
              <w:left w:val="nil"/>
            </w:tcBorders>
          </w:tcPr>
          <w:p w14:paraId="378A3F4F"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Robin (General Discussion): “Furthermore, cut-off values do not acknowledge the potential role of clinically relevant individual [targeted areas] for [regulation of the gene of interest] and quantitative methylation differences.”</w:t>
            </w:r>
          </w:p>
        </w:tc>
      </w:tr>
      <w:tr w:rsidR="004035B4" w:rsidRPr="004035B4" w14:paraId="7597E9A6" w14:textId="77777777" w:rsidTr="004A0440">
        <w:tc>
          <w:tcPr>
            <w:tcW w:w="708" w:type="pct"/>
            <w:vMerge/>
            <w:tcBorders>
              <w:right w:val="single" w:sz="4" w:space="0" w:color="auto"/>
            </w:tcBorders>
          </w:tcPr>
          <w:p w14:paraId="46B2F00F"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59B0531A" w14:textId="77777777" w:rsidR="004035B4" w:rsidRPr="004035B4" w:rsidRDefault="004035B4" w:rsidP="000908CC">
            <w:pPr>
              <w:rPr>
                <w:rFonts w:ascii="STIX Two Text" w:hAnsi="STIX Two Text"/>
                <w:sz w:val="16"/>
                <w:szCs w:val="16"/>
              </w:rPr>
            </w:pPr>
          </w:p>
        </w:tc>
        <w:tc>
          <w:tcPr>
            <w:tcW w:w="2867" w:type="pct"/>
            <w:tcBorders>
              <w:left w:val="nil"/>
            </w:tcBorders>
          </w:tcPr>
          <w:p w14:paraId="5C70FC9D"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briefly addressed clinical relevance. They acknowledge that other factors than treatment effectivity are considered in the clinic, for example, patient friendliness of the treatment. However, they never weigh this against the size of the effect of treatment duration on treatment effectivity. So, although there is some room for clinically relevant factors, their impact on conclusions regarding treatment choice remains unclear.</w:t>
            </w:r>
          </w:p>
        </w:tc>
      </w:tr>
      <w:tr w:rsidR="004035B4" w:rsidRPr="004035B4" w14:paraId="1EED0E99" w14:textId="77777777" w:rsidTr="004A0440">
        <w:tc>
          <w:tcPr>
            <w:tcW w:w="708" w:type="pct"/>
            <w:vMerge/>
            <w:tcBorders>
              <w:right w:val="single" w:sz="4" w:space="0" w:color="auto"/>
            </w:tcBorders>
          </w:tcPr>
          <w:p w14:paraId="5FEB849B"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694B1F86" w14:textId="77777777" w:rsidR="004035B4" w:rsidRPr="004035B4" w:rsidRDefault="004035B4" w:rsidP="000908CC">
            <w:pPr>
              <w:rPr>
                <w:rFonts w:ascii="STIX Two Text" w:hAnsi="STIX Two Text"/>
                <w:sz w:val="16"/>
                <w:szCs w:val="16"/>
              </w:rPr>
            </w:pPr>
          </w:p>
        </w:tc>
        <w:tc>
          <w:tcPr>
            <w:tcW w:w="2867" w:type="pct"/>
            <w:tcBorders>
              <w:left w:val="nil"/>
            </w:tcBorders>
          </w:tcPr>
          <w:p w14:paraId="02054322"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Luca (Discussion): “Interestingly, the frame duration had an influence on the increase of the mean and minimum joint space width. Currently, knee joint distraction is applied for a period of six weeks. These results suggest that in case of severe joint space narrowing the framing should be extended to a longer period of time; as was done previously. However, the duration got shortened in order to improve patients [sic] friendliness of the treatment.”</w:t>
            </w:r>
          </w:p>
        </w:tc>
      </w:tr>
      <w:tr w:rsidR="004035B4" w:rsidRPr="004035B4" w14:paraId="2E3EE096" w14:textId="77777777" w:rsidTr="004A0440">
        <w:tc>
          <w:tcPr>
            <w:tcW w:w="708" w:type="pct"/>
            <w:vMerge/>
            <w:tcBorders>
              <w:right w:val="single" w:sz="4" w:space="0" w:color="auto"/>
            </w:tcBorders>
          </w:tcPr>
          <w:p w14:paraId="0755D39D"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2A3D1DB" w14:textId="77777777" w:rsidR="004035B4" w:rsidRPr="004035B4" w:rsidRDefault="004035B4" w:rsidP="000908CC">
            <w:pPr>
              <w:rPr>
                <w:rFonts w:ascii="STIX Two Text" w:hAnsi="STIX Two Text"/>
                <w:sz w:val="16"/>
                <w:szCs w:val="16"/>
              </w:rPr>
            </w:pPr>
          </w:p>
        </w:tc>
        <w:tc>
          <w:tcPr>
            <w:tcW w:w="2867" w:type="pct"/>
            <w:tcBorders>
              <w:left w:val="nil"/>
            </w:tcBorders>
          </w:tcPr>
          <w:p w14:paraId="61B66B4A"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Marijn did not discuss whether the difference found is substantial enough to be relevant in explaining memory B-cell reactivation.</w:t>
            </w:r>
          </w:p>
        </w:tc>
      </w:tr>
      <w:tr w:rsidR="004035B4" w:rsidRPr="004035B4" w14:paraId="1AB0CC02" w14:textId="77777777" w:rsidTr="004A0440">
        <w:tc>
          <w:tcPr>
            <w:tcW w:w="708" w:type="pct"/>
            <w:vMerge/>
            <w:tcBorders>
              <w:right w:val="single" w:sz="4" w:space="0" w:color="auto"/>
            </w:tcBorders>
          </w:tcPr>
          <w:p w14:paraId="3D3A97C9" w14:textId="77777777" w:rsidR="004035B4" w:rsidRPr="004035B4" w:rsidRDefault="004035B4" w:rsidP="000908CC">
            <w:pPr>
              <w:rPr>
                <w:rFonts w:ascii="STIX Two Text" w:hAnsi="STIX Two Text"/>
                <w:sz w:val="16"/>
                <w:szCs w:val="16"/>
              </w:rPr>
            </w:pPr>
          </w:p>
        </w:tc>
        <w:tc>
          <w:tcPr>
            <w:tcW w:w="1425" w:type="pct"/>
            <w:vMerge/>
            <w:tcBorders>
              <w:left w:val="single" w:sz="4" w:space="0" w:color="auto"/>
            </w:tcBorders>
          </w:tcPr>
          <w:p w14:paraId="0BDDC3D4" w14:textId="77777777" w:rsidR="004035B4" w:rsidRPr="004035B4" w:rsidRDefault="004035B4" w:rsidP="000908CC">
            <w:pPr>
              <w:rPr>
                <w:rFonts w:ascii="STIX Two Text" w:hAnsi="STIX Two Text"/>
                <w:sz w:val="16"/>
                <w:szCs w:val="16"/>
              </w:rPr>
            </w:pPr>
          </w:p>
        </w:tc>
        <w:tc>
          <w:tcPr>
            <w:tcW w:w="2867" w:type="pct"/>
            <w:tcBorders>
              <w:left w:val="nil"/>
            </w:tcBorders>
          </w:tcPr>
          <w:p w14:paraId="55AE4C45" w14:textId="77777777" w:rsidR="004035B4" w:rsidRPr="004035B4" w:rsidRDefault="004035B4" w:rsidP="000908CC">
            <w:pPr>
              <w:rPr>
                <w:rFonts w:ascii="STIX Two Text" w:hAnsi="STIX Two Text"/>
                <w:sz w:val="16"/>
                <w:szCs w:val="16"/>
              </w:rPr>
            </w:pPr>
            <w:r w:rsidRPr="004035B4">
              <w:rPr>
                <w:rFonts w:ascii="STIX Two Text" w:hAnsi="STIX Two Text"/>
                <w:sz w:val="16"/>
                <w:szCs w:val="16"/>
              </w:rPr>
              <w:t>Sam did not discuss whether the difference found is substantial enough to be relevant in explaining translational readthrough processes.</w:t>
            </w:r>
          </w:p>
        </w:tc>
      </w:tr>
    </w:tbl>
    <w:p w14:paraId="0B8F3382" w14:textId="77777777" w:rsidR="004035B4" w:rsidRPr="004035B4" w:rsidRDefault="004035B4" w:rsidP="004035B4">
      <w:pPr>
        <w:suppressAutoHyphens/>
        <w:rPr>
          <w:rFonts w:ascii="STIX Two Text" w:hAnsi="STIX Two Text"/>
          <w:sz w:val="16"/>
          <w:szCs w:val="16"/>
        </w:rPr>
      </w:pPr>
    </w:p>
    <w:p w14:paraId="6B15E700" w14:textId="77777777" w:rsidR="004035B4" w:rsidRPr="004035B4" w:rsidRDefault="004035B4">
      <w:pPr>
        <w:rPr>
          <w:rFonts w:ascii="STIX Two Text" w:hAnsi="STIX Two Text"/>
          <w:sz w:val="16"/>
          <w:szCs w:val="16"/>
        </w:rPr>
      </w:pPr>
    </w:p>
    <w:sectPr w:rsidR="004035B4" w:rsidRPr="004035B4" w:rsidSect="004035B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6E38A" w14:textId="77777777" w:rsidR="00FA1BD5" w:rsidRDefault="00FA1BD5" w:rsidP="004035B4">
      <w:r>
        <w:separator/>
      </w:r>
    </w:p>
  </w:endnote>
  <w:endnote w:type="continuationSeparator" w:id="0">
    <w:p w14:paraId="10B9FB37" w14:textId="77777777" w:rsidR="00FA1BD5" w:rsidRDefault="00FA1BD5" w:rsidP="0040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altName w:val="Calibri"/>
    <w:panose1 w:val="020B0604020202020204"/>
    <w:charset w:val="00"/>
    <w:family w:val="roman"/>
    <w:notTrueType/>
    <w:pitch w:val="default"/>
  </w:font>
  <w:font w:name="Noto Sans Devanagari">
    <w:altName w:val="Cambria"/>
    <w:panose1 w:val="020B0604020202020204"/>
    <w:charset w:val="00"/>
    <w:family w:val="swiss"/>
    <w:pitch w:val="variable"/>
    <w:sig w:usb0="80008023" w:usb1="00002046" w:usb2="00000000" w:usb3="00000000" w:csb0="00000001" w:csb1="00000000"/>
  </w:font>
  <w:font w:name="STIX Two Text">
    <w:panose1 w:val="00000000000000000000"/>
    <w:charset w:val="00"/>
    <w:family w:val="auto"/>
    <w:pitch w:val="variable"/>
    <w:sig w:usb0="A00002FF" w:usb1="0000001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0428251"/>
      <w:docPartObj>
        <w:docPartGallery w:val="Page Numbers (Bottom of Page)"/>
        <w:docPartUnique/>
      </w:docPartObj>
    </w:sdtPr>
    <w:sdtEndPr>
      <w:rPr>
        <w:rStyle w:val="PageNumber"/>
      </w:rPr>
    </w:sdtEndPr>
    <w:sdtContent>
      <w:p w14:paraId="6262617C" w14:textId="64693FDA" w:rsidR="004035B4" w:rsidRDefault="004035B4" w:rsidP="00B744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549844" w14:textId="77777777" w:rsidR="004035B4" w:rsidRDefault="004035B4" w:rsidP="00B7448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854764836"/>
      <w:docPartObj>
        <w:docPartGallery w:val="Page Numbers (Bottom of Page)"/>
        <w:docPartUnique/>
      </w:docPartObj>
    </w:sdtPr>
    <w:sdtEndPr>
      <w:rPr>
        <w:rStyle w:val="PageNumber"/>
      </w:rPr>
    </w:sdtEndPr>
    <w:sdtContent>
      <w:p w14:paraId="5F52810C" w14:textId="48D39CC4" w:rsidR="004035B4" w:rsidRPr="00F5068E" w:rsidRDefault="004035B4" w:rsidP="00B7448B">
        <w:pPr>
          <w:pStyle w:val="Footer"/>
          <w:framePr w:wrap="none" w:vAnchor="text" w:hAnchor="margin" w:xAlign="right" w:y="1"/>
          <w:rPr>
            <w:rStyle w:val="PageNumber"/>
            <w:rFonts w:ascii="Open Sans" w:hAnsi="Open Sans" w:cs="Open Sans"/>
            <w:sz w:val="16"/>
            <w:szCs w:val="16"/>
          </w:rPr>
        </w:pPr>
        <w:r w:rsidRPr="00F5068E">
          <w:rPr>
            <w:rStyle w:val="PageNumber"/>
            <w:rFonts w:ascii="Open Sans" w:hAnsi="Open Sans" w:cs="Open Sans"/>
            <w:sz w:val="16"/>
            <w:szCs w:val="16"/>
          </w:rPr>
          <w:fldChar w:fldCharType="begin"/>
        </w:r>
        <w:r w:rsidRPr="00F5068E">
          <w:rPr>
            <w:rStyle w:val="PageNumber"/>
            <w:rFonts w:ascii="Open Sans" w:hAnsi="Open Sans" w:cs="Open Sans"/>
            <w:sz w:val="16"/>
            <w:szCs w:val="16"/>
          </w:rPr>
          <w:instrText xml:space="preserve"> PAGE </w:instrText>
        </w:r>
        <w:r w:rsidRPr="00F5068E">
          <w:rPr>
            <w:rStyle w:val="PageNumber"/>
            <w:rFonts w:ascii="Open Sans" w:hAnsi="Open Sans" w:cs="Open Sans"/>
            <w:sz w:val="16"/>
            <w:szCs w:val="16"/>
          </w:rPr>
          <w:fldChar w:fldCharType="separate"/>
        </w:r>
        <w:r w:rsidRPr="00F5068E">
          <w:rPr>
            <w:rStyle w:val="PageNumber"/>
            <w:rFonts w:ascii="Open Sans" w:hAnsi="Open Sans" w:cs="Open Sans"/>
            <w:noProof/>
            <w:sz w:val="16"/>
            <w:szCs w:val="16"/>
          </w:rPr>
          <w:t>1</w:t>
        </w:r>
        <w:r w:rsidRPr="00F5068E">
          <w:rPr>
            <w:rStyle w:val="PageNumber"/>
            <w:rFonts w:ascii="Open Sans" w:hAnsi="Open Sans" w:cs="Open Sans"/>
            <w:sz w:val="16"/>
            <w:szCs w:val="16"/>
          </w:rPr>
          <w:fldChar w:fldCharType="end"/>
        </w:r>
      </w:p>
    </w:sdtContent>
  </w:sdt>
  <w:p w14:paraId="042D779D" w14:textId="77777777" w:rsidR="004035B4" w:rsidRDefault="004035B4" w:rsidP="00B7448B">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9710" w14:textId="77777777" w:rsidR="003F46B1" w:rsidRDefault="003F4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36EA" w14:textId="77777777" w:rsidR="00FA1BD5" w:rsidRDefault="00FA1BD5" w:rsidP="004035B4">
      <w:r>
        <w:separator/>
      </w:r>
    </w:p>
  </w:footnote>
  <w:footnote w:type="continuationSeparator" w:id="0">
    <w:p w14:paraId="405F0F81" w14:textId="77777777" w:rsidR="00FA1BD5" w:rsidRDefault="00FA1BD5" w:rsidP="00403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3763508"/>
      <w:docPartObj>
        <w:docPartGallery w:val="Page Numbers (Top of Page)"/>
        <w:docPartUnique/>
      </w:docPartObj>
    </w:sdtPr>
    <w:sdtEndPr>
      <w:rPr>
        <w:rStyle w:val="PageNumber"/>
      </w:rPr>
    </w:sdtEndPr>
    <w:sdtContent>
      <w:p w14:paraId="3EABA4A8" w14:textId="64D43907" w:rsidR="003F46B1" w:rsidRDefault="003F46B1" w:rsidP="009420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C7FD218" w14:textId="77777777" w:rsidR="003F46B1" w:rsidRDefault="003F46B1" w:rsidP="003F46B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2077041954"/>
      <w:docPartObj>
        <w:docPartGallery w:val="Page Numbers (Top of Page)"/>
        <w:docPartUnique/>
      </w:docPartObj>
    </w:sdtPr>
    <w:sdtEndPr>
      <w:rPr>
        <w:rStyle w:val="PageNumber"/>
      </w:rPr>
    </w:sdtEndPr>
    <w:sdtContent>
      <w:p w14:paraId="41972A3D" w14:textId="69FB7587" w:rsidR="003F46B1" w:rsidRPr="003F46B1" w:rsidRDefault="003F46B1" w:rsidP="00942083">
        <w:pPr>
          <w:pStyle w:val="Header"/>
          <w:framePr w:wrap="none" w:vAnchor="text" w:hAnchor="margin" w:xAlign="right" w:y="1"/>
          <w:rPr>
            <w:rStyle w:val="PageNumber"/>
            <w:rFonts w:ascii="Open Sans" w:hAnsi="Open Sans" w:cs="Open Sans"/>
            <w:sz w:val="16"/>
            <w:szCs w:val="16"/>
          </w:rPr>
        </w:pPr>
        <w:r w:rsidRPr="003F46B1">
          <w:rPr>
            <w:rStyle w:val="PageNumber"/>
            <w:rFonts w:ascii="Open Sans" w:hAnsi="Open Sans" w:cs="Open Sans"/>
            <w:sz w:val="16"/>
            <w:szCs w:val="16"/>
          </w:rPr>
          <w:fldChar w:fldCharType="begin"/>
        </w:r>
        <w:r w:rsidRPr="003F46B1">
          <w:rPr>
            <w:rStyle w:val="PageNumber"/>
            <w:rFonts w:ascii="Open Sans" w:hAnsi="Open Sans" w:cs="Open Sans"/>
            <w:sz w:val="16"/>
            <w:szCs w:val="16"/>
          </w:rPr>
          <w:instrText xml:space="preserve"> PAGE </w:instrText>
        </w:r>
        <w:r w:rsidRPr="003F46B1">
          <w:rPr>
            <w:rStyle w:val="PageNumber"/>
            <w:rFonts w:ascii="Open Sans" w:hAnsi="Open Sans" w:cs="Open Sans"/>
            <w:sz w:val="16"/>
            <w:szCs w:val="16"/>
          </w:rPr>
          <w:fldChar w:fldCharType="separate"/>
        </w:r>
        <w:r w:rsidRPr="003F46B1">
          <w:rPr>
            <w:rStyle w:val="PageNumber"/>
            <w:rFonts w:ascii="Open Sans" w:hAnsi="Open Sans" w:cs="Open Sans"/>
            <w:noProof/>
            <w:sz w:val="16"/>
            <w:szCs w:val="16"/>
          </w:rPr>
          <w:t>3</w:t>
        </w:r>
        <w:r w:rsidRPr="003F46B1">
          <w:rPr>
            <w:rStyle w:val="PageNumber"/>
            <w:rFonts w:ascii="Open Sans" w:hAnsi="Open Sans" w:cs="Open Sans"/>
            <w:sz w:val="16"/>
            <w:szCs w:val="16"/>
          </w:rPr>
          <w:fldChar w:fldCharType="end"/>
        </w:r>
      </w:p>
    </w:sdtContent>
  </w:sdt>
  <w:p w14:paraId="4A1AE572" w14:textId="0340D255" w:rsidR="00BE7FD9" w:rsidRPr="00BE7FD9" w:rsidRDefault="00BE7FD9" w:rsidP="003F46B1">
    <w:pPr>
      <w:pStyle w:val="Header"/>
      <w:ind w:right="360"/>
      <w:rPr>
        <w:rFonts w:ascii="Open Sans" w:hAnsi="Open Sans" w:cs="Open Sans"/>
        <w:sz w:val="16"/>
        <w:szCs w:val="16"/>
      </w:rPr>
    </w:pPr>
    <w:r w:rsidRPr="00D26CF4">
      <w:rPr>
        <w:rFonts w:ascii="Open Sans" w:hAnsi="Open Sans" w:cs="Open Sans"/>
        <w:sz w:val="16"/>
        <w:szCs w:val="16"/>
      </w:rPr>
      <w:t xml:space="preserve">Online Resource </w:t>
    </w:r>
    <w:r>
      <w:rPr>
        <w:rFonts w:ascii="Open Sans" w:hAnsi="Open Sans" w:cs="Open Sans"/>
        <w:sz w:val="16"/>
        <w:szCs w:val="16"/>
      </w:rPr>
      <w:t>3</w:t>
    </w:r>
    <w:r w:rsidRPr="00D26CF4">
      <w:rPr>
        <w:rFonts w:ascii="Open Sans" w:hAnsi="Open Sans" w:cs="Open Sans"/>
        <w:sz w:val="16"/>
        <w:szCs w:val="16"/>
      </w:rPr>
      <w:t xml:space="preserve"> – The Hidden Lessons of Scientific Writing – </w:t>
    </w:r>
    <w:r>
      <w:rPr>
        <w:rFonts w:ascii="Open Sans" w:hAnsi="Open Sans" w:cs="Open Sans"/>
        <w:sz w:val="16"/>
        <w:szCs w:val="16"/>
      </w:rPr>
      <w:t>Table S1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6934" w14:textId="77777777" w:rsidR="003F46B1" w:rsidRDefault="003F4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562E2"/>
    <w:multiLevelType w:val="hybridMultilevel"/>
    <w:tmpl w:val="3F8C39D0"/>
    <w:lvl w:ilvl="0" w:tplc="3F3A24B6">
      <w:start w:val="1"/>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46782"/>
    <w:multiLevelType w:val="hybridMultilevel"/>
    <w:tmpl w:val="66B6ED74"/>
    <w:lvl w:ilvl="0" w:tplc="DB46B7F6">
      <w:start w:val="1"/>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C04D2E"/>
    <w:multiLevelType w:val="hybridMultilevel"/>
    <w:tmpl w:val="BD84ECDE"/>
    <w:lvl w:ilvl="0" w:tplc="DB46B7F6">
      <w:start w:val="1"/>
      <w:numFmt w:val="bullet"/>
      <w:lvlText w:val="-"/>
      <w:lvlJc w:val="left"/>
      <w:pPr>
        <w:ind w:left="340" w:hanging="34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7915340">
    <w:abstractNumId w:val="2"/>
  </w:num>
  <w:num w:numId="2" w16cid:durableId="658268644">
    <w:abstractNumId w:val="1"/>
  </w:num>
  <w:num w:numId="3" w16cid:durableId="1838032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B4"/>
    <w:rsid w:val="00003259"/>
    <w:rsid w:val="000076E6"/>
    <w:rsid w:val="000202BD"/>
    <w:rsid w:val="0002598D"/>
    <w:rsid w:val="00053723"/>
    <w:rsid w:val="000864F1"/>
    <w:rsid w:val="000908CC"/>
    <w:rsid w:val="000B0955"/>
    <w:rsid w:val="000F3C9C"/>
    <w:rsid w:val="000F4203"/>
    <w:rsid w:val="00132DF0"/>
    <w:rsid w:val="00135222"/>
    <w:rsid w:val="00136F0C"/>
    <w:rsid w:val="00176A4C"/>
    <w:rsid w:val="002312EE"/>
    <w:rsid w:val="00253A14"/>
    <w:rsid w:val="00254A3D"/>
    <w:rsid w:val="00295454"/>
    <w:rsid w:val="002A5CB2"/>
    <w:rsid w:val="002C59F3"/>
    <w:rsid w:val="002D39CB"/>
    <w:rsid w:val="00301CB5"/>
    <w:rsid w:val="00315D18"/>
    <w:rsid w:val="00371C49"/>
    <w:rsid w:val="003B613B"/>
    <w:rsid w:val="003E0E4F"/>
    <w:rsid w:val="003F46B1"/>
    <w:rsid w:val="004035B4"/>
    <w:rsid w:val="00403BBD"/>
    <w:rsid w:val="004247AB"/>
    <w:rsid w:val="0046561A"/>
    <w:rsid w:val="004D4214"/>
    <w:rsid w:val="0050003A"/>
    <w:rsid w:val="005025FC"/>
    <w:rsid w:val="005061E3"/>
    <w:rsid w:val="00506965"/>
    <w:rsid w:val="00531646"/>
    <w:rsid w:val="0054003C"/>
    <w:rsid w:val="005460A9"/>
    <w:rsid w:val="00547085"/>
    <w:rsid w:val="00561C55"/>
    <w:rsid w:val="0057127E"/>
    <w:rsid w:val="00591D13"/>
    <w:rsid w:val="00595EB1"/>
    <w:rsid w:val="005A3317"/>
    <w:rsid w:val="005A7CA2"/>
    <w:rsid w:val="005B7008"/>
    <w:rsid w:val="005C2964"/>
    <w:rsid w:val="006221D0"/>
    <w:rsid w:val="0065352D"/>
    <w:rsid w:val="00662FC8"/>
    <w:rsid w:val="00694AB1"/>
    <w:rsid w:val="007169BE"/>
    <w:rsid w:val="00745034"/>
    <w:rsid w:val="00751793"/>
    <w:rsid w:val="00762E52"/>
    <w:rsid w:val="00771B16"/>
    <w:rsid w:val="007A0CA1"/>
    <w:rsid w:val="007B5E6A"/>
    <w:rsid w:val="007C083D"/>
    <w:rsid w:val="008353B4"/>
    <w:rsid w:val="00852124"/>
    <w:rsid w:val="00876C95"/>
    <w:rsid w:val="00883D65"/>
    <w:rsid w:val="008A3AB7"/>
    <w:rsid w:val="008A7C66"/>
    <w:rsid w:val="008E0A7B"/>
    <w:rsid w:val="00993DAA"/>
    <w:rsid w:val="009C4F5F"/>
    <w:rsid w:val="00A43C02"/>
    <w:rsid w:val="00A77D02"/>
    <w:rsid w:val="00A82BD4"/>
    <w:rsid w:val="00AA188F"/>
    <w:rsid w:val="00AF4632"/>
    <w:rsid w:val="00B409CF"/>
    <w:rsid w:val="00B508CC"/>
    <w:rsid w:val="00B7448B"/>
    <w:rsid w:val="00B82110"/>
    <w:rsid w:val="00B927F8"/>
    <w:rsid w:val="00BD605D"/>
    <w:rsid w:val="00BE7FD9"/>
    <w:rsid w:val="00C3364B"/>
    <w:rsid w:val="00C6106A"/>
    <w:rsid w:val="00CA0F23"/>
    <w:rsid w:val="00CD13F0"/>
    <w:rsid w:val="00CF148D"/>
    <w:rsid w:val="00D22F5F"/>
    <w:rsid w:val="00D350CB"/>
    <w:rsid w:val="00D50270"/>
    <w:rsid w:val="00DA1045"/>
    <w:rsid w:val="00DB2222"/>
    <w:rsid w:val="00DD33F4"/>
    <w:rsid w:val="00DD7792"/>
    <w:rsid w:val="00DE54B7"/>
    <w:rsid w:val="00E33AE3"/>
    <w:rsid w:val="00E51631"/>
    <w:rsid w:val="00E8619D"/>
    <w:rsid w:val="00E92DC8"/>
    <w:rsid w:val="00EE5E77"/>
    <w:rsid w:val="00F02DF9"/>
    <w:rsid w:val="00F23EC4"/>
    <w:rsid w:val="00F3127B"/>
    <w:rsid w:val="00F5068E"/>
    <w:rsid w:val="00F60F7D"/>
    <w:rsid w:val="00F72ECD"/>
    <w:rsid w:val="00FA1BD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0BF4"/>
  <w15:chartTrackingRefBased/>
  <w15:docId w15:val="{A9821623-FC5F-6740-BAD2-3687F226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5B4"/>
    <w:pPr>
      <w:keepNext/>
      <w:keepLines/>
      <w:spacing w:before="240" w:after="120"/>
      <w:outlineLvl w:val="0"/>
    </w:pPr>
    <w:rPr>
      <w:rFonts w:ascii="Open Sans" w:eastAsia="Times New Roman" w:hAnsi="Open Sans" w:cs="Open Sans"/>
      <w:b/>
      <w:color w:val="000000"/>
      <w:kern w:val="0"/>
      <w:sz w:val="20"/>
      <w:szCs w:val="28"/>
      <w:lang w:val="en-US"/>
      <w14:ligatures w14:val="none"/>
    </w:rPr>
  </w:style>
  <w:style w:type="paragraph" w:styleId="Heading2">
    <w:name w:val="heading 2"/>
    <w:basedOn w:val="Normal"/>
    <w:next w:val="Normal"/>
    <w:link w:val="Heading2Char"/>
    <w:uiPriority w:val="9"/>
    <w:semiHidden/>
    <w:unhideWhenUsed/>
    <w:qFormat/>
    <w:rsid w:val="00403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5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5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5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5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5B4"/>
    <w:rPr>
      <w:rFonts w:ascii="Open Sans" w:eastAsia="Times New Roman" w:hAnsi="Open Sans" w:cs="Open Sans"/>
      <w:b/>
      <w:color w:val="000000"/>
      <w:kern w:val="0"/>
      <w:sz w:val="20"/>
      <w:szCs w:val="28"/>
      <w:lang w:val="en-US"/>
      <w14:ligatures w14:val="none"/>
    </w:rPr>
  </w:style>
  <w:style w:type="character" w:customStyle="1" w:styleId="Heading2Char">
    <w:name w:val="Heading 2 Char"/>
    <w:basedOn w:val="DefaultParagraphFont"/>
    <w:link w:val="Heading2"/>
    <w:uiPriority w:val="9"/>
    <w:semiHidden/>
    <w:rsid w:val="00403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5B4"/>
    <w:rPr>
      <w:rFonts w:eastAsiaTheme="majorEastAsia" w:cstheme="majorBidi"/>
      <w:color w:val="272727" w:themeColor="text1" w:themeTint="D8"/>
    </w:rPr>
  </w:style>
  <w:style w:type="paragraph" w:styleId="Title">
    <w:name w:val="Title"/>
    <w:basedOn w:val="Normal"/>
    <w:next w:val="Normal"/>
    <w:link w:val="TitleChar"/>
    <w:uiPriority w:val="10"/>
    <w:qFormat/>
    <w:rsid w:val="004035B4"/>
    <w:pPr>
      <w:spacing w:after="120"/>
    </w:pPr>
    <w:rPr>
      <w:rFonts w:ascii="Open Sans" w:eastAsia="Calibri" w:hAnsi="Open Sans" w:cs="Open Sans"/>
      <w:b/>
      <w:color w:val="000000"/>
      <w:kern w:val="0"/>
      <w:szCs w:val="20"/>
      <w:lang w:val="en-US"/>
      <w14:ligatures w14:val="none"/>
    </w:rPr>
  </w:style>
  <w:style w:type="character" w:customStyle="1" w:styleId="TitleChar">
    <w:name w:val="Title Char"/>
    <w:basedOn w:val="DefaultParagraphFont"/>
    <w:link w:val="Title"/>
    <w:uiPriority w:val="10"/>
    <w:qFormat/>
    <w:rsid w:val="004035B4"/>
    <w:rPr>
      <w:rFonts w:ascii="Open Sans" w:eastAsia="Calibri" w:hAnsi="Open Sans" w:cs="Open Sans"/>
      <w:b/>
      <w:color w:val="000000"/>
      <w:kern w:val="0"/>
      <w:szCs w:val="20"/>
      <w:lang w:val="en-US"/>
      <w14:ligatures w14:val="none"/>
    </w:rPr>
  </w:style>
  <w:style w:type="paragraph" w:styleId="Subtitle">
    <w:name w:val="Subtitle"/>
    <w:basedOn w:val="Normal"/>
    <w:next w:val="Normal"/>
    <w:link w:val="SubtitleChar"/>
    <w:uiPriority w:val="11"/>
    <w:qFormat/>
    <w:rsid w:val="004035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5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35B4"/>
    <w:rPr>
      <w:i/>
      <w:iCs/>
      <w:color w:val="404040" w:themeColor="text1" w:themeTint="BF"/>
    </w:rPr>
  </w:style>
  <w:style w:type="paragraph" w:styleId="ListParagraph">
    <w:name w:val="List Paragraph"/>
    <w:basedOn w:val="Normal"/>
    <w:uiPriority w:val="34"/>
    <w:qFormat/>
    <w:rsid w:val="004035B4"/>
    <w:pPr>
      <w:ind w:left="720"/>
      <w:contextualSpacing/>
    </w:pPr>
  </w:style>
  <w:style w:type="character" w:styleId="IntenseEmphasis">
    <w:name w:val="Intense Emphasis"/>
    <w:basedOn w:val="DefaultParagraphFont"/>
    <w:uiPriority w:val="21"/>
    <w:qFormat/>
    <w:rsid w:val="004035B4"/>
    <w:rPr>
      <w:i/>
      <w:iCs/>
      <w:color w:val="0F4761" w:themeColor="accent1" w:themeShade="BF"/>
    </w:rPr>
  </w:style>
  <w:style w:type="paragraph" w:styleId="IntenseQuote">
    <w:name w:val="Intense Quote"/>
    <w:basedOn w:val="Normal"/>
    <w:next w:val="Normal"/>
    <w:link w:val="IntenseQuoteChar"/>
    <w:uiPriority w:val="30"/>
    <w:qFormat/>
    <w:rsid w:val="00403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5B4"/>
    <w:rPr>
      <w:i/>
      <w:iCs/>
      <w:color w:val="0F4761" w:themeColor="accent1" w:themeShade="BF"/>
    </w:rPr>
  </w:style>
  <w:style w:type="character" w:styleId="IntenseReference">
    <w:name w:val="Intense Reference"/>
    <w:basedOn w:val="DefaultParagraphFont"/>
    <w:uiPriority w:val="32"/>
    <w:qFormat/>
    <w:rsid w:val="004035B4"/>
    <w:rPr>
      <w:b/>
      <w:bCs/>
      <w:smallCaps/>
      <w:color w:val="0F4761" w:themeColor="accent1" w:themeShade="BF"/>
      <w:spacing w:val="5"/>
    </w:rPr>
  </w:style>
  <w:style w:type="paragraph" w:styleId="Caption">
    <w:name w:val="caption"/>
    <w:basedOn w:val="Normal"/>
    <w:uiPriority w:val="35"/>
    <w:qFormat/>
    <w:rsid w:val="004035B4"/>
    <w:pPr>
      <w:suppressLineNumbers/>
      <w:spacing w:before="120" w:after="120"/>
      <w:jc w:val="both"/>
    </w:pPr>
    <w:rPr>
      <w:rFonts w:ascii="Times New Roman" w:hAnsi="Times New Roman" w:cs="Noto Sans Devanagari"/>
      <w:i/>
      <w:iCs/>
      <w:spacing w:val="-6"/>
      <w:kern w:val="0"/>
      <w:sz w:val="20"/>
      <w:szCs w:val="20"/>
      <w:lang w:val="en-US"/>
      <w14:ligatures w14:val="none"/>
    </w:rPr>
  </w:style>
  <w:style w:type="table" w:styleId="TableGrid">
    <w:name w:val="Table Grid"/>
    <w:basedOn w:val="TableNormal"/>
    <w:uiPriority w:val="39"/>
    <w:rsid w:val="004035B4"/>
    <w:pPr>
      <w:suppressAutoHyphens/>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035B4"/>
    <w:pPr>
      <w:tabs>
        <w:tab w:val="center" w:pos="4513"/>
        <w:tab w:val="right" w:pos="9026"/>
      </w:tabs>
    </w:pPr>
  </w:style>
  <w:style w:type="character" w:customStyle="1" w:styleId="FooterChar">
    <w:name w:val="Footer Char"/>
    <w:basedOn w:val="DefaultParagraphFont"/>
    <w:link w:val="Footer"/>
    <w:uiPriority w:val="99"/>
    <w:rsid w:val="004035B4"/>
  </w:style>
  <w:style w:type="character" w:styleId="PageNumber">
    <w:name w:val="page number"/>
    <w:basedOn w:val="DefaultParagraphFont"/>
    <w:uiPriority w:val="99"/>
    <w:semiHidden/>
    <w:unhideWhenUsed/>
    <w:rsid w:val="004035B4"/>
  </w:style>
  <w:style w:type="paragraph" w:styleId="Header">
    <w:name w:val="header"/>
    <w:basedOn w:val="Normal"/>
    <w:link w:val="HeaderChar"/>
    <w:uiPriority w:val="99"/>
    <w:unhideWhenUsed/>
    <w:rsid w:val="00B7448B"/>
    <w:pPr>
      <w:tabs>
        <w:tab w:val="center" w:pos="4513"/>
        <w:tab w:val="right" w:pos="9026"/>
      </w:tabs>
    </w:pPr>
  </w:style>
  <w:style w:type="character" w:customStyle="1" w:styleId="HeaderChar">
    <w:name w:val="Header Char"/>
    <w:basedOn w:val="DefaultParagraphFont"/>
    <w:link w:val="Header"/>
    <w:uiPriority w:val="99"/>
    <w:rsid w:val="00B7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5D435820348346A926D3B4759F46B3"/>
        <w:category>
          <w:name w:val="General"/>
          <w:gallery w:val="placeholder"/>
        </w:category>
        <w:types>
          <w:type w:val="bbPlcHdr"/>
        </w:types>
        <w:behaviors>
          <w:behavior w:val="content"/>
        </w:behaviors>
        <w:guid w:val="{11DBC74B-2F2E-AE41-9B9D-BA9D16E19A48}"/>
      </w:docPartPr>
      <w:docPartBody>
        <w:p w:rsidR="00E1679B" w:rsidRDefault="00D92F5C" w:rsidP="00D92F5C">
          <w:pPr>
            <w:pStyle w:val="0D5D435820348346A926D3B4759F46B3"/>
          </w:pPr>
          <w:r w:rsidRPr="00381BF6">
            <w:rPr>
              <w:rStyle w:val="PlaceholderText"/>
            </w:rPr>
            <w:t>Click or tap here to enter text.</w:t>
          </w:r>
        </w:p>
      </w:docPartBody>
    </w:docPart>
    <w:docPart>
      <w:docPartPr>
        <w:name w:val="61EBD1EFA72FA847B31C6E81233BEEF2"/>
        <w:category>
          <w:name w:val="General"/>
          <w:gallery w:val="placeholder"/>
        </w:category>
        <w:types>
          <w:type w:val="bbPlcHdr"/>
        </w:types>
        <w:behaviors>
          <w:behavior w:val="content"/>
        </w:behaviors>
        <w:guid w:val="{D9CC3886-4FD1-AC40-B241-856A8D4BFA45}"/>
      </w:docPartPr>
      <w:docPartBody>
        <w:p w:rsidR="00E1679B" w:rsidRDefault="00D92F5C" w:rsidP="00D92F5C">
          <w:pPr>
            <w:pStyle w:val="61EBD1EFA72FA847B31C6E81233BEEF2"/>
          </w:pPr>
          <w:r w:rsidRPr="00381BF6">
            <w:rPr>
              <w:rStyle w:val="PlaceholderText"/>
            </w:rPr>
            <w:t>Click or tap here to enter text.</w:t>
          </w:r>
        </w:p>
      </w:docPartBody>
    </w:docPart>
    <w:docPart>
      <w:docPartPr>
        <w:name w:val="33BC60C9BB764E4690E6844D7CB955C7"/>
        <w:category>
          <w:name w:val="General"/>
          <w:gallery w:val="placeholder"/>
        </w:category>
        <w:types>
          <w:type w:val="bbPlcHdr"/>
        </w:types>
        <w:behaviors>
          <w:behavior w:val="content"/>
        </w:behaviors>
        <w:guid w:val="{E815B0FA-1BEB-A748-8B8E-F41046AA20EB}"/>
      </w:docPartPr>
      <w:docPartBody>
        <w:p w:rsidR="00E1679B" w:rsidRDefault="00D92F5C" w:rsidP="00D92F5C">
          <w:pPr>
            <w:pStyle w:val="33BC60C9BB764E4690E6844D7CB955C7"/>
          </w:pPr>
          <w:r w:rsidRPr="00381BF6">
            <w:rPr>
              <w:rStyle w:val="PlaceholderText"/>
            </w:rPr>
            <w:t>Click or tap here to enter text.</w:t>
          </w:r>
        </w:p>
      </w:docPartBody>
    </w:docPart>
    <w:docPart>
      <w:docPartPr>
        <w:name w:val="8CF7519788F1754BA8AA289C67F05831"/>
        <w:category>
          <w:name w:val="General"/>
          <w:gallery w:val="placeholder"/>
        </w:category>
        <w:types>
          <w:type w:val="bbPlcHdr"/>
        </w:types>
        <w:behaviors>
          <w:behavior w:val="content"/>
        </w:behaviors>
        <w:guid w:val="{D39CADF4-D5F0-5F4A-B83B-E0A16A120BF9}"/>
      </w:docPartPr>
      <w:docPartBody>
        <w:p w:rsidR="00E1679B" w:rsidRDefault="00D92F5C" w:rsidP="00D92F5C">
          <w:pPr>
            <w:pStyle w:val="8CF7519788F1754BA8AA289C67F05831"/>
          </w:pPr>
          <w:r w:rsidRPr="00381B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ptos Display">
    <w:altName w:val="Calibri"/>
    <w:panose1 w:val="020B0604020202020204"/>
    <w:charset w:val="00"/>
    <w:family w:val="roman"/>
    <w:notTrueType/>
    <w:pitch w:val="default"/>
  </w:font>
  <w:font w:name="Noto Sans Devanagari">
    <w:altName w:val="Cambria"/>
    <w:panose1 w:val="020B0604020202020204"/>
    <w:charset w:val="00"/>
    <w:family w:val="swiss"/>
    <w:pitch w:val="variable"/>
    <w:sig w:usb0="80008023" w:usb1="00002046" w:usb2="00000000" w:usb3="00000000" w:csb0="00000001" w:csb1="00000000"/>
  </w:font>
  <w:font w:name="STIX Two Text">
    <w:panose1 w:val="00000000000000000000"/>
    <w:charset w:val="00"/>
    <w:family w:val="auto"/>
    <w:pitch w:val="variable"/>
    <w:sig w:usb0="A00002FF" w:usb1="0000001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5C"/>
    <w:rsid w:val="002D39CB"/>
    <w:rsid w:val="00437C19"/>
    <w:rsid w:val="00745034"/>
    <w:rsid w:val="008B652E"/>
    <w:rsid w:val="00914649"/>
    <w:rsid w:val="00B82110"/>
    <w:rsid w:val="00D92F5C"/>
    <w:rsid w:val="00E1679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F5C"/>
    <w:rPr>
      <w:color w:val="808080"/>
    </w:rPr>
  </w:style>
  <w:style w:type="paragraph" w:customStyle="1" w:styleId="0D5D435820348346A926D3B4759F46B3">
    <w:name w:val="0D5D435820348346A926D3B4759F46B3"/>
    <w:rsid w:val="00D92F5C"/>
  </w:style>
  <w:style w:type="paragraph" w:customStyle="1" w:styleId="61EBD1EFA72FA847B31C6E81233BEEF2">
    <w:name w:val="61EBD1EFA72FA847B31C6E81233BEEF2"/>
    <w:rsid w:val="00D92F5C"/>
  </w:style>
  <w:style w:type="paragraph" w:customStyle="1" w:styleId="33BC60C9BB764E4690E6844D7CB955C7">
    <w:name w:val="33BC60C9BB764E4690E6844D7CB955C7"/>
    <w:rsid w:val="00D92F5C"/>
  </w:style>
  <w:style w:type="paragraph" w:customStyle="1" w:styleId="8CF7519788F1754BA8AA289C67F05831">
    <w:name w:val="8CF7519788F1754BA8AA289C67F05831"/>
    <w:rsid w:val="00D92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4281</Words>
  <Characters>24408</Characters>
  <Application>Microsoft Office Word</Application>
  <DocSecurity>0</DocSecurity>
  <Lines>203</Lines>
  <Paragraphs>57</Paragraphs>
  <ScaleCrop>false</ScaleCrop>
  <Company/>
  <LinksUpToDate>false</LinksUpToDate>
  <CharactersWithSpaces>28632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Pieterman-Bos-11, J.E. (Annelies)</dc:creator>
  <cp:keywords/>
  <dc:description/>
  <cp:lastModifiedBy>Pieterman-Bos-11, J.E. (Annelies)</cp:lastModifiedBy>
  <cp:revision>2</cp:revision>
  <dcterms:created xsi:type="dcterms:W3CDTF">2026-03-19T10:59:00Z</dcterms:created>
  <dcterms:modified xsi:type="dcterms:W3CDTF">2026-03-19T10:59:00Z</dcterms:modified>
</cp:coreProperties>
</file>