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760" w:rsidRDefault="00B71760" w:rsidP="00B71760">
      <w:pPr>
        <w:pStyle w:val="EndNoteBibliography"/>
        <w:spacing w:after="0"/>
        <w:ind w:firstLine="0"/>
        <w:jc w:val="left"/>
        <w:rPr>
          <w:rStyle w:val="Hyperlink"/>
          <w:rFonts w:ascii="Times New Roman" w:hAnsi="Times New Roman" w:cs="Times New Roman"/>
          <w:color w:val="000000"/>
        </w:rPr>
      </w:pPr>
      <w:proofErr w:type="gramStart"/>
      <w:r w:rsidRPr="00933802">
        <w:rPr>
          <w:rFonts w:ascii="Times New Roman" w:hAnsi="Times New Roman" w:cs="Times New Roman"/>
          <w:highlight w:val="yellow"/>
        </w:rPr>
        <w:t>Online supplement</w:t>
      </w:r>
      <w:r w:rsidRPr="00933802">
        <w:rPr>
          <w:rFonts w:ascii="Times New Roman" w:hAnsi="Times New Roman" w:cs="Times New Roman"/>
        </w:rPr>
        <w:t xml:space="preserve"> for </w:t>
      </w:r>
      <w:proofErr w:type="spellStart"/>
      <w:r w:rsidRPr="00933802">
        <w:rPr>
          <w:rFonts w:ascii="Times New Roman" w:hAnsi="Times New Roman" w:cs="Times New Roman"/>
        </w:rPr>
        <w:t>Vergoossen</w:t>
      </w:r>
      <w:proofErr w:type="spellEnd"/>
      <w:r w:rsidRPr="00933802">
        <w:rPr>
          <w:rFonts w:ascii="Times New Roman" w:hAnsi="Times New Roman" w:cs="Times New Roman"/>
        </w:rPr>
        <w:t xml:space="preserve">, H. P., </w:t>
      </w:r>
      <w:proofErr w:type="spellStart"/>
      <w:r w:rsidRPr="00933802">
        <w:rPr>
          <w:rFonts w:ascii="Times New Roman" w:hAnsi="Times New Roman" w:cs="Times New Roman"/>
          <w:color w:val="000000"/>
        </w:rPr>
        <w:t>Renström</w:t>
      </w:r>
      <w:proofErr w:type="spellEnd"/>
      <w:r>
        <w:rPr>
          <w:rFonts w:ascii="Times New Roman" w:hAnsi="Times New Roman" w:cs="Times New Roman"/>
          <w:color w:val="000000"/>
        </w:rPr>
        <w:t xml:space="preserve">, E. A., </w:t>
      </w:r>
      <w:proofErr w:type="spellStart"/>
      <w:r>
        <w:rPr>
          <w:rFonts w:ascii="Times New Roman" w:hAnsi="Times New Roman" w:cs="Times New Roman"/>
          <w:color w:val="000000"/>
        </w:rPr>
        <w:t>Lindqvist</w:t>
      </w:r>
      <w:proofErr w:type="spellEnd"/>
      <w:r>
        <w:rPr>
          <w:rFonts w:ascii="Times New Roman" w:hAnsi="Times New Roman" w:cs="Times New Roman"/>
          <w:color w:val="000000"/>
        </w:rPr>
        <w:t>, A., and</w:t>
      </w:r>
      <w:r w:rsidRPr="00933802">
        <w:rPr>
          <w:rFonts w:ascii="Times New Roman" w:hAnsi="Times New Roman" w:cs="Times New Roman"/>
          <w:color w:val="000000"/>
        </w:rPr>
        <w:t xml:space="preserve"> </w:t>
      </w:r>
      <w:r>
        <w:rPr>
          <w:rFonts w:ascii="Times New Roman" w:hAnsi="Times New Roman" w:cs="Times New Roman"/>
          <w:color w:val="000000"/>
          <w:lang/>
        </w:rPr>
        <w:t>Gustafsson Sendén,</w:t>
      </w:r>
      <w:r>
        <w:rPr>
          <w:rFonts w:ascii="Times New Roman" w:hAnsi="Times New Roman" w:cs="Times New Roman"/>
          <w:color w:val="000000"/>
        </w:rPr>
        <w:t xml:space="preserve"> M. (2019).</w:t>
      </w:r>
      <w:proofErr w:type="gramEnd"/>
      <w:r>
        <w:rPr>
          <w:rFonts w:ascii="Times New Roman" w:hAnsi="Times New Roman" w:cs="Times New Roman"/>
          <w:color w:val="000000"/>
        </w:rPr>
        <w:t xml:space="preserve"> Four dimensions of criticism against gender-fair language. </w:t>
      </w:r>
      <w:proofErr w:type="gramStart"/>
      <w:r w:rsidRPr="00933802">
        <w:rPr>
          <w:rFonts w:ascii="Times New Roman" w:hAnsi="Times New Roman" w:cs="Times New Roman"/>
          <w:i/>
          <w:iCs/>
          <w:color w:val="000000"/>
        </w:rPr>
        <w:t>Sex Roles</w:t>
      </w:r>
      <w:r>
        <w:rPr>
          <w:rFonts w:ascii="Times New Roman" w:hAnsi="Times New Roman" w:cs="Times New Roman"/>
          <w:color w:val="000000"/>
        </w:rPr>
        <w:t>.</w:t>
      </w:r>
      <w:proofErr w:type="gramEnd"/>
      <w:r>
        <w:rPr>
          <w:rFonts w:ascii="Times New Roman" w:hAnsi="Times New Roman" w:cs="Times New Roman"/>
          <w:color w:val="000000"/>
        </w:rPr>
        <w:t xml:space="preserve"> </w:t>
      </w:r>
      <w:proofErr w:type="spellStart"/>
      <w:proofErr w:type="gramStart"/>
      <w:r>
        <w:rPr>
          <w:rFonts w:ascii="Times New Roman" w:hAnsi="Times New Roman" w:cs="Times New Roman"/>
          <w:color w:val="000000"/>
        </w:rPr>
        <w:t>Hellen</w:t>
      </w:r>
      <w:proofErr w:type="spellEnd"/>
      <w:r>
        <w:rPr>
          <w:rFonts w:ascii="Times New Roman" w:hAnsi="Times New Roman" w:cs="Times New Roman"/>
          <w:color w:val="000000"/>
        </w:rPr>
        <w:t xml:space="preserve"> P.</w:t>
      </w:r>
      <w:r w:rsidRPr="00933802">
        <w:rPr>
          <w:rFonts w:ascii="Times New Roman" w:hAnsi="Times New Roman" w:cs="Times New Roman"/>
          <w:color w:val="000000"/>
        </w:rPr>
        <w:t xml:space="preserve"> </w:t>
      </w:r>
      <w:proofErr w:type="spellStart"/>
      <w:r w:rsidRPr="00933802">
        <w:rPr>
          <w:rFonts w:ascii="Times New Roman" w:hAnsi="Times New Roman" w:cs="Times New Roman"/>
          <w:color w:val="000000"/>
        </w:rPr>
        <w:t>Vergoossen</w:t>
      </w:r>
      <w:proofErr w:type="spellEnd"/>
      <w:r w:rsidRPr="00933802">
        <w:rPr>
          <w:rFonts w:ascii="Times New Roman" w:hAnsi="Times New Roman" w:cs="Times New Roman"/>
          <w:color w:val="000000"/>
        </w:rPr>
        <w:t>, Stockholm University.</w:t>
      </w:r>
      <w:proofErr w:type="gramEnd"/>
      <w:r w:rsidRPr="00933802">
        <w:rPr>
          <w:rFonts w:ascii="Times New Roman" w:hAnsi="Times New Roman" w:cs="Times New Roman"/>
          <w:color w:val="000000"/>
        </w:rPr>
        <w:t xml:space="preserve"> Email: </w:t>
      </w:r>
      <w:hyperlink r:id="rId5" w:history="1">
        <w:r w:rsidRPr="00933802">
          <w:rPr>
            <w:rStyle w:val="Hyperlink"/>
            <w:rFonts w:ascii="Times New Roman" w:hAnsi="Times New Roman" w:cs="Times New Roman"/>
            <w:color w:val="000000"/>
          </w:rPr>
          <w:t>hellen.vergoossen@psychology.su.se</w:t>
        </w:r>
      </w:hyperlink>
    </w:p>
    <w:p w:rsidR="00B71760" w:rsidRDefault="00B71760" w:rsidP="00B71760">
      <w:pPr>
        <w:pStyle w:val="EndNoteBibliography"/>
        <w:spacing w:after="0"/>
        <w:ind w:firstLine="0"/>
        <w:jc w:val="left"/>
        <w:rPr>
          <w:rStyle w:val="Hyperlink"/>
          <w:rFonts w:ascii="Times New Roman" w:hAnsi="Times New Roman" w:cs="Times New Roman"/>
          <w:color w:val="000000"/>
        </w:rPr>
      </w:pPr>
    </w:p>
    <w:p w:rsidR="00B71760" w:rsidRPr="00933802" w:rsidRDefault="00B71760" w:rsidP="00B71760">
      <w:pPr>
        <w:pStyle w:val="EndNoteBibliography"/>
        <w:spacing w:after="0"/>
        <w:ind w:firstLine="0"/>
        <w:jc w:val="left"/>
        <w:rPr>
          <w:rFonts w:ascii="Times New Roman" w:hAnsi="Times New Roman" w:cs="Times New Roman"/>
        </w:rPr>
      </w:pPr>
    </w:p>
    <w:p w:rsidR="00B71760" w:rsidRPr="00933802" w:rsidRDefault="00B71760" w:rsidP="00B71760">
      <w:pPr>
        <w:pStyle w:val="EndNoteBibliography"/>
        <w:spacing w:after="0"/>
        <w:ind w:left="720" w:hanging="720"/>
        <w:rPr>
          <w:rFonts w:ascii="Times New Roman" w:hAnsi="Times New Roman" w:cs="Times New Roman"/>
          <w:iCs/>
        </w:rPr>
      </w:pPr>
      <w:r w:rsidRPr="00933802">
        <w:rPr>
          <w:rFonts w:ascii="Times New Roman" w:hAnsi="Times New Roman" w:cs="Times New Roman"/>
          <w:iCs/>
        </w:rPr>
        <w:t xml:space="preserve">Coding Scheme Based on </w:t>
      </w:r>
      <w:proofErr w:type="spellStart"/>
      <w:r w:rsidRPr="00933802">
        <w:rPr>
          <w:rFonts w:ascii="Times New Roman" w:hAnsi="Times New Roman" w:cs="Times New Roman"/>
          <w:color w:val="000000"/>
        </w:rPr>
        <w:t>Blaubergs</w:t>
      </w:r>
      <w:proofErr w:type="spellEnd"/>
      <w:r w:rsidRPr="00933802">
        <w:rPr>
          <w:rFonts w:ascii="Times New Roman" w:hAnsi="Times New Roman" w:cs="Times New Roman"/>
          <w:color w:val="000000"/>
        </w:rPr>
        <w:t xml:space="preserve"> (1980) and Parks and </w:t>
      </w:r>
      <w:proofErr w:type="spellStart"/>
      <w:r w:rsidRPr="00933802">
        <w:rPr>
          <w:rFonts w:ascii="Times New Roman" w:hAnsi="Times New Roman" w:cs="Times New Roman"/>
          <w:color w:val="000000"/>
        </w:rPr>
        <w:t>Roberton</w:t>
      </w:r>
      <w:proofErr w:type="spellEnd"/>
      <w:r w:rsidRPr="00933802">
        <w:rPr>
          <w:rFonts w:ascii="Times New Roman" w:hAnsi="Times New Roman" w:cs="Times New Roman"/>
          <w:color w:val="000000"/>
        </w:rPr>
        <w:t xml:space="preserve"> (1998)</w:t>
      </w:r>
      <w:r w:rsidRPr="00933802">
        <w:rPr>
          <w:rFonts w:ascii="Times New Roman" w:hAnsi="Times New Roman" w:cs="Times New Roman"/>
          <w:iCs/>
        </w:rPr>
        <w:t xml:space="preserve"> </w:t>
      </w:r>
    </w:p>
    <w:p w:rsidR="00B71760" w:rsidRPr="00AF05E7" w:rsidRDefault="00B71760" w:rsidP="00B71760">
      <w:pPr>
        <w:pStyle w:val="EndNoteBibliography"/>
        <w:spacing w:after="0"/>
        <w:ind w:left="720" w:hanging="720"/>
        <w:rPr>
          <w:rFonts w:ascii="Times New Roman" w:hAnsi="Times New Roman" w:cs="Times New Roman"/>
          <w:i/>
        </w:rPr>
      </w:pPr>
    </w:p>
    <w:tbl>
      <w:tblPr>
        <w:tblW w:w="9272" w:type="dxa"/>
        <w:tblLayout w:type="fixed"/>
        <w:tblCellMar>
          <w:left w:w="70" w:type="dxa"/>
          <w:right w:w="70" w:type="dxa"/>
        </w:tblCellMar>
        <w:tblLook w:val="04A0" w:firstRow="1" w:lastRow="0" w:firstColumn="1" w:lastColumn="0" w:noHBand="0" w:noVBand="1"/>
      </w:tblPr>
      <w:tblGrid>
        <w:gridCol w:w="3040"/>
        <w:gridCol w:w="6232"/>
      </w:tblGrid>
      <w:tr w:rsidR="00B71760" w:rsidRPr="00AF05E7" w:rsidTr="000B31BA">
        <w:trPr>
          <w:trHeight w:val="20"/>
        </w:trPr>
        <w:tc>
          <w:tcPr>
            <w:tcW w:w="3040" w:type="dxa"/>
            <w:tcBorders>
              <w:top w:val="single" w:sz="12" w:space="0" w:color="auto"/>
              <w:left w:val="nil"/>
              <w:bottom w:val="single" w:sz="4" w:space="0" w:color="auto"/>
              <w:right w:val="nil"/>
            </w:tcBorders>
            <w:vAlign w:val="bottom"/>
            <w:hideMark/>
          </w:tcPr>
          <w:p w:rsidR="00B71760" w:rsidRPr="00AF05E7" w:rsidRDefault="00B71760" w:rsidP="000B31BA">
            <w:pPr>
              <w:spacing w:line="240" w:lineRule="auto"/>
              <w:rPr>
                <w:rFonts w:eastAsia="Times New Roman"/>
                <w:lang w:eastAsia="sv-SE"/>
              </w:rPr>
            </w:pPr>
            <w:r w:rsidRPr="00AF05E7">
              <w:rPr>
                <w:rFonts w:eastAsia="Times New Roman"/>
                <w:iCs/>
                <w:lang w:eastAsia="sv-SE"/>
              </w:rPr>
              <w:t>Categories</w:t>
            </w:r>
          </w:p>
        </w:tc>
        <w:tc>
          <w:tcPr>
            <w:tcW w:w="6232" w:type="dxa"/>
            <w:tcBorders>
              <w:top w:val="single" w:sz="12" w:space="0" w:color="auto"/>
              <w:left w:val="nil"/>
              <w:bottom w:val="single" w:sz="4" w:space="0" w:color="auto"/>
              <w:right w:val="nil"/>
            </w:tcBorders>
            <w:vAlign w:val="bottom"/>
            <w:hideMark/>
          </w:tcPr>
          <w:p w:rsidR="00B71760" w:rsidRPr="00AF05E7" w:rsidRDefault="00B71760" w:rsidP="000B31BA">
            <w:pPr>
              <w:spacing w:line="240" w:lineRule="auto"/>
              <w:rPr>
                <w:rFonts w:eastAsia="Times New Roman"/>
                <w:lang w:eastAsia="sv-SE"/>
              </w:rPr>
            </w:pPr>
            <w:r w:rsidRPr="00AF05E7">
              <w:rPr>
                <w:rFonts w:eastAsia="Times New Roman"/>
                <w:lang w:eastAsia="sv-SE"/>
              </w:rPr>
              <w:t>Definitions</w:t>
            </w:r>
          </w:p>
        </w:tc>
      </w:tr>
      <w:tr w:rsidR="00B71760" w:rsidRPr="00AF05E7" w:rsidTr="000B31BA">
        <w:trPr>
          <w:trHeight w:val="20"/>
        </w:trPr>
        <w:tc>
          <w:tcPr>
            <w:tcW w:w="3040" w:type="dxa"/>
            <w:hideMark/>
          </w:tcPr>
          <w:p w:rsidR="00B71760" w:rsidRPr="00AF05E7" w:rsidRDefault="00B71760" w:rsidP="000B31BA">
            <w:pPr>
              <w:spacing w:line="240" w:lineRule="auto"/>
              <w:ind w:left="360" w:hanging="360"/>
            </w:pPr>
            <w:r w:rsidRPr="00AF05E7">
              <w:t>Cross-</w:t>
            </w:r>
            <w:r>
              <w:t>c</w:t>
            </w:r>
            <w:r w:rsidRPr="00AF05E7">
              <w:t>ultural</w:t>
            </w:r>
          </w:p>
        </w:tc>
        <w:tc>
          <w:tcPr>
            <w:tcW w:w="6232" w:type="dxa"/>
            <w:hideMark/>
          </w:tcPr>
          <w:p w:rsidR="00B71760" w:rsidRPr="00AF05E7" w:rsidRDefault="00B71760" w:rsidP="000B31BA">
            <w:pPr>
              <w:spacing w:line="240" w:lineRule="auto"/>
              <w:ind w:left="263" w:hanging="263"/>
              <w:rPr>
                <w:rFonts w:eastAsia="Times New Roman"/>
                <w:lang w:eastAsia="sv-SE"/>
              </w:rPr>
            </w:pPr>
            <w:r w:rsidRPr="00AF05E7">
              <w:rPr>
                <w:rFonts w:eastAsia="Times New Roman"/>
                <w:lang w:eastAsia="sv-SE"/>
              </w:rPr>
              <w:t>The link between gender-fair language and an egalitarian society is doubtful. Countries with more sexist language do not have more sex discrimination, and countries with more gender-fair language do not have less sex discrimination.</w:t>
            </w:r>
          </w:p>
        </w:tc>
      </w:tr>
      <w:tr w:rsidR="00B71760" w:rsidRPr="00AF05E7" w:rsidTr="000B31BA">
        <w:trPr>
          <w:trHeight w:val="20"/>
        </w:trPr>
        <w:tc>
          <w:tcPr>
            <w:tcW w:w="3040" w:type="dxa"/>
            <w:hideMark/>
          </w:tcPr>
          <w:p w:rsidR="00B71760" w:rsidRPr="00AF05E7" w:rsidRDefault="00B71760" w:rsidP="000B31BA">
            <w:pPr>
              <w:spacing w:line="240" w:lineRule="auto"/>
              <w:ind w:left="360" w:hanging="360"/>
            </w:pPr>
            <w:r w:rsidRPr="00AF05E7">
              <w:rPr>
                <w:rFonts w:eastAsia="Times New Roman"/>
                <w:iCs/>
                <w:lang w:eastAsia="sv-SE"/>
              </w:rPr>
              <w:t>Sexist language is a trivial concern</w:t>
            </w:r>
          </w:p>
        </w:tc>
        <w:tc>
          <w:tcPr>
            <w:tcW w:w="6232" w:type="dxa"/>
            <w:hideMark/>
          </w:tcPr>
          <w:p w:rsidR="00B71760" w:rsidRPr="00AF05E7" w:rsidRDefault="00B71760" w:rsidP="000B31BA">
            <w:pPr>
              <w:spacing w:line="240" w:lineRule="auto"/>
              <w:ind w:left="263" w:hanging="263"/>
              <w:rPr>
                <w:rFonts w:eastAsia="Times New Roman"/>
                <w:lang w:eastAsia="sv-SE"/>
              </w:rPr>
            </w:pPr>
            <w:r w:rsidRPr="00AF05E7">
              <w:rPr>
                <w:rFonts w:eastAsia="Times New Roman"/>
                <w:lang w:eastAsia="sv-SE"/>
              </w:rPr>
              <w:t>People should focus on more important forms of societal injustice than language, for example, on the “real” physical and economic oppression of women.</w:t>
            </w:r>
          </w:p>
        </w:tc>
      </w:tr>
      <w:tr w:rsidR="00B71760" w:rsidRPr="00AF05E7" w:rsidTr="000B31BA">
        <w:trPr>
          <w:trHeight w:val="20"/>
        </w:trPr>
        <w:tc>
          <w:tcPr>
            <w:tcW w:w="3040" w:type="dxa"/>
            <w:hideMark/>
          </w:tcPr>
          <w:p w:rsidR="00B71760" w:rsidRPr="00AF05E7" w:rsidRDefault="00B71760" w:rsidP="000B31BA">
            <w:pPr>
              <w:spacing w:line="240" w:lineRule="auto"/>
              <w:ind w:left="360" w:hanging="360"/>
              <w:rPr>
                <w:rFonts w:eastAsia="Times New Roman"/>
                <w:iCs/>
                <w:lang w:eastAsia="sv-SE"/>
              </w:rPr>
            </w:pPr>
            <w:r w:rsidRPr="00AF05E7">
              <w:rPr>
                <w:rFonts w:eastAsia="Times New Roman"/>
                <w:iCs/>
                <w:lang w:eastAsia="sv-SE"/>
              </w:rPr>
              <w:t>Freedom of</w:t>
            </w:r>
            <w:r>
              <w:rPr>
                <w:rFonts w:eastAsia="Times New Roman"/>
                <w:iCs/>
                <w:lang w:eastAsia="sv-SE"/>
              </w:rPr>
              <w:t xml:space="preserve"> </w:t>
            </w:r>
            <w:r w:rsidRPr="00AF05E7">
              <w:rPr>
                <w:rFonts w:eastAsia="Times New Roman"/>
                <w:iCs/>
                <w:lang w:eastAsia="sv-SE"/>
              </w:rPr>
              <w:t>speech/</w:t>
            </w:r>
            <w:r>
              <w:rPr>
                <w:rFonts w:eastAsia="Times New Roman"/>
                <w:iCs/>
                <w:lang w:eastAsia="sv-SE"/>
              </w:rPr>
              <w:t xml:space="preserve"> </w:t>
            </w:r>
            <w:r w:rsidRPr="00AF05E7">
              <w:rPr>
                <w:rFonts w:eastAsia="Times New Roman"/>
                <w:iCs/>
                <w:lang w:eastAsia="sv-SE"/>
              </w:rPr>
              <w:t>Unjustified coercion</w:t>
            </w:r>
          </w:p>
        </w:tc>
        <w:tc>
          <w:tcPr>
            <w:tcW w:w="6232" w:type="dxa"/>
            <w:hideMark/>
          </w:tcPr>
          <w:p w:rsidR="00B71760" w:rsidRPr="00AF05E7" w:rsidRDefault="00B71760" w:rsidP="000B31BA">
            <w:pPr>
              <w:spacing w:line="240" w:lineRule="auto"/>
              <w:ind w:left="263" w:hanging="263"/>
              <w:rPr>
                <w:rFonts w:eastAsia="Times New Roman"/>
                <w:lang w:eastAsia="sv-SE"/>
              </w:rPr>
            </w:pPr>
            <w:r w:rsidRPr="00AF05E7">
              <w:rPr>
                <w:rFonts w:eastAsia="Times New Roman"/>
                <w:lang w:eastAsia="sv-SE"/>
              </w:rPr>
              <w:t>The proponents of linguistic change attempt to control or censure freedom of speech through, for example, publication guidelines.</w:t>
            </w:r>
          </w:p>
        </w:tc>
      </w:tr>
      <w:tr w:rsidR="00B71760" w:rsidRPr="00AF05E7" w:rsidTr="000B31BA">
        <w:trPr>
          <w:trHeight w:val="20"/>
        </w:trPr>
        <w:tc>
          <w:tcPr>
            <w:tcW w:w="3040" w:type="dxa"/>
            <w:hideMark/>
          </w:tcPr>
          <w:p w:rsidR="00B71760" w:rsidRPr="00AF05E7" w:rsidRDefault="00B71760" w:rsidP="000B31BA">
            <w:pPr>
              <w:spacing w:line="240" w:lineRule="auto"/>
              <w:ind w:left="360" w:hanging="360"/>
              <w:rPr>
                <w:rFonts w:eastAsia="Times New Roman"/>
                <w:iCs/>
                <w:lang w:eastAsia="sv-SE"/>
              </w:rPr>
            </w:pPr>
            <w:bookmarkStart w:id="0" w:name="_GoBack"/>
            <w:bookmarkEnd w:id="0"/>
            <w:r w:rsidRPr="00AF05E7">
              <w:rPr>
                <w:rFonts w:eastAsia="Times New Roman"/>
                <w:iCs/>
                <w:lang w:eastAsia="sv-SE"/>
              </w:rPr>
              <w:t>Sexist language is not sexist</w:t>
            </w:r>
          </w:p>
        </w:tc>
        <w:tc>
          <w:tcPr>
            <w:tcW w:w="6232" w:type="dxa"/>
            <w:hideMark/>
          </w:tcPr>
          <w:p w:rsidR="00B71760" w:rsidRPr="00AF05E7" w:rsidRDefault="00B71760" w:rsidP="000B31BA">
            <w:pPr>
              <w:spacing w:line="240" w:lineRule="auto"/>
              <w:ind w:left="263" w:hanging="263"/>
              <w:rPr>
                <w:rFonts w:eastAsia="Times New Roman"/>
                <w:lang w:eastAsia="sv-SE"/>
              </w:rPr>
            </w:pPr>
            <w:r w:rsidRPr="00AF05E7">
              <w:rPr>
                <w:rFonts w:eastAsia="Times New Roman"/>
                <w:lang w:eastAsia="sv-SE"/>
              </w:rPr>
              <w:t>Sexist language is not sexist when there is no intention to be sexist. When words are perceived as sexist, the bias is not in the language used by the speaker, but in the person listening.</w:t>
            </w:r>
          </w:p>
        </w:tc>
      </w:tr>
      <w:tr w:rsidR="00B71760" w:rsidRPr="00AF05E7" w:rsidTr="000B31BA">
        <w:trPr>
          <w:trHeight w:val="20"/>
        </w:trPr>
        <w:tc>
          <w:tcPr>
            <w:tcW w:w="3040" w:type="dxa"/>
            <w:hideMark/>
          </w:tcPr>
          <w:p w:rsidR="00B71760" w:rsidRPr="00AF05E7" w:rsidRDefault="00B71760" w:rsidP="000B31BA">
            <w:pPr>
              <w:spacing w:line="240" w:lineRule="auto"/>
              <w:ind w:left="360" w:hanging="360"/>
              <w:rPr>
                <w:rFonts w:eastAsia="Times New Roman"/>
                <w:iCs/>
                <w:lang w:eastAsia="sv-SE"/>
              </w:rPr>
            </w:pPr>
            <w:r w:rsidRPr="00AF05E7">
              <w:rPr>
                <w:rFonts w:eastAsia="Times New Roman"/>
                <w:iCs/>
                <w:lang w:eastAsia="sv-SE"/>
              </w:rPr>
              <w:t>Word etymology</w:t>
            </w:r>
          </w:p>
        </w:tc>
        <w:tc>
          <w:tcPr>
            <w:tcW w:w="6232" w:type="dxa"/>
            <w:hideMark/>
          </w:tcPr>
          <w:p w:rsidR="00B71760" w:rsidRPr="00AF05E7" w:rsidRDefault="00B71760" w:rsidP="000B31BA">
            <w:pPr>
              <w:spacing w:line="240" w:lineRule="auto"/>
              <w:ind w:left="263" w:hanging="263"/>
              <w:rPr>
                <w:rFonts w:eastAsia="Times New Roman"/>
                <w:lang w:eastAsia="sv-SE"/>
              </w:rPr>
            </w:pPr>
            <w:r w:rsidRPr="00AF05E7">
              <w:rPr>
                <w:rFonts w:eastAsia="Times New Roman"/>
                <w:lang w:eastAsia="sv-SE"/>
              </w:rPr>
              <w:t>The original meaning of the word is the real meaning of the word, regardless of modern interpretations.</w:t>
            </w:r>
          </w:p>
        </w:tc>
      </w:tr>
      <w:tr w:rsidR="00B71760" w:rsidRPr="00AF05E7" w:rsidTr="000B31BA">
        <w:trPr>
          <w:trHeight w:val="20"/>
        </w:trPr>
        <w:tc>
          <w:tcPr>
            <w:tcW w:w="3040" w:type="dxa"/>
            <w:hideMark/>
          </w:tcPr>
          <w:p w:rsidR="00B71760" w:rsidRPr="00AF05E7" w:rsidRDefault="00B71760" w:rsidP="000B31BA">
            <w:pPr>
              <w:spacing w:line="240" w:lineRule="auto"/>
              <w:ind w:left="360" w:hanging="360"/>
              <w:rPr>
                <w:rFonts w:eastAsia="Times New Roman"/>
                <w:iCs/>
                <w:lang w:eastAsia="sv-SE"/>
              </w:rPr>
            </w:pPr>
            <w:r w:rsidRPr="00AF05E7">
              <w:rPr>
                <w:rFonts w:eastAsia="Times New Roman"/>
                <w:iCs/>
                <w:lang w:eastAsia="sv-SE"/>
              </w:rPr>
              <w:t>Appeal to authority</w:t>
            </w:r>
          </w:p>
        </w:tc>
        <w:tc>
          <w:tcPr>
            <w:tcW w:w="6232" w:type="dxa"/>
            <w:hideMark/>
          </w:tcPr>
          <w:p w:rsidR="00B71760" w:rsidRPr="00AF05E7" w:rsidRDefault="00B71760" w:rsidP="000B31BA">
            <w:pPr>
              <w:spacing w:line="240" w:lineRule="auto"/>
              <w:ind w:left="263" w:hanging="263"/>
              <w:rPr>
                <w:rFonts w:eastAsia="Times New Roman"/>
                <w:lang w:eastAsia="sv-SE"/>
              </w:rPr>
            </w:pPr>
            <w:r w:rsidRPr="00AF05E7">
              <w:rPr>
                <w:rFonts w:eastAsia="Times New Roman"/>
                <w:lang w:eastAsia="sv-SE"/>
              </w:rPr>
              <w:t>Authorities in the field of language, such as linguists or dictionaries but also teachers and family members, have a final say in what is the correct way to use language.</w:t>
            </w:r>
          </w:p>
        </w:tc>
      </w:tr>
      <w:tr w:rsidR="00B71760" w:rsidRPr="00AF05E7" w:rsidTr="000B31BA">
        <w:trPr>
          <w:trHeight w:val="20"/>
        </w:trPr>
        <w:tc>
          <w:tcPr>
            <w:tcW w:w="3040" w:type="dxa"/>
            <w:hideMark/>
          </w:tcPr>
          <w:p w:rsidR="00B71760" w:rsidRPr="00AF05E7" w:rsidRDefault="00B71760" w:rsidP="000B31BA">
            <w:pPr>
              <w:spacing w:line="240" w:lineRule="auto"/>
              <w:ind w:left="360" w:hanging="360"/>
            </w:pPr>
            <w:r w:rsidRPr="00AF05E7">
              <w:t>Change is too difficult and unnecessary</w:t>
            </w:r>
          </w:p>
        </w:tc>
        <w:tc>
          <w:tcPr>
            <w:tcW w:w="6232" w:type="dxa"/>
            <w:hideMark/>
          </w:tcPr>
          <w:p w:rsidR="00B71760" w:rsidRPr="00AF05E7" w:rsidRDefault="00B71760" w:rsidP="000B31BA">
            <w:pPr>
              <w:spacing w:line="240" w:lineRule="auto"/>
              <w:ind w:left="263" w:hanging="263"/>
              <w:rPr>
                <w:rFonts w:eastAsia="Times New Roman"/>
                <w:lang w:eastAsia="sv-SE"/>
              </w:rPr>
            </w:pPr>
            <w:r w:rsidRPr="00AF05E7">
              <w:rPr>
                <w:rFonts w:eastAsia="Times New Roman"/>
                <w:lang w:eastAsia="sv-SE"/>
              </w:rPr>
              <w:t>The current linguistic term is too deeply rooted in the language, the suggested change is too devious, or breaking a language habit is too difficult to justify implementing the change.</w:t>
            </w:r>
          </w:p>
        </w:tc>
      </w:tr>
      <w:tr w:rsidR="00B71760" w:rsidRPr="00AF05E7" w:rsidTr="000B31BA">
        <w:trPr>
          <w:trHeight w:val="20"/>
        </w:trPr>
        <w:tc>
          <w:tcPr>
            <w:tcW w:w="3040" w:type="dxa"/>
            <w:hideMark/>
          </w:tcPr>
          <w:p w:rsidR="00B71760" w:rsidRPr="00AF05E7" w:rsidRDefault="00B71760" w:rsidP="000B31BA">
            <w:pPr>
              <w:spacing w:line="240" w:lineRule="auto"/>
              <w:ind w:left="360" w:hanging="360"/>
              <w:rPr>
                <w:rFonts w:eastAsia="Times New Roman"/>
                <w:iCs/>
                <w:lang w:eastAsia="sv-SE"/>
              </w:rPr>
            </w:pPr>
            <w:r w:rsidRPr="00AF05E7">
              <w:rPr>
                <w:rFonts w:eastAsia="Times New Roman"/>
                <w:iCs/>
                <w:lang w:eastAsia="sv-SE"/>
              </w:rPr>
              <w:t xml:space="preserve">Historical </w:t>
            </w:r>
            <w:r>
              <w:rPr>
                <w:rFonts w:eastAsia="Times New Roman"/>
                <w:iCs/>
                <w:lang w:eastAsia="sv-SE"/>
              </w:rPr>
              <w:t>a</w:t>
            </w:r>
            <w:r w:rsidRPr="00AF05E7">
              <w:rPr>
                <w:rFonts w:eastAsia="Times New Roman"/>
                <w:iCs/>
                <w:lang w:eastAsia="sv-SE"/>
              </w:rPr>
              <w:t>uthenticity</w:t>
            </w:r>
          </w:p>
        </w:tc>
        <w:tc>
          <w:tcPr>
            <w:tcW w:w="6232" w:type="dxa"/>
            <w:hideMark/>
          </w:tcPr>
          <w:p w:rsidR="00B71760" w:rsidRPr="00AF05E7" w:rsidRDefault="00B71760" w:rsidP="000B31BA">
            <w:pPr>
              <w:spacing w:line="240" w:lineRule="auto"/>
              <w:ind w:left="263" w:hanging="263"/>
              <w:rPr>
                <w:rFonts w:eastAsia="Times New Roman"/>
                <w:lang w:eastAsia="sv-SE"/>
              </w:rPr>
            </w:pPr>
            <w:r w:rsidRPr="00AF05E7">
              <w:rPr>
                <w:rFonts w:eastAsia="Times New Roman"/>
                <w:lang w:eastAsia="sv-SE"/>
              </w:rPr>
              <w:t>Rewriting literary works, historical documents</w:t>
            </w:r>
            <w:r>
              <w:rPr>
                <w:rFonts w:eastAsia="Times New Roman"/>
                <w:lang w:eastAsia="sv-SE"/>
              </w:rPr>
              <w:t>,</w:t>
            </w:r>
            <w:r w:rsidRPr="00AF05E7">
              <w:rPr>
                <w:rFonts w:eastAsia="Times New Roman"/>
                <w:lang w:eastAsia="sv-SE"/>
              </w:rPr>
              <w:t xml:space="preserve"> and idiom would damage them in terms of accuracy and truthfulness.</w:t>
            </w:r>
          </w:p>
        </w:tc>
      </w:tr>
      <w:tr w:rsidR="00B71760" w:rsidRPr="00AF05E7" w:rsidTr="000B31BA">
        <w:trPr>
          <w:trHeight w:val="20"/>
        </w:trPr>
        <w:tc>
          <w:tcPr>
            <w:tcW w:w="3040" w:type="dxa"/>
            <w:hideMark/>
          </w:tcPr>
          <w:p w:rsidR="00B71760" w:rsidRPr="00AF05E7" w:rsidRDefault="00B71760" w:rsidP="000B31BA">
            <w:pPr>
              <w:spacing w:line="240" w:lineRule="auto"/>
              <w:ind w:left="360" w:hanging="360"/>
              <w:rPr>
                <w:rFonts w:eastAsia="Times New Roman"/>
                <w:iCs/>
                <w:lang w:eastAsia="sv-SE"/>
              </w:rPr>
            </w:pPr>
            <w:r w:rsidRPr="00AF05E7">
              <w:rPr>
                <w:rFonts w:eastAsia="Times New Roman"/>
                <w:iCs/>
                <w:lang w:eastAsia="sv-SE"/>
              </w:rPr>
              <w:t>Sexism is acceptable</w:t>
            </w:r>
          </w:p>
        </w:tc>
        <w:tc>
          <w:tcPr>
            <w:tcW w:w="6232" w:type="dxa"/>
            <w:hideMark/>
          </w:tcPr>
          <w:p w:rsidR="00B71760" w:rsidRPr="00AF05E7" w:rsidRDefault="00B71760" w:rsidP="000B31BA">
            <w:pPr>
              <w:spacing w:line="240" w:lineRule="auto"/>
              <w:ind w:left="263" w:hanging="263"/>
              <w:rPr>
                <w:rFonts w:eastAsia="Times New Roman"/>
                <w:lang w:eastAsia="sv-SE"/>
              </w:rPr>
            </w:pPr>
            <w:r w:rsidRPr="00AF05E7">
              <w:rPr>
                <w:rFonts w:eastAsia="Times New Roman"/>
                <w:lang w:eastAsia="sv-SE"/>
              </w:rPr>
              <w:t>Men are superior to women, so it is acceptable if language reflects this. There are differences between women and men, and language should reflect this.</w:t>
            </w:r>
          </w:p>
        </w:tc>
      </w:tr>
      <w:tr w:rsidR="00B71760" w:rsidRPr="00AF05E7" w:rsidTr="000B31BA">
        <w:trPr>
          <w:trHeight w:val="20"/>
        </w:trPr>
        <w:tc>
          <w:tcPr>
            <w:tcW w:w="3040" w:type="dxa"/>
            <w:hideMark/>
          </w:tcPr>
          <w:p w:rsidR="00B71760" w:rsidRPr="00AF05E7" w:rsidRDefault="00B71760" w:rsidP="000B31BA">
            <w:pPr>
              <w:spacing w:line="240" w:lineRule="auto"/>
              <w:ind w:left="360" w:hanging="360"/>
              <w:rPr>
                <w:rFonts w:eastAsia="Times New Roman"/>
                <w:iCs/>
                <w:lang w:eastAsia="sv-SE"/>
              </w:rPr>
            </w:pPr>
            <w:r w:rsidRPr="00AF05E7">
              <w:rPr>
                <w:rFonts w:eastAsia="Times New Roman"/>
                <w:iCs/>
                <w:lang w:eastAsia="sv-SE"/>
              </w:rPr>
              <w:t>Hostility and ridicule</w:t>
            </w:r>
          </w:p>
        </w:tc>
        <w:tc>
          <w:tcPr>
            <w:tcW w:w="6232" w:type="dxa"/>
            <w:hideMark/>
          </w:tcPr>
          <w:p w:rsidR="00B71760" w:rsidRPr="00AF05E7" w:rsidRDefault="00B71760" w:rsidP="000B31BA">
            <w:pPr>
              <w:spacing w:line="240" w:lineRule="auto"/>
              <w:ind w:left="263" w:hanging="263"/>
              <w:rPr>
                <w:rFonts w:eastAsia="Times New Roman"/>
                <w:lang w:eastAsia="sv-SE"/>
              </w:rPr>
            </w:pPr>
            <w:r w:rsidRPr="00AF05E7">
              <w:rPr>
                <w:rFonts w:eastAsia="Times New Roman"/>
                <w:lang w:eastAsia="sv-SE"/>
              </w:rPr>
              <w:t>The topic of sexist language is ridiculous and potentially harmful. Proponents of gender-fair language are malicious.</w:t>
            </w:r>
          </w:p>
        </w:tc>
      </w:tr>
      <w:tr w:rsidR="00B71760" w:rsidRPr="00AF05E7" w:rsidTr="000B31BA">
        <w:trPr>
          <w:trHeight w:val="20"/>
        </w:trPr>
        <w:tc>
          <w:tcPr>
            <w:tcW w:w="3040" w:type="dxa"/>
            <w:tcBorders>
              <w:top w:val="nil"/>
              <w:left w:val="nil"/>
              <w:bottom w:val="single" w:sz="4" w:space="0" w:color="auto"/>
              <w:right w:val="nil"/>
            </w:tcBorders>
            <w:hideMark/>
          </w:tcPr>
          <w:p w:rsidR="00B71760" w:rsidRPr="00AF05E7" w:rsidRDefault="00B71760" w:rsidP="000B31BA">
            <w:pPr>
              <w:spacing w:line="240" w:lineRule="auto"/>
              <w:ind w:left="360" w:hanging="360"/>
              <w:rPr>
                <w:rFonts w:eastAsia="Times New Roman"/>
                <w:lang w:eastAsia="sv-SE"/>
              </w:rPr>
            </w:pPr>
            <w:r w:rsidRPr="00AF05E7">
              <w:rPr>
                <w:rFonts w:eastAsia="Times New Roman"/>
                <w:iCs/>
                <w:lang w:eastAsia="sv-SE"/>
              </w:rPr>
              <w:t>Tradition</w:t>
            </w:r>
          </w:p>
        </w:tc>
        <w:tc>
          <w:tcPr>
            <w:tcW w:w="6232" w:type="dxa"/>
            <w:tcBorders>
              <w:top w:val="nil"/>
              <w:left w:val="nil"/>
              <w:bottom w:val="single" w:sz="4" w:space="0" w:color="auto"/>
              <w:right w:val="nil"/>
            </w:tcBorders>
            <w:hideMark/>
          </w:tcPr>
          <w:p w:rsidR="00B71760" w:rsidRPr="00AF05E7" w:rsidRDefault="00B71760" w:rsidP="000B31BA">
            <w:pPr>
              <w:spacing w:line="240" w:lineRule="auto"/>
              <w:ind w:left="263" w:hanging="263"/>
              <w:rPr>
                <w:rFonts w:eastAsia="Times New Roman"/>
                <w:lang w:eastAsia="sv-SE"/>
              </w:rPr>
            </w:pPr>
            <w:r w:rsidRPr="00AF05E7">
              <w:rPr>
                <w:rFonts w:eastAsia="Times New Roman"/>
                <w:lang w:eastAsia="sv-SE"/>
              </w:rPr>
              <w:t>Language is the way it is and has been this way a long time, and it should remain unaltered.</w:t>
            </w:r>
          </w:p>
        </w:tc>
      </w:tr>
    </w:tbl>
    <w:p w:rsidR="00B71760" w:rsidRDefault="00B71760" w:rsidP="00B71760">
      <w:pPr>
        <w:pStyle w:val="EndNoteBibliography"/>
        <w:spacing w:after="0"/>
        <w:ind w:firstLine="0"/>
        <w:rPr>
          <w:rFonts w:ascii="Times New Roman" w:hAnsi="Times New Roman" w:cs="Times New Roman"/>
        </w:rPr>
      </w:pPr>
    </w:p>
    <w:p w:rsidR="00B71760" w:rsidRPr="00EE25B5" w:rsidRDefault="00B71760" w:rsidP="00B71760">
      <w:pPr>
        <w:spacing w:line="240" w:lineRule="auto"/>
        <w:ind w:left="720" w:hanging="720"/>
        <w:rPr>
          <w:noProof/>
          <w:color w:val="000000"/>
        </w:rPr>
      </w:pPr>
      <w:r w:rsidRPr="00AF05E7">
        <w:rPr>
          <w:noProof/>
          <w:color w:val="000000"/>
        </w:rPr>
        <w:lastRenderedPageBreak/>
        <w:t xml:space="preserve">Blaubergs, M. S. (1980). An analysis of classic arguments against changing sexist language. </w:t>
      </w:r>
      <w:r w:rsidRPr="00AF05E7">
        <w:rPr>
          <w:i/>
          <w:iCs/>
          <w:noProof/>
          <w:color w:val="000000"/>
        </w:rPr>
        <w:t>Women’s Studies International Quarterly</w:t>
      </w:r>
      <w:r w:rsidRPr="00AF05E7">
        <w:rPr>
          <w:noProof/>
          <w:color w:val="000000"/>
        </w:rPr>
        <w:t xml:space="preserve">, </w:t>
      </w:r>
      <w:r w:rsidRPr="00AF05E7">
        <w:rPr>
          <w:i/>
          <w:iCs/>
          <w:noProof/>
          <w:color w:val="000000"/>
        </w:rPr>
        <w:t>3</w:t>
      </w:r>
      <w:r w:rsidRPr="00AF05E7">
        <w:rPr>
          <w:noProof/>
          <w:color w:val="000000"/>
        </w:rPr>
        <w:t xml:space="preserve">(2–3), 135–147. </w:t>
      </w:r>
      <w:hyperlink r:id="rId6" w:history="1">
        <w:r w:rsidRPr="00EE25B5">
          <w:rPr>
            <w:rStyle w:val="Hyperlink"/>
            <w:noProof/>
            <w:color w:val="000000"/>
          </w:rPr>
          <w:t>https://doi.org/10.1016/S0148-0685(80)92071-0</w:t>
        </w:r>
      </w:hyperlink>
    </w:p>
    <w:p w:rsidR="00B71760" w:rsidRDefault="00B71760" w:rsidP="00B71760">
      <w:pPr>
        <w:spacing w:line="240" w:lineRule="auto"/>
        <w:ind w:left="720" w:hanging="720"/>
        <w:rPr>
          <w:noProof/>
          <w:color w:val="000000"/>
        </w:rPr>
      </w:pPr>
    </w:p>
    <w:p w:rsidR="00B71760" w:rsidRPr="00AF05E7" w:rsidRDefault="00B71760" w:rsidP="00B71760">
      <w:pPr>
        <w:spacing w:line="240" w:lineRule="auto"/>
        <w:ind w:left="720" w:hanging="720"/>
        <w:rPr>
          <w:noProof/>
          <w:color w:val="000000"/>
        </w:rPr>
      </w:pPr>
      <w:r w:rsidRPr="00AF05E7">
        <w:rPr>
          <w:noProof/>
          <w:color w:val="000000"/>
        </w:rPr>
        <w:t xml:space="preserve">Parks, J. B., &amp; Roberton, M. A. (1998). Contemporary </w:t>
      </w:r>
      <w:r>
        <w:rPr>
          <w:noProof/>
          <w:color w:val="000000"/>
        </w:rPr>
        <w:t>a</w:t>
      </w:r>
      <w:r w:rsidRPr="00AF05E7">
        <w:rPr>
          <w:noProof/>
          <w:color w:val="000000"/>
        </w:rPr>
        <w:t xml:space="preserve">rguments </w:t>
      </w:r>
      <w:r>
        <w:rPr>
          <w:noProof/>
          <w:color w:val="000000"/>
        </w:rPr>
        <w:t>a</w:t>
      </w:r>
      <w:r w:rsidRPr="00AF05E7">
        <w:rPr>
          <w:noProof/>
          <w:color w:val="000000"/>
        </w:rPr>
        <w:t xml:space="preserve">gainst </w:t>
      </w:r>
      <w:r>
        <w:rPr>
          <w:noProof/>
          <w:color w:val="000000"/>
        </w:rPr>
        <w:t>n</w:t>
      </w:r>
      <w:r w:rsidRPr="00AF05E7">
        <w:rPr>
          <w:noProof/>
          <w:color w:val="000000"/>
        </w:rPr>
        <w:t xml:space="preserve">onsexist </w:t>
      </w:r>
      <w:r w:rsidRPr="00EE25B5">
        <w:rPr>
          <w:noProof/>
          <w:color w:val="000000"/>
        </w:rPr>
        <w:t xml:space="preserve">language: Blaubergs (1980) revisited. </w:t>
      </w:r>
      <w:r w:rsidRPr="00EE25B5">
        <w:rPr>
          <w:i/>
          <w:iCs/>
          <w:noProof/>
          <w:color w:val="000000"/>
        </w:rPr>
        <w:t>Sex Roles</w:t>
      </w:r>
      <w:r w:rsidRPr="00EE25B5">
        <w:rPr>
          <w:noProof/>
          <w:color w:val="000000"/>
        </w:rPr>
        <w:t xml:space="preserve">, </w:t>
      </w:r>
      <w:r w:rsidRPr="00EE25B5">
        <w:rPr>
          <w:i/>
          <w:iCs/>
          <w:noProof/>
          <w:color w:val="000000"/>
        </w:rPr>
        <w:t>39</w:t>
      </w:r>
      <w:r w:rsidRPr="00EE25B5">
        <w:rPr>
          <w:noProof/>
          <w:color w:val="000000"/>
        </w:rPr>
        <w:t xml:space="preserve">(5/6), 445–461. </w:t>
      </w:r>
      <w:r w:rsidRPr="00EE25B5">
        <w:rPr>
          <w:color w:val="000000"/>
          <w:spacing w:val="4"/>
          <w:shd w:val="clear" w:color="auto" w:fill="FCFCFC"/>
        </w:rPr>
        <w:t>https://doi.org/10.1023/A:1018827227128</w:t>
      </w:r>
    </w:p>
    <w:p w:rsidR="00B71760" w:rsidRPr="00B71760" w:rsidRDefault="00B71760" w:rsidP="00B71760"/>
    <w:sectPr w:rsidR="00B71760" w:rsidRPr="00B71760" w:rsidSect="00EA5199">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760"/>
    <w:rsid w:val="00175847"/>
    <w:rsid w:val="009E3965"/>
    <w:rsid w:val="00B25579"/>
    <w:rsid w:val="00B717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1760"/>
    <w:pPr>
      <w:spacing w:after="0" w:line="240" w:lineRule="auto"/>
    </w:pPr>
    <w:rPr>
      <w:rFonts w:eastAsiaTheme="minorEastAsia"/>
      <w:lang w:val="en-US" w:eastAsia="ja-JP"/>
    </w:rPr>
  </w:style>
  <w:style w:type="table" w:styleId="TableGrid">
    <w:name w:val="Table Grid"/>
    <w:basedOn w:val="TableNormal"/>
    <w:uiPriority w:val="39"/>
    <w:rsid w:val="00B71760"/>
    <w:pPr>
      <w:spacing w:after="0" w:line="240" w:lineRule="auto"/>
    </w:pPr>
    <w:rPr>
      <w:rFonts w:eastAsiaTheme="minorEastAsia"/>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B71760"/>
  </w:style>
  <w:style w:type="character" w:styleId="Hyperlink">
    <w:name w:val="Hyperlink"/>
    <w:uiPriority w:val="99"/>
    <w:unhideWhenUsed/>
    <w:rsid w:val="00B71760"/>
    <w:rPr>
      <w:color w:val="0563C1"/>
      <w:u w:val="single"/>
    </w:rPr>
  </w:style>
  <w:style w:type="paragraph" w:customStyle="1" w:styleId="EndNoteBibliography">
    <w:name w:val="EndNote Bibliography"/>
    <w:basedOn w:val="Normal"/>
    <w:rsid w:val="00B71760"/>
    <w:pPr>
      <w:spacing w:line="240" w:lineRule="auto"/>
      <w:ind w:firstLine="567"/>
      <w:jc w:val="both"/>
    </w:pPr>
    <w:rPr>
      <w:rFonts w:ascii="Calibri" w:eastAsia="Calibri" w:hAnsi="Calibri" w:cs="Calibri"/>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1760"/>
    <w:pPr>
      <w:spacing w:after="0" w:line="240" w:lineRule="auto"/>
    </w:pPr>
    <w:rPr>
      <w:rFonts w:eastAsiaTheme="minorEastAsia"/>
      <w:lang w:val="en-US" w:eastAsia="ja-JP"/>
    </w:rPr>
  </w:style>
  <w:style w:type="table" w:styleId="TableGrid">
    <w:name w:val="Table Grid"/>
    <w:basedOn w:val="TableNormal"/>
    <w:uiPriority w:val="39"/>
    <w:rsid w:val="00B71760"/>
    <w:pPr>
      <w:spacing w:after="0" w:line="240" w:lineRule="auto"/>
    </w:pPr>
    <w:rPr>
      <w:rFonts w:eastAsiaTheme="minorEastAsia"/>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B71760"/>
  </w:style>
  <w:style w:type="character" w:styleId="Hyperlink">
    <w:name w:val="Hyperlink"/>
    <w:uiPriority w:val="99"/>
    <w:unhideWhenUsed/>
    <w:rsid w:val="00B71760"/>
    <w:rPr>
      <w:color w:val="0563C1"/>
      <w:u w:val="single"/>
    </w:rPr>
  </w:style>
  <w:style w:type="paragraph" w:customStyle="1" w:styleId="EndNoteBibliography">
    <w:name w:val="EndNote Bibliography"/>
    <w:basedOn w:val="Normal"/>
    <w:rsid w:val="00B71760"/>
    <w:pPr>
      <w:spacing w:line="240" w:lineRule="auto"/>
      <w:ind w:firstLine="567"/>
      <w:jc w:val="both"/>
    </w:pPr>
    <w:rPr>
      <w:rFonts w:ascii="Calibri" w:eastAsia="Calibri" w:hAnsi="Calibri" w:cs="Calibr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doi.org/10.1016/S0148-0685(80)92071-0" TargetMode="External"/><Relationship Id="rId5" Type="http://schemas.openxmlformats.org/officeDocument/2006/relationships/hyperlink" Target="mailto:hellen.vergoossen@psychology.su.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419</Words>
  <Characters>2377</Characters>
  <Application>Microsoft Office Word</Application>
  <DocSecurity>0</DocSecurity>
  <Lines>54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DDELACERNA</dc:creator>
  <cp:lastModifiedBy>DDELACERNA</cp:lastModifiedBy>
  <cp:revision>1</cp:revision>
  <dcterms:created xsi:type="dcterms:W3CDTF">2019-12-10T14:31:00Z</dcterms:created>
  <dcterms:modified xsi:type="dcterms:W3CDTF">2019-12-10T18:53:00Z</dcterms:modified>
</cp:coreProperties>
</file>