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744C" w:rsidRDefault="00C9744C" w:rsidP="00C9744C">
      <w:pPr>
        <w:ind w:firstLine="720"/>
      </w:pPr>
      <w:r>
        <w:rPr>
          <w:rStyle w:val="normaltextrun"/>
          <w:color w:val="000000"/>
          <w:shd w:val="clear" w:color="auto" w:fill="FFFF00"/>
          <w:lang w:val="en-US"/>
        </w:rPr>
        <w:t>Online supplement</w:t>
      </w:r>
      <w:r>
        <w:rPr>
          <w:rStyle w:val="normaltextrun"/>
          <w:color w:val="000000"/>
          <w:lang w:val="en-US"/>
        </w:rPr>
        <w:t xml:space="preserve"> for Gerrard, B., </w:t>
      </w:r>
      <w:proofErr w:type="spellStart"/>
      <w:r>
        <w:rPr>
          <w:rStyle w:val="normaltextrun"/>
          <w:color w:val="000000"/>
          <w:lang w:val="en-US"/>
        </w:rPr>
        <w:t>Morandini</w:t>
      </w:r>
      <w:proofErr w:type="spellEnd"/>
      <w:r>
        <w:rPr>
          <w:rStyle w:val="normaltextrun"/>
          <w:color w:val="000000"/>
          <w:lang w:val="en-US"/>
        </w:rPr>
        <w:t xml:space="preserve">, J., &amp; Dar-Nimrod, I. (2022). Gay and straight men prefer masculine-presenting gay men a high-status role: Evidence from an ecologically valid experiment. </w:t>
      </w:r>
      <w:r>
        <w:rPr>
          <w:rStyle w:val="normaltextrun"/>
          <w:i/>
          <w:iCs/>
          <w:color w:val="000000"/>
          <w:lang w:val="en-US"/>
        </w:rPr>
        <w:t>Sex Roles</w:t>
      </w:r>
      <w:r>
        <w:rPr>
          <w:rStyle w:val="normaltextrun"/>
          <w:rFonts w:ascii="SimSun" w:eastAsia="SimSun" w:hAnsi="SimSun" w:cs="Segoe UI" w:hint="eastAsia"/>
          <w:color w:val="000000"/>
          <w:lang w:val="en-US"/>
        </w:rPr>
        <w:t>. </w:t>
      </w:r>
      <w:r>
        <w:rPr>
          <w:rStyle w:val="normaltextrun"/>
          <w:color w:val="000000"/>
          <w:lang w:val="en-US"/>
        </w:rPr>
        <w:t xml:space="preserve">Benjamin Gerrard, </w:t>
      </w:r>
      <w:proofErr w:type="gramStart"/>
      <w:r>
        <w:rPr>
          <w:rStyle w:val="normaltextrun"/>
          <w:color w:val="000000"/>
          <w:lang w:val="en-US"/>
        </w:rPr>
        <w:t>The</w:t>
      </w:r>
      <w:proofErr w:type="gramEnd"/>
      <w:r>
        <w:rPr>
          <w:rStyle w:val="normaltextrun"/>
          <w:color w:val="000000"/>
          <w:lang w:val="en-US"/>
        </w:rPr>
        <w:t xml:space="preserve"> University of Sydney. Email: </w:t>
      </w:r>
      <w:hyperlink r:id="rId5" w:history="1">
        <w:r>
          <w:rPr>
            <w:rStyle w:val="Hyperlink"/>
            <w:rFonts w:ascii="Verdana" w:hAnsi="Verdana"/>
            <w:color w:val="0000EE"/>
            <w:sz w:val="17"/>
            <w:szCs w:val="17"/>
          </w:rPr>
          <w:t>bennida@hotmail.com</w:t>
        </w:r>
      </w:hyperlink>
    </w:p>
    <w:p w:rsidR="00C9744C" w:rsidRDefault="00C9744C" w:rsidP="00C9744C">
      <w:pPr>
        <w:ind w:firstLine="720"/>
      </w:pPr>
    </w:p>
    <w:p w:rsidR="00C9744C" w:rsidRPr="00282CA3" w:rsidRDefault="00C9744C" w:rsidP="00C9744C">
      <w:pPr>
        <w:jc w:val="center"/>
        <w:rPr>
          <w:b/>
          <w:bCs/>
        </w:rPr>
      </w:pPr>
      <w:proofErr w:type="gramStart"/>
      <w:r w:rsidRPr="00282CA3">
        <w:rPr>
          <w:b/>
          <w:bCs/>
        </w:rPr>
        <w:t>Pilot  Study</w:t>
      </w:r>
      <w:proofErr w:type="gramEnd"/>
      <w:r w:rsidRPr="00282CA3">
        <w:rPr>
          <w:b/>
          <w:bCs/>
        </w:rPr>
        <w:t xml:space="preserve"> Validating the Videos as Masculine</w:t>
      </w:r>
      <w:r>
        <w:rPr>
          <w:b/>
          <w:bCs/>
        </w:rPr>
        <w:t>-Presenting</w:t>
      </w:r>
      <w:r w:rsidRPr="00282CA3">
        <w:rPr>
          <w:b/>
          <w:bCs/>
        </w:rPr>
        <w:t xml:space="preserve"> and Feminine</w:t>
      </w:r>
      <w:r>
        <w:rPr>
          <w:b/>
          <w:bCs/>
        </w:rPr>
        <w:t>-Presenting</w:t>
      </w:r>
    </w:p>
    <w:p w:rsidR="00C9744C" w:rsidRDefault="00C9744C" w:rsidP="00C9744C">
      <w:pPr>
        <w:pStyle w:val="APABodyText"/>
        <w:ind w:firstLine="0"/>
      </w:pPr>
    </w:p>
    <w:p w:rsidR="00C9744C" w:rsidRPr="005A2207" w:rsidRDefault="00C9744C" w:rsidP="00C9744C">
      <w:pPr>
        <w:pStyle w:val="APABodyText"/>
      </w:pPr>
      <w:r>
        <w:t>T</w:t>
      </w:r>
      <w:r w:rsidRPr="005A2207">
        <w:t xml:space="preserve">o validate the videos as being masculine versus feminine, a method by </w:t>
      </w:r>
      <w:proofErr w:type="spellStart"/>
      <w:r w:rsidRPr="005A2207">
        <w:t>Fasoli</w:t>
      </w:r>
      <w:proofErr w:type="spellEnd"/>
      <w:r w:rsidRPr="005A2207">
        <w:t xml:space="preserve"> </w:t>
      </w:r>
      <w:r>
        <w:t>et al.</w:t>
      </w:r>
      <w:r w:rsidRPr="005A2207">
        <w:t xml:space="preserve"> (</w:t>
      </w:r>
      <w:r w:rsidRPr="005A2207">
        <w:rPr>
          <w:iCs/>
        </w:rPr>
        <w:t>2017</w:t>
      </w:r>
      <w:r w:rsidRPr="005A2207">
        <w:t xml:space="preserve">) was adapted. </w:t>
      </w:r>
      <w:proofErr w:type="spellStart"/>
      <w:r w:rsidRPr="005A2207">
        <w:t>Fasoli</w:t>
      </w:r>
      <w:proofErr w:type="spellEnd"/>
      <w:r w:rsidRPr="005A2207">
        <w:t xml:space="preserve"> et al. used pre-ratings from an independent participant pool to </w:t>
      </w:r>
      <w:r>
        <w:t xml:space="preserve">validate </w:t>
      </w:r>
      <w:r w:rsidRPr="005A2207">
        <w:t>images of straight</w:t>
      </w:r>
      <w:r>
        <w:t>-</w:t>
      </w:r>
      <w:r w:rsidRPr="005A2207">
        <w:t xml:space="preserve"> versus gay-looking faces for use in a subsequent study. Similarly, for the current study, a separate participant pool </w:t>
      </w:r>
      <w:r>
        <w:t>rated</w:t>
      </w:r>
      <w:r w:rsidRPr="005A2207">
        <w:t xml:space="preserve"> the masculinity of the videos to validate them before use in the main ad campaign study. Paired </w:t>
      </w:r>
      <w:r w:rsidRPr="009B6096">
        <w:rPr>
          <w:i/>
          <w:iCs/>
        </w:rPr>
        <w:t>t</w:t>
      </w:r>
      <w:r w:rsidRPr="005A2207">
        <w:t xml:space="preserve">-tests </w:t>
      </w:r>
      <w:r>
        <w:t>assessed whether there was</w:t>
      </w:r>
      <w:r w:rsidRPr="005A2207">
        <w:t xml:space="preserve"> significant difference in </w:t>
      </w:r>
      <w:r>
        <w:t xml:space="preserve">the </w:t>
      </w:r>
      <w:r w:rsidRPr="005A2207">
        <w:t>perceived masculinity between the masculine and feminine videos. In addition, each actor’s two videos w</w:t>
      </w:r>
      <w:r>
        <w:t>ere required</w:t>
      </w:r>
      <w:r w:rsidRPr="005A2207">
        <w:t xml:space="preserve"> to satisfy </w:t>
      </w:r>
      <w:r>
        <w:t xml:space="preserve">at least two of the following </w:t>
      </w:r>
      <w:r w:rsidRPr="005A2207">
        <w:t xml:space="preserve">cut-off scores: </w:t>
      </w:r>
      <w:r>
        <w:t>(</w:t>
      </w:r>
      <w:r w:rsidRPr="005A2207">
        <w:t>1) a maximum average score of 2.8 (out of 5) for their feminine</w:t>
      </w:r>
      <w:r>
        <w:t xml:space="preserve"> </w:t>
      </w:r>
      <w:r w:rsidRPr="005A2207">
        <w:t>video</w:t>
      </w:r>
      <w:r>
        <w:t>,</w:t>
      </w:r>
      <w:r w:rsidRPr="005A2207">
        <w:t xml:space="preserve"> </w:t>
      </w:r>
      <w:r>
        <w:t>(</w:t>
      </w:r>
      <w:r w:rsidRPr="005A2207">
        <w:t xml:space="preserve">2) a minimum average score of 3.8 (out of 5) for their masculine video and </w:t>
      </w:r>
      <w:r>
        <w:t>(</w:t>
      </w:r>
      <w:r w:rsidRPr="005A2207">
        <w:t>3) a minimum average difference score of at least 1 between their masculine and feminine videos.</w:t>
      </w:r>
    </w:p>
    <w:p w:rsidR="00C9744C" w:rsidRPr="005A2207" w:rsidRDefault="00C9744C" w:rsidP="00C9744C">
      <w:pPr>
        <w:pStyle w:val="APABodyText"/>
      </w:pPr>
      <w:r w:rsidRPr="005A2207">
        <w:t>The perceived masculinity of the actors’ voice and body language (as opposed to their appearance) was the chief variable of interest. This was because p</w:t>
      </w:r>
      <w:r>
        <w:t>ast</w:t>
      </w:r>
      <w:r w:rsidRPr="005A2207">
        <w:t xml:space="preserve"> studies on gay men have shown voice and body language to be more important in evaluating the masculinity of others (</w:t>
      </w:r>
      <w:r w:rsidRPr="005A2207">
        <w:rPr>
          <w:iCs/>
        </w:rPr>
        <w:t xml:space="preserve">Sanchez &amp; </w:t>
      </w:r>
      <w:proofErr w:type="spellStart"/>
      <w:r w:rsidRPr="005A2207">
        <w:rPr>
          <w:iCs/>
        </w:rPr>
        <w:t>Vilain</w:t>
      </w:r>
      <w:proofErr w:type="spellEnd"/>
      <w:r w:rsidRPr="005A2207">
        <w:rPr>
          <w:iCs/>
        </w:rPr>
        <w:t>, 2012</w:t>
      </w:r>
      <w:r w:rsidRPr="005A2207">
        <w:t xml:space="preserve">). However, average scores on the perceived masculinity of appearance and </w:t>
      </w:r>
      <w:r>
        <w:t>VBL</w:t>
      </w:r>
      <w:r w:rsidRPr="005A2207">
        <w:t xml:space="preserve"> were still measured</w:t>
      </w:r>
      <w:r>
        <w:t xml:space="preserve"> </w:t>
      </w:r>
      <w:r w:rsidRPr="005A2207">
        <w:t>separately</w:t>
      </w:r>
      <w:r>
        <w:t xml:space="preserve"> </w:t>
      </w:r>
      <w:r w:rsidRPr="005A2207">
        <w:t>to diminish participants conflating the two constructs</w:t>
      </w:r>
      <w:r>
        <w:t xml:space="preserve">. </w:t>
      </w:r>
    </w:p>
    <w:p w:rsidR="00C9744C" w:rsidRPr="005A2207" w:rsidRDefault="00C9744C" w:rsidP="00C9744C">
      <w:pPr>
        <w:pStyle w:val="APABodyText"/>
      </w:pPr>
      <w:r w:rsidRPr="005A2207">
        <w:t xml:space="preserve">Actors were also rated for </w:t>
      </w:r>
      <w:r>
        <w:t>physical attractiveness</w:t>
      </w:r>
      <w:r w:rsidRPr="005A2207">
        <w:t xml:space="preserve">. This measure was </w:t>
      </w:r>
      <w:r>
        <w:t>adopted</w:t>
      </w:r>
      <w:r w:rsidRPr="005A2207">
        <w:t xml:space="preserve"> </w:t>
      </w:r>
      <w:r>
        <w:t>(1</w:t>
      </w:r>
      <w:r w:rsidRPr="005A2207">
        <w:t>) because attractiveness has been shown to be positively associated with status</w:t>
      </w:r>
      <w:r>
        <w:t xml:space="preserve"> </w:t>
      </w:r>
      <w:r w:rsidRPr="005A2207">
        <w:t>attainment for men (</w:t>
      </w:r>
      <w:r w:rsidRPr="005A2207">
        <w:rPr>
          <w:iCs/>
        </w:rPr>
        <w:t>Anderson et al</w:t>
      </w:r>
      <w:r>
        <w:rPr>
          <w:iCs/>
        </w:rPr>
        <w:t>.</w:t>
      </w:r>
      <w:r w:rsidRPr="005A2207">
        <w:rPr>
          <w:iCs/>
        </w:rPr>
        <w:t>, 2001</w:t>
      </w:r>
      <w:r w:rsidRPr="005A2207">
        <w:t xml:space="preserve">) and </w:t>
      </w:r>
      <w:r>
        <w:t>(2</w:t>
      </w:r>
      <w:r w:rsidRPr="005A2207">
        <w:t xml:space="preserve">) to address the hypothesis that masculine videos would be perceived as more attractive </w:t>
      </w:r>
      <w:r>
        <w:t>than</w:t>
      </w:r>
      <w:r w:rsidRPr="005A2207">
        <w:t xml:space="preserve"> feminine videos. This question was investigated only in the </w:t>
      </w:r>
      <w:r w:rsidRPr="005A2207">
        <w:lastRenderedPageBreak/>
        <w:t>validation study because of the concern that making actor attractiveness explicitly salient to participants in the main study might exacerbate its influence on voting decisions.</w:t>
      </w:r>
    </w:p>
    <w:p w:rsidR="00C9744C" w:rsidRPr="00603AA2" w:rsidRDefault="00C9744C" w:rsidP="00C9744C">
      <w:pPr>
        <w:pStyle w:val="APABodyText"/>
      </w:pPr>
      <w:r w:rsidRPr="005A2207">
        <w:t>The overall aim of this initial study was to validate that the</w:t>
      </w:r>
      <w:r>
        <w:t xml:space="preserve"> actors in the</w:t>
      </w:r>
      <w:r w:rsidRPr="005A2207">
        <w:t xml:space="preserve"> feminine videos were perceived as feminine</w:t>
      </w:r>
      <w:r>
        <w:t>-presenting</w:t>
      </w:r>
      <w:r w:rsidRPr="005A2207">
        <w:t xml:space="preserve"> and that </w:t>
      </w:r>
      <w:r>
        <w:t xml:space="preserve">in the </w:t>
      </w:r>
      <w:r w:rsidRPr="005A2207">
        <w:t xml:space="preserve">masculine videos </w:t>
      </w:r>
      <w:r>
        <w:t xml:space="preserve">the actors </w:t>
      </w:r>
      <w:r w:rsidRPr="005A2207">
        <w:t>were perceived as masculine</w:t>
      </w:r>
      <w:r>
        <w:t>-presenting</w:t>
      </w:r>
      <w:r w:rsidRPr="005A2207">
        <w:t xml:space="preserve"> for use in the main study. It was hypothesised that</w:t>
      </w:r>
      <w:r>
        <w:t>,</w:t>
      </w:r>
      <w:r w:rsidRPr="005A2207">
        <w:t xml:space="preserve"> on average, feminine videos would rate as significantly less masculine </w:t>
      </w:r>
      <w:r>
        <w:t>than</w:t>
      </w:r>
      <w:r w:rsidRPr="005A2207">
        <w:t xml:space="preserve"> masculine videos on a measure of voice and body language. In line with Sanchez and </w:t>
      </w:r>
      <w:proofErr w:type="spellStart"/>
      <w:r w:rsidRPr="005A2207">
        <w:t>Vilain</w:t>
      </w:r>
      <w:proofErr w:type="spellEnd"/>
      <w:r w:rsidRPr="005A2207">
        <w:t xml:space="preserve"> (2012)</w:t>
      </w:r>
      <w:r>
        <w:t>,</w:t>
      </w:r>
      <w:r w:rsidRPr="005A2207">
        <w:t xml:space="preserve"> it was also expected that</w:t>
      </w:r>
      <w:r>
        <w:t>,</w:t>
      </w:r>
      <w:r w:rsidRPr="005A2207">
        <w:t xml:space="preserve"> on average</w:t>
      </w:r>
      <w:r>
        <w:t>,</w:t>
      </w:r>
      <w:r w:rsidRPr="005A2207">
        <w:t xml:space="preserve"> masculine videos</w:t>
      </w:r>
      <w:r w:rsidRPr="00603AA2">
        <w:t xml:space="preserve"> would be rated as more attractive than feminine videos.</w:t>
      </w:r>
    </w:p>
    <w:p w:rsidR="00C9744C" w:rsidRPr="00603AA2" w:rsidRDefault="00C9744C" w:rsidP="00C9744C">
      <w:pPr>
        <w:pStyle w:val="APAHeading2"/>
        <w:numPr>
          <w:ilvl w:val="0"/>
          <w:numId w:val="0"/>
        </w:numPr>
        <w:jc w:val="center"/>
        <w:rPr>
          <w:sz w:val="24"/>
          <w:szCs w:val="24"/>
        </w:rPr>
      </w:pPr>
      <w:r w:rsidRPr="00603AA2">
        <w:rPr>
          <w:sz w:val="24"/>
          <w:szCs w:val="24"/>
        </w:rPr>
        <w:t>Method</w:t>
      </w:r>
    </w:p>
    <w:p w:rsidR="00C9744C" w:rsidRPr="00603AA2" w:rsidRDefault="00C9744C" w:rsidP="00C9744C">
      <w:pPr>
        <w:pStyle w:val="APAHeading3"/>
        <w:numPr>
          <w:ilvl w:val="0"/>
          <w:numId w:val="0"/>
        </w:numPr>
      </w:pPr>
      <w:bookmarkStart w:id="0" w:name="_Toc65059070"/>
      <w:r w:rsidRPr="00603AA2">
        <w:t>Participants</w:t>
      </w:r>
      <w:bookmarkEnd w:id="0"/>
    </w:p>
    <w:p w:rsidR="00C9744C" w:rsidRPr="005A2207" w:rsidRDefault="00C9744C" w:rsidP="00C9744C">
      <w:pPr>
        <w:pStyle w:val="APABodyText"/>
      </w:pPr>
      <w:r w:rsidRPr="00603AA2">
        <w:t>In tota</w:t>
      </w:r>
      <w:r w:rsidRPr="005A2207">
        <w:t xml:space="preserve">l, </w:t>
      </w:r>
      <w:r>
        <w:t>40</w:t>
      </w:r>
      <w:r w:rsidRPr="005A2207">
        <w:t xml:space="preserve"> gay males from around Australia were recruited via </w:t>
      </w:r>
      <w:proofErr w:type="spellStart"/>
      <w:r w:rsidRPr="005A2207">
        <w:t>Qualtrics</w:t>
      </w:r>
      <w:proofErr w:type="spellEnd"/>
      <w:r w:rsidRPr="005A2207">
        <w:t xml:space="preserve"> online market panels in return for a retail voucher worth approximately $15 from </w:t>
      </w:r>
      <w:proofErr w:type="spellStart"/>
      <w:r w:rsidRPr="005A2207">
        <w:t>Qualtrics</w:t>
      </w:r>
      <w:proofErr w:type="spellEnd"/>
      <w:r w:rsidRPr="005A2207">
        <w:t>. They were aged between 19 and 57 years (</w:t>
      </w:r>
      <w:r w:rsidRPr="005A2207">
        <w:rPr>
          <w:i/>
          <w:iCs/>
        </w:rPr>
        <w:t>M</w:t>
      </w:r>
      <w:r>
        <w:rPr>
          <w:i/>
          <w:iCs/>
        </w:rPr>
        <w:t> = </w:t>
      </w:r>
      <w:r w:rsidRPr="0098285E">
        <w:t>34.9 years,</w:t>
      </w:r>
      <w:r w:rsidRPr="005A2207">
        <w:rPr>
          <w:i/>
          <w:iCs/>
        </w:rPr>
        <w:t xml:space="preserve"> SD</w:t>
      </w:r>
      <w:r>
        <w:rPr>
          <w:i/>
          <w:iCs/>
        </w:rPr>
        <w:t> = </w:t>
      </w:r>
      <w:r w:rsidRPr="0098285E">
        <w:t>10.31</w:t>
      </w:r>
      <w:r w:rsidRPr="005A2207">
        <w:t>). After excluding incomplete surveys (due to subjects failing an imbedded audio test)</w:t>
      </w:r>
      <w:r>
        <w:t>,</w:t>
      </w:r>
      <w:r w:rsidRPr="005A2207">
        <w:t xml:space="preserve"> 29 valid responses (14 for Group 1 ratings and 15 for Group 2 ratings) were yielded for analysis.</w:t>
      </w:r>
    </w:p>
    <w:p w:rsidR="00C9744C" w:rsidRPr="005A2207" w:rsidRDefault="00C9744C" w:rsidP="00C9744C">
      <w:pPr>
        <w:pStyle w:val="APAHeading3"/>
        <w:numPr>
          <w:ilvl w:val="0"/>
          <w:numId w:val="0"/>
        </w:numPr>
      </w:pPr>
      <w:bookmarkStart w:id="1" w:name="_Toc65059071"/>
      <w:r w:rsidRPr="005A2207">
        <w:t>Materials</w:t>
      </w:r>
      <w:bookmarkEnd w:id="1"/>
    </w:p>
    <w:p w:rsidR="00C9744C" w:rsidRPr="005A2207" w:rsidRDefault="00C9744C" w:rsidP="00C9744C">
      <w:pPr>
        <w:pStyle w:val="APAHeading4"/>
        <w:numPr>
          <w:ilvl w:val="0"/>
          <w:numId w:val="0"/>
        </w:numPr>
      </w:pPr>
      <w:bookmarkStart w:id="2" w:name="_Toc65059072"/>
      <w:r>
        <w:t>Six</w:t>
      </w:r>
      <w:r w:rsidRPr="005A2207">
        <w:t xml:space="preserve"> Masculine and </w:t>
      </w:r>
      <w:r>
        <w:t>Six</w:t>
      </w:r>
      <w:r w:rsidRPr="005A2207">
        <w:t xml:space="preserve"> Feminine ‘Audition’ Videos</w:t>
      </w:r>
      <w:bookmarkEnd w:id="2"/>
    </w:p>
    <w:p w:rsidR="00C9744C" w:rsidRDefault="00C9744C" w:rsidP="00C9744C">
      <w:pPr>
        <w:pStyle w:val="APABodyText"/>
      </w:pPr>
      <w:r w:rsidRPr="005A2207">
        <w:t xml:space="preserve">Each actor’s video was </w:t>
      </w:r>
      <w:r w:rsidRPr="00EA1020">
        <w:t>presented</w:t>
      </w:r>
      <w:r w:rsidRPr="005A2207">
        <w:t xml:space="preserve"> to participants with a letter and number label (</w:t>
      </w:r>
      <w:r>
        <w:t xml:space="preserve">e.g., </w:t>
      </w:r>
      <w:r w:rsidRPr="005A2207">
        <w:t xml:space="preserve">‘Actor C2’, ‘Actor J1’). </w:t>
      </w:r>
    </w:p>
    <w:p w:rsidR="00C9744C" w:rsidRPr="005A2207" w:rsidRDefault="00C9744C" w:rsidP="00C9744C">
      <w:pPr>
        <w:pStyle w:val="APAHeading4"/>
        <w:numPr>
          <w:ilvl w:val="0"/>
          <w:numId w:val="0"/>
        </w:numPr>
      </w:pPr>
      <w:bookmarkStart w:id="3" w:name="_Toc65059073"/>
      <w:r w:rsidRPr="005A2207">
        <w:lastRenderedPageBreak/>
        <w:t>Masculinity/Femininity Rating</w:t>
      </w:r>
      <w:bookmarkEnd w:id="3"/>
    </w:p>
    <w:p w:rsidR="00C9744C" w:rsidRPr="005A2207" w:rsidRDefault="00C9744C" w:rsidP="00C9744C">
      <w:pPr>
        <w:pStyle w:val="APABodyText"/>
      </w:pPr>
      <w:r w:rsidRPr="005A2207">
        <w:t>A unidimensional measure was used to determine perceived masculinity of the videos (</w:t>
      </w:r>
      <w:proofErr w:type="spellStart"/>
      <w:r w:rsidRPr="005A2207">
        <w:t>Lippa</w:t>
      </w:r>
      <w:proofErr w:type="spellEnd"/>
      <w:r w:rsidRPr="005A2207">
        <w:t xml:space="preserve"> &amp; Connelly, 1990). Using </w:t>
      </w:r>
      <w:r>
        <w:t xml:space="preserve">a </w:t>
      </w:r>
      <w:r w:rsidRPr="005A2207">
        <w:t>5-point Likert scale</w:t>
      </w:r>
      <w:r>
        <w:t>,</w:t>
      </w:r>
      <w:r w:rsidRPr="005A2207">
        <w:t xml:space="preserve"> participants were asked the following items after each video presentation</w:t>
      </w:r>
      <w:r>
        <w:t>,</w:t>
      </w:r>
      <w:r w:rsidRPr="005A2207">
        <w:t xml:space="preserve"> always in the same order:</w:t>
      </w:r>
    </w:p>
    <w:p w:rsidR="00C9744C" w:rsidRPr="005A2207" w:rsidRDefault="00C9744C" w:rsidP="00C9744C">
      <w:pPr>
        <w:pStyle w:val="APAList-Bullets"/>
      </w:pPr>
      <w:r w:rsidRPr="005A2207">
        <w:t>On a scale of 1</w:t>
      </w:r>
      <w:r>
        <w:t>–</w:t>
      </w:r>
      <w:r w:rsidRPr="005A2207">
        <w:t>5 (where 1 is ‘</w:t>
      </w:r>
      <w:r w:rsidRPr="00EA1020">
        <w:rPr>
          <w:i/>
          <w:iCs/>
        </w:rPr>
        <w:t>extremely feminine</w:t>
      </w:r>
      <w:r w:rsidRPr="005A2207">
        <w:t>’ and 5 is ‘</w:t>
      </w:r>
      <w:r w:rsidRPr="00EA1020">
        <w:rPr>
          <w:i/>
          <w:iCs/>
        </w:rPr>
        <w:t>extremely masculine</w:t>
      </w:r>
      <w:r w:rsidRPr="005A2207">
        <w:t xml:space="preserve">’) please rate the masculinity of the actor’s </w:t>
      </w:r>
      <w:r w:rsidRPr="005A2207">
        <w:rPr>
          <w:b/>
          <w:bCs/>
        </w:rPr>
        <w:t>appearance</w:t>
      </w:r>
      <w:r>
        <w:t>.</w:t>
      </w:r>
    </w:p>
    <w:p w:rsidR="00C9744C" w:rsidRPr="005A2207" w:rsidRDefault="00C9744C" w:rsidP="00C9744C">
      <w:pPr>
        <w:pStyle w:val="APAList-Bullets"/>
      </w:pPr>
      <w:r w:rsidRPr="005A2207">
        <w:t>On a scale of 1</w:t>
      </w:r>
      <w:r>
        <w:t>–</w:t>
      </w:r>
      <w:r w:rsidRPr="005A2207">
        <w:t>5 (where 1 is ‘</w:t>
      </w:r>
      <w:r w:rsidRPr="00EA1020">
        <w:rPr>
          <w:i/>
          <w:iCs/>
        </w:rPr>
        <w:t>extremely feminine</w:t>
      </w:r>
      <w:r w:rsidRPr="005A2207">
        <w:t>’ and 5 is ‘</w:t>
      </w:r>
      <w:r w:rsidRPr="00EA1020">
        <w:rPr>
          <w:i/>
          <w:iCs/>
        </w:rPr>
        <w:t>extremely masculine</w:t>
      </w:r>
      <w:r w:rsidRPr="005A2207">
        <w:t xml:space="preserve">’) please rate the masculinity of the actor’s </w:t>
      </w:r>
      <w:r w:rsidRPr="005A2207">
        <w:rPr>
          <w:b/>
          <w:bCs/>
        </w:rPr>
        <w:t>voice and body language</w:t>
      </w:r>
      <w:r>
        <w:t>.</w:t>
      </w:r>
    </w:p>
    <w:p w:rsidR="00C9744C" w:rsidRPr="005A2207" w:rsidRDefault="00C9744C" w:rsidP="00C9744C">
      <w:pPr>
        <w:pStyle w:val="APAHeading4"/>
        <w:numPr>
          <w:ilvl w:val="0"/>
          <w:numId w:val="0"/>
        </w:numPr>
      </w:pPr>
      <w:bookmarkStart w:id="4" w:name="_Toc65059074"/>
      <w:r w:rsidRPr="005A2207">
        <w:t>Attractiveness Rating</w:t>
      </w:r>
      <w:bookmarkEnd w:id="4"/>
    </w:p>
    <w:p w:rsidR="00C9744C" w:rsidRPr="005A2207" w:rsidRDefault="00C9744C" w:rsidP="00C9744C">
      <w:pPr>
        <w:pStyle w:val="APABodyText"/>
      </w:pPr>
      <w:r w:rsidRPr="005A2207">
        <w:t>Actors were also rated for how objectively good-looking they are using the following item:</w:t>
      </w:r>
    </w:p>
    <w:p w:rsidR="00C9744C" w:rsidRPr="00603AA2" w:rsidRDefault="00C9744C" w:rsidP="00C9744C">
      <w:pPr>
        <w:pStyle w:val="APAList-Bullets"/>
      </w:pPr>
      <w:r w:rsidRPr="005A2207">
        <w:t>W</w:t>
      </w:r>
      <w:r w:rsidRPr="00603AA2">
        <w:t>here 1 star is ‘</w:t>
      </w:r>
      <w:r w:rsidRPr="00603AA2">
        <w:rPr>
          <w:i/>
          <w:iCs/>
        </w:rPr>
        <w:t>not at all attractive</w:t>
      </w:r>
      <w:r w:rsidRPr="00603AA2">
        <w:t>’ and 5 stars is ‘</w:t>
      </w:r>
      <w:r w:rsidRPr="00603AA2">
        <w:rPr>
          <w:i/>
          <w:iCs/>
        </w:rPr>
        <w:t>extremely attractive</w:t>
      </w:r>
      <w:r w:rsidRPr="00603AA2">
        <w:t xml:space="preserve">’ please rate how </w:t>
      </w:r>
      <w:r w:rsidRPr="00603AA2">
        <w:rPr>
          <w:b/>
          <w:bCs/>
        </w:rPr>
        <w:t>objectively good-looking</w:t>
      </w:r>
      <w:r w:rsidRPr="00603AA2">
        <w:t xml:space="preserve"> the actor is.</w:t>
      </w:r>
    </w:p>
    <w:p w:rsidR="00C9744C" w:rsidRPr="00603AA2" w:rsidRDefault="00C9744C" w:rsidP="00C9744C">
      <w:pPr>
        <w:pStyle w:val="APAHeading3"/>
        <w:numPr>
          <w:ilvl w:val="0"/>
          <w:numId w:val="0"/>
        </w:numPr>
      </w:pPr>
      <w:bookmarkStart w:id="5" w:name="_Toc65059075"/>
      <w:r w:rsidRPr="00603AA2">
        <w:t>Procedure</w:t>
      </w:r>
      <w:bookmarkEnd w:id="5"/>
    </w:p>
    <w:p w:rsidR="00C9744C" w:rsidRPr="00603AA2" w:rsidRDefault="00C9744C" w:rsidP="00C9744C">
      <w:pPr>
        <w:pStyle w:val="APABodyText"/>
      </w:pPr>
      <w:r w:rsidRPr="00603AA2">
        <w:t xml:space="preserve">Participants completed the survey via a </w:t>
      </w:r>
      <w:proofErr w:type="spellStart"/>
      <w:r w:rsidRPr="00603AA2">
        <w:t>Qualtrics</w:t>
      </w:r>
      <w:proofErr w:type="spellEnd"/>
      <w:r w:rsidRPr="00603AA2">
        <w:t xml:space="preserve"> link that could be completed on a computer or a smartphone. Following a Participant Information Statement, and after obtaining Participant Consent and basic demographics (age and home state), participants rated a series of six short videos on their masculinity/femininity and attractiveness. Participants were then told that the videos were to be used as masculine/feminine stimuli in a subsequent study before the survey concluded.</w:t>
      </w:r>
    </w:p>
    <w:p w:rsidR="00C9744C" w:rsidRPr="00603AA2" w:rsidRDefault="00C9744C" w:rsidP="00C9744C">
      <w:pPr>
        <w:pStyle w:val="APAHeading2"/>
        <w:numPr>
          <w:ilvl w:val="0"/>
          <w:numId w:val="0"/>
        </w:numPr>
        <w:jc w:val="center"/>
        <w:rPr>
          <w:sz w:val="24"/>
          <w:szCs w:val="24"/>
        </w:rPr>
      </w:pPr>
      <w:bookmarkStart w:id="6" w:name="_Toc65059076"/>
      <w:r w:rsidRPr="00603AA2">
        <w:rPr>
          <w:sz w:val="24"/>
          <w:szCs w:val="24"/>
        </w:rPr>
        <w:t>Results</w:t>
      </w:r>
      <w:bookmarkEnd w:id="6"/>
    </w:p>
    <w:p w:rsidR="00C9744C" w:rsidRPr="005A2207" w:rsidRDefault="00C9744C" w:rsidP="00C9744C">
      <w:pPr>
        <w:pStyle w:val="APABodyText"/>
      </w:pPr>
      <w:r w:rsidRPr="00603AA2">
        <w:t>In to</w:t>
      </w:r>
      <w:r w:rsidRPr="005A2207">
        <w:t xml:space="preserve">tal, 14 participants completed valid responses </w:t>
      </w:r>
      <w:r>
        <w:t>for</w:t>
      </w:r>
      <w:r w:rsidRPr="005A2207">
        <w:t xml:space="preserve"> Combination 1 of </w:t>
      </w:r>
      <w:r>
        <w:t xml:space="preserve">the </w:t>
      </w:r>
      <w:r w:rsidRPr="005A2207">
        <w:t>videos and 15 participants completed valid responses</w:t>
      </w:r>
      <w:r>
        <w:t xml:space="preserve"> for </w:t>
      </w:r>
      <w:r w:rsidRPr="005A2207">
        <w:t xml:space="preserve">Combination 2. For the primary variable of interest </w:t>
      </w:r>
      <w:r w:rsidRPr="005A2207">
        <w:lastRenderedPageBreak/>
        <w:t>(perceived masculinity of VBL</w:t>
      </w:r>
      <w:r>
        <w:t>),</w:t>
      </w:r>
      <w:r w:rsidRPr="005A2207">
        <w:t xml:space="preserve"> all six actors yielded difference scores greater than 1 between their masculine versus feminine videos (ranging from 1.7 to 2.2). Further, four out of six actors yielded average scores above 3.8 and below 2.8 for their masculine and feminine videos, respectively. The remaining two actors still satisfied two out of three criterion</w:t>
      </w:r>
      <w:r>
        <w:t>,</w:t>
      </w:r>
      <w:r w:rsidRPr="005A2207">
        <w:t xml:space="preserve"> with average feminine scores below 2.8 and average difference scores greater than 1 (their average masculine scores just fell short of 3.8</w:t>
      </w:r>
      <w:r>
        <w:t>,</w:t>
      </w:r>
      <w:r w:rsidRPr="005A2207">
        <w:t xml:space="preserve"> being 3.73 and 3.71).</w:t>
      </w:r>
    </w:p>
    <w:p w:rsidR="00C9744C" w:rsidRDefault="00C9744C" w:rsidP="00C9744C">
      <w:pPr>
        <w:pStyle w:val="APABodyText"/>
      </w:pPr>
      <w:r w:rsidRPr="005A2207">
        <w:t>Overall, average VBL was 2.19 (</w:t>
      </w:r>
      <w:r w:rsidRPr="00F64FFA">
        <w:rPr>
          <w:i/>
          <w:iCs/>
        </w:rPr>
        <w:t>SD</w:t>
      </w:r>
      <w:r>
        <w:t> = </w:t>
      </w:r>
      <w:r w:rsidRPr="005A2207">
        <w:t>0.83) for the six feminine videos and 3.90 (</w:t>
      </w:r>
      <w:r w:rsidRPr="00F64FFA">
        <w:rPr>
          <w:i/>
          <w:iCs/>
        </w:rPr>
        <w:t>SD</w:t>
      </w:r>
      <w:r>
        <w:t> = </w:t>
      </w:r>
      <w:r w:rsidRPr="005A2207">
        <w:t>0.72) for the masculine videos. A</w:t>
      </w:r>
      <w:r>
        <w:t>s predicted, a</w:t>
      </w:r>
      <w:r w:rsidRPr="005A2207">
        <w:t xml:space="preserve"> paired</w:t>
      </w:r>
      <w:r>
        <w:t>-</w:t>
      </w:r>
      <w:r w:rsidRPr="005A2207">
        <w:t xml:space="preserve">sample </w:t>
      </w:r>
      <w:r w:rsidRPr="00F64FFA">
        <w:rPr>
          <w:i/>
          <w:iCs/>
        </w:rPr>
        <w:t>t</w:t>
      </w:r>
      <w:r w:rsidRPr="005A2207">
        <w:t>-test found the mean difference between these two groups of 1.7 (</w:t>
      </w:r>
      <w:r w:rsidRPr="000F430C">
        <w:rPr>
          <w:i/>
          <w:iCs/>
        </w:rPr>
        <w:t>SD</w:t>
      </w:r>
      <w:r>
        <w:t> = </w:t>
      </w:r>
      <w:r w:rsidRPr="005A2207">
        <w:t xml:space="preserve">1.1) to be significant </w:t>
      </w:r>
      <w:r>
        <w:t>(</w:t>
      </w:r>
      <w:proofErr w:type="gramStart"/>
      <w:r w:rsidRPr="000F430C">
        <w:rPr>
          <w:i/>
          <w:iCs/>
        </w:rPr>
        <w:t>t</w:t>
      </w:r>
      <w:r w:rsidRPr="005A2207">
        <w:t>(</w:t>
      </w:r>
      <w:proofErr w:type="gramEnd"/>
      <w:r w:rsidRPr="005A2207">
        <w:t>28)</w:t>
      </w:r>
      <w:r>
        <w:t> = </w:t>
      </w:r>
      <w:r w:rsidRPr="005A2207">
        <w:t xml:space="preserve">8.25, </w:t>
      </w:r>
      <w:r w:rsidRPr="000F430C">
        <w:rPr>
          <w:i/>
          <w:iCs/>
        </w:rPr>
        <w:t>p</w:t>
      </w:r>
      <w:r>
        <w:t> &lt; </w:t>
      </w:r>
      <w:r w:rsidRPr="005A2207">
        <w:t>.001</w:t>
      </w:r>
      <w:r>
        <w:t>)</w:t>
      </w:r>
      <w:r w:rsidRPr="005A2207">
        <w:t>.</w:t>
      </w:r>
      <w:r>
        <w:t xml:space="preserve"> </w:t>
      </w:r>
      <w:r w:rsidRPr="005A2207">
        <w:t xml:space="preserve">See Table </w:t>
      </w:r>
      <w:r>
        <w:t>1</w:t>
      </w:r>
      <w:r w:rsidRPr="005A2207">
        <w:t xml:space="preserve"> below </w:t>
      </w:r>
      <w:r>
        <w:t xml:space="preserve">for </w:t>
      </w:r>
      <w:r w:rsidRPr="005A2207">
        <w:t>the mean VBL masculinity ratings for each video.</w:t>
      </w:r>
    </w:p>
    <w:p w:rsidR="00C9744C" w:rsidRDefault="00C9744C" w:rsidP="00C9744C">
      <w:pPr>
        <w:spacing w:line="480" w:lineRule="auto"/>
        <w:rPr>
          <w:rFonts w:ascii="Times New Roman" w:hAnsi="Times New Roman" w:cs="Times New Roman"/>
        </w:rPr>
      </w:pPr>
      <w:r>
        <w:rPr>
          <w:rFonts w:ascii="Times New Roman" w:hAnsi="Times New Roman" w:cs="Times New Roman"/>
        </w:rPr>
        <w:t>&lt;Insert Table 1&gt;</w:t>
      </w:r>
    </w:p>
    <w:p w:rsidR="00C9744C" w:rsidRDefault="00C9744C" w:rsidP="00C9744C">
      <w:pPr>
        <w:pStyle w:val="APABodyText"/>
      </w:pPr>
      <w:r w:rsidRPr="005A2207">
        <w:t>The mean masculinity score for the appearance of the actors was 3.98 (</w:t>
      </w:r>
      <w:r w:rsidRPr="005A2207">
        <w:rPr>
          <w:i/>
          <w:iCs/>
        </w:rPr>
        <w:t>SD</w:t>
      </w:r>
      <w:r>
        <w:rPr>
          <w:i/>
          <w:iCs/>
        </w:rPr>
        <w:t> = </w:t>
      </w:r>
      <w:r w:rsidRPr="005A2207">
        <w:t>0.52) for the six masculine videos and 2.98 (</w:t>
      </w:r>
      <w:r w:rsidRPr="005A2207">
        <w:rPr>
          <w:i/>
          <w:iCs/>
        </w:rPr>
        <w:t>SD</w:t>
      </w:r>
      <w:r>
        <w:t> = </w:t>
      </w:r>
      <w:r w:rsidRPr="005A2207">
        <w:t>0.61) for the six feminine videos. A paired</w:t>
      </w:r>
      <w:r>
        <w:t>-</w:t>
      </w:r>
      <w:r w:rsidRPr="005A2207">
        <w:t xml:space="preserve">sample </w:t>
      </w:r>
      <w:r w:rsidRPr="000F430C">
        <w:rPr>
          <w:i/>
          <w:iCs/>
        </w:rPr>
        <w:t>t</w:t>
      </w:r>
      <w:r w:rsidRPr="005A2207">
        <w:t>-test found the mean difference of 1 (</w:t>
      </w:r>
      <w:r w:rsidRPr="005A2207">
        <w:rPr>
          <w:i/>
          <w:iCs/>
        </w:rPr>
        <w:t>SD</w:t>
      </w:r>
      <w:r>
        <w:t> = </w:t>
      </w:r>
      <w:r w:rsidRPr="005A2207">
        <w:t xml:space="preserve">0.69) to be significant </w:t>
      </w:r>
      <w:r>
        <w:t>(</w:t>
      </w:r>
      <w:proofErr w:type="gramStart"/>
      <w:r w:rsidRPr="000F430C">
        <w:rPr>
          <w:i/>
          <w:iCs/>
        </w:rPr>
        <w:t>t</w:t>
      </w:r>
      <w:r w:rsidRPr="005A2207">
        <w:t>(</w:t>
      </w:r>
      <w:proofErr w:type="gramEnd"/>
      <w:r w:rsidRPr="005A2207">
        <w:t>28)</w:t>
      </w:r>
      <w:r>
        <w:t> = </w:t>
      </w:r>
      <w:r w:rsidRPr="005A2207">
        <w:t>7</w:t>
      </w:r>
      <w:r>
        <w:t>.</w:t>
      </w:r>
      <w:r w:rsidRPr="005A2207">
        <w:t xml:space="preserve">74, </w:t>
      </w:r>
      <w:r w:rsidRPr="000F430C">
        <w:rPr>
          <w:i/>
          <w:iCs/>
        </w:rPr>
        <w:t>p</w:t>
      </w:r>
      <w:r>
        <w:t> &lt; </w:t>
      </w:r>
      <w:r w:rsidRPr="005A2207">
        <w:t>.001</w:t>
      </w:r>
      <w:r>
        <w:t>)</w:t>
      </w:r>
      <w:r w:rsidRPr="005A2207">
        <w:t xml:space="preserve">. See Table </w:t>
      </w:r>
      <w:r>
        <w:t>2</w:t>
      </w:r>
      <w:r w:rsidRPr="005A2207">
        <w:t xml:space="preserve"> below for </w:t>
      </w:r>
      <w:r>
        <w:t xml:space="preserve">the </w:t>
      </w:r>
      <w:r w:rsidRPr="005A2207">
        <w:t>mean masculinity ratings (actor’s appearance) for each video.</w:t>
      </w:r>
    </w:p>
    <w:p w:rsidR="00C9744C" w:rsidRDefault="00C9744C" w:rsidP="00C9744C">
      <w:pPr>
        <w:spacing w:line="480" w:lineRule="auto"/>
        <w:rPr>
          <w:rFonts w:ascii="Times New Roman" w:hAnsi="Times New Roman" w:cs="Times New Roman"/>
        </w:rPr>
      </w:pPr>
      <w:r>
        <w:rPr>
          <w:rFonts w:ascii="Times New Roman" w:hAnsi="Times New Roman" w:cs="Times New Roman"/>
        </w:rPr>
        <w:t>&lt;Insert Table 2&gt;</w:t>
      </w:r>
    </w:p>
    <w:p w:rsidR="00C9744C" w:rsidRDefault="00C9744C" w:rsidP="00C9744C">
      <w:pPr>
        <w:pStyle w:val="APABodyText"/>
      </w:pPr>
      <w:r w:rsidRPr="005A2207">
        <w:t>Mean attractiveness (out of 5 stars) was 3.75 (</w:t>
      </w:r>
      <w:r w:rsidRPr="004A3AEF">
        <w:rPr>
          <w:i/>
          <w:iCs/>
        </w:rPr>
        <w:t>SD</w:t>
      </w:r>
      <w:r>
        <w:t> = </w:t>
      </w:r>
      <w:r w:rsidRPr="005A2207">
        <w:t>0.64) for the six masculine videos and 3.10 (</w:t>
      </w:r>
      <w:r w:rsidRPr="004A3AEF">
        <w:rPr>
          <w:i/>
          <w:iCs/>
        </w:rPr>
        <w:t>SD</w:t>
      </w:r>
      <w:r>
        <w:t> = </w:t>
      </w:r>
      <w:r w:rsidRPr="005A2207">
        <w:t xml:space="preserve">0.93) for the six feminine videos. All six masculine videos yielded higher attractiveness ratings compared </w:t>
      </w:r>
      <w:r>
        <w:t>with</w:t>
      </w:r>
      <w:r w:rsidRPr="005A2207">
        <w:t xml:space="preserve"> their feminine counterparts. As predicted, a paired</w:t>
      </w:r>
      <w:r>
        <w:t>-</w:t>
      </w:r>
      <w:r w:rsidRPr="005A2207">
        <w:t xml:space="preserve">sample </w:t>
      </w:r>
      <w:r w:rsidRPr="00F64FFA">
        <w:rPr>
          <w:i/>
          <w:iCs/>
        </w:rPr>
        <w:t>t</w:t>
      </w:r>
      <w:r w:rsidRPr="005A2207">
        <w:t>-test found the mean difference across videos of 0.65 (</w:t>
      </w:r>
      <w:r w:rsidRPr="004A3AEF">
        <w:rPr>
          <w:i/>
          <w:iCs/>
        </w:rPr>
        <w:t>SD</w:t>
      </w:r>
      <w:r>
        <w:t> = </w:t>
      </w:r>
      <w:r w:rsidRPr="005A2207">
        <w:t xml:space="preserve">0.67) to be significant </w:t>
      </w:r>
      <w:r>
        <w:t>(</w:t>
      </w:r>
      <w:proofErr w:type="gramStart"/>
      <w:r w:rsidRPr="004A3AEF">
        <w:rPr>
          <w:i/>
          <w:iCs/>
        </w:rPr>
        <w:t>t</w:t>
      </w:r>
      <w:r w:rsidRPr="005A2207">
        <w:t>(</w:t>
      </w:r>
      <w:proofErr w:type="gramEnd"/>
      <w:r w:rsidRPr="005A2207">
        <w:t>28)</w:t>
      </w:r>
      <w:r>
        <w:t> = </w:t>
      </w:r>
      <w:r w:rsidRPr="005A2207">
        <w:t xml:space="preserve">5.224, </w:t>
      </w:r>
      <w:r w:rsidRPr="004A3AEF">
        <w:rPr>
          <w:i/>
          <w:iCs/>
        </w:rPr>
        <w:t>p</w:t>
      </w:r>
      <w:r>
        <w:t> &lt; </w:t>
      </w:r>
      <w:r w:rsidRPr="005A2207">
        <w:t>.001</w:t>
      </w:r>
      <w:r>
        <w:t>)</w:t>
      </w:r>
      <w:r w:rsidRPr="005A2207">
        <w:t>. See Table 3 below for mean attractiveness ratings for each video.</w:t>
      </w:r>
    </w:p>
    <w:p w:rsidR="00C9744C" w:rsidRDefault="00C9744C" w:rsidP="00C9744C">
      <w:pPr>
        <w:spacing w:line="480" w:lineRule="auto"/>
        <w:rPr>
          <w:rFonts w:ascii="Times New Roman" w:hAnsi="Times New Roman" w:cs="Times New Roman"/>
        </w:rPr>
      </w:pPr>
      <w:bookmarkStart w:id="7" w:name="_Toc65059077"/>
      <w:r>
        <w:rPr>
          <w:rFonts w:ascii="Times New Roman" w:hAnsi="Times New Roman" w:cs="Times New Roman"/>
        </w:rPr>
        <w:t>&lt;Insert Table 3&gt;</w:t>
      </w:r>
    </w:p>
    <w:p w:rsidR="00C9744C" w:rsidRPr="00827A16" w:rsidRDefault="00C9744C" w:rsidP="00C9744C">
      <w:pPr>
        <w:pStyle w:val="APAHeading2"/>
        <w:numPr>
          <w:ilvl w:val="0"/>
          <w:numId w:val="0"/>
        </w:numPr>
        <w:jc w:val="center"/>
        <w:rPr>
          <w:sz w:val="24"/>
          <w:szCs w:val="24"/>
        </w:rPr>
      </w:pPr>
      <w:r w:rsidRPr="00827A16">
        <w:rPr>
          <w:sz w:val="24"/>
          <w:szCs w:val="24"/>
        </w:rPr>
        <w:lastRenderedPageBreak/>
        <w:t>Discussion</w:t>
      </w:r>
      <w:bookmarkEnd w:id="7"/>
    </w:p>
    <w:p w:rsidR="00C9744C" w:rsidRPr="005A2207" w:rsidRDefault="00C9744C" w:rsidP="00C9744C">
      <w:pPr>
        <w:pStyle w:val="APABodyText"/>
      </w:pPr>
      <w:r w:rsidRPr="00827A16">
        <w:t xml:space="preserve">As predicted, masculine videos were perceived overall as more masculine than feminine </w:t>
      </w:r>
      <w:r w:rsidRPr="005A2207">
        <w:t xml:space="preserve">videos. </w:t>
      </w:r>
      <w:r>
        <w:t>Further</w:t>
      </w:r>
      <w:r w:rsidRPr="005A2207">
        <w:t xml:space="preserve">, as expected, masculine videos were rated, overall, as more attractive </w:t>
      </w:r>
      <w:r>
        <w:t>than</w:t>
      </w:r>
      <w:r w:rsidRPr="005A2207">
        <w:t xml:space="preserve"> feminine videos</w:t>
      </w:r>
      <w:r>
        <w:t>—</w:t>
      </w:r>
      <w:r w:rsidRPr="005A2207">
        <w:t xml:space="preserve">expanding on the findings from </w:t>
      </w:r>
      <w:r>
        <w:t xml:space="preserve">analogue </w:t>
      </w:r>
      <w:r w:rsidRPr="005A2207">
        <w:t xml:space="preserve">studies (Johnson &amp; </w:t>
      </w:r>
      <w:proofErr w:type="spellStart"/>
      <w:r w:rsidRPr="005A2207">
        <w:t>Tassinary</w:t>
      </w:r>
      <w:proofErr w:type="spellEnd"/>
      <w:r w:rsidRPr="005A2207">
        <w:t>, 2007</w:t>
      </w:r>
      <w:r>
        <w:t xml:space="preserve">; </w:t>
      </w:r>
      <w:r w:rsidRPr="005A2207">
        <w:t xml:space="preserve">Sanchez &amp; </w:t>
      </w:r>
      <w:proofErr w:type="spellStart"/>
      <w:r w:rsidRPr="005A2207">
        <w:t>Vilain</w:t>
      </w:r>
      <w:proofErr w:type="spellEnd"/>
      <w:r w:rsidRPr="005A2207">
        <w:t xml:space="preserve">, 2012; </w:t>
      </w:r>
      <w:proofErr w:type="spellStart"/>
      <w:r w:rsidRPr="005A2207">
        <w:t>Tigue</w:t>
      </w:r>
      <w:proofErr w:type="spellEnd"/>
      <w:r w:rsidRPr="005A2207">
        <w:t xml:space="preserve"> et al., 2012) where written descriptions of masculine gay men tend to be rated as more attractive </w:t>
      </w:r>
      <w:r>
        <w:t>than</w:t>
      </w:r>
      <w:r w:rsidRPr="005A2207">
        <w:t xml:space="preserve"> written descriptions of feminine gay men. This constitutes the first known empirical study to corroborate gay male attraction to masculinity (observed in </w:t>
      </w:r>
      <w:r>
        <w:t>analogue designs</w:t>
      </w:r>
      <w:r w:rsidRPr="005A2207">
        <w:t xml:space="preserve">) with a social vision/hearing perspective. </w:t>
      </w:r>
      <w:r>
        <w:t>That such</w:t>
      </w:r>
      <w:r w:rsidRPr="005A2207">
        <w:t xml:space="preserve"> a preference was observed using audio</w:t>
      </w:r>
      <w:r>
        <w:t>-</w:t>
      </w:r>
      <w:r w:rsidRPr="005A2207">
        <w:t>visual stimuli strengthens the ecological validity of the view that gay men find other gay men more attractive if they present as heteronormative.</w:t>
      </w:r>
    </w:p>
    <w:p w:rsidR="00C9744C" w:rsidRPr="006F113E" w:rsidRDefault="00C9744C" w:rsidP="00C9744C">
      <w:pPr>
        <w:pStyle w:val="APABodyText"/>
      </w:pPr>
      <w:r>
        <w:t>In addition</w:t>
      </w:r>
      <w:r w:rsidRPr="005A2207">
        <w:t>, given that previous research has found attractiveness in men to be a status characteristic (Anderson et al., 2001)</w:t>
      </w:r>
      <w:r>
        <w:t>,</w:t>
      </w:r>
      <w:r w:rsidRPr="005A2207">
        <w:t xml:space="preserve"> there is an added reason to believe that masculine actors will receive more votes in the main study in part because the masculine videos will be viewed as more attractive. </w:t>
      </w:r>
      <w:r>
        <w:t xml:space="preserve">However, </w:t>
      </w:r>
      <w:r w:rsidRPr="006F113E">
        <w:t>to minimise the influence/salience of attractiveness on voting in the main study, it was decided not to ask participants to rate actors on this dimension. By doing this</w:t>
      </w:r>
      <w:r>
        <w:t>,</w:t>
      </w:r>
      <w:r w:rsidRPr="006F113E">
        <w:t xml:space="preserve"> it was thought that any attractiveness effect on voting would more likely remain unconscious and not be exacerbated unnecessarily.</w:t>
      </w:r>
    </w:p>
    <w:p w:rsidR="00C9744C" w:rsidRDefault="00C9744C" w:rsidP="00C9744C">
      <w:pPr>
        <w:pStyle w:val="APABodyText"/>
      </w:pPr>
      <w:r w:rsidRPr="005A2207">
        <w:t xml:space="preserve">Most importantly, all </w:t>
      </w:r>
      <w:r>
        <w:t>12</w:t>
      </w:r>
      <w:r w:rsidRPr="005A2207">
        <w:t xml:space="preserve"> videos satisfied predetermined parameters for masculine and feminine ratings (specifically, regarding voice and body language)</w:t>
      </w:r>
      <w:r>
        <w:t>—</w:t>
      </w:r>
      <w:r w:rsidRPr="005A2207">
        <w:t xml:space="preserve">the primary purpose of the validation study. All six actors successfully performed an identical </w:t>
      </w:r>
      <w:proofErr w:type="spellStart"/>
      <w:r w:rsidRPr="005A2207">
        <w:t>vox</w:t>
      </w:r>
      <w:proofErr w:type="spellEnd"/>
      <w:r w:rsidRPr="005A2207">
        <w:t xml:space="preserve"> pop script twice in such a way that viewers perceived one version to be masculine and the other to be feminine. In light of this, all </w:t>
      </w:r>
      <w:r>
        <w:t>12</w:t>
      </w:r>
      <w:r w:rsidRPr="005A2207">
        <w:t xml:space="preserve"> videos were kept for use in the construction of two video sets to be used as audio</w:t>
      </w:r>
      <w:r>
        <w:t>-</w:t>
      </w:r>
      <w:r w:rsidRPr="005A2207">
        <w:t>visual stimuli in the main study.</w:t>
      </w:r>
    </w:p>
    <w:p w:rsidR="00C9744C" w:rsidRDefault="00C9744C" w:rsidP="00C9744C">
      <w:pPr>
        <w:pStyle w:val="APABodyText"/>
      </w:pPr>
      <w:r w:rsidRPr="00DD413C">
        <w:lastRenderedPageBreak/>
        <w:t>Finally, despite not being the chief focus of the validation study, the observed influence of masculinity on the attractiveness of gay men to other gay men remains a compelling contribution to relevant literature as it highlights the importance of attractiveness when attempting to understand why masculinity might lead to greater status attainment for gay men.</w:t>
      </w:r>
    </w:p>
    <w:p w:rsidR="00C9744C" w:rsidRPr="005A2207" w:rsidRDefault="00C9744C" w:rsidP="00C9744C">
      <w:pPr>
        <w:pStyle w:val="APATableHeading"/>
      </w:pPr>
    </w:p>
    <w:tbl>
      <w:tblPr>
        <w:tblStyle w:val="TableGrid"/>
        <w:tblW w:w="0" w:type="auto"/>
        <w:jc w:val="center"/>
        <w:tblLook w:val="04A0" w:firstRow="1" w:lastRow="0" w:firstColumn="1" w:lastColumn="0" w:noHBand="0" w:noVBand="1"/>
      </w:tblPr>
      <w:tblGrid>
        <w:gridCol w:w="1310"/>
        <w:gridCol w:w="1142"/>
        <w:gridCol w:w="1142"/>
        <w:gridCol w:w="1142"/>
        <w:gridCol w:w="1142"/>
        <w:gridCol w:w="1142"/>
        <w:gridCol w:w="1142"/>
        <w:gridCol w:w="1198"/>
      </w:tblGrid>
      <w:tr w:rsidR="00C9744C" w:rsidRPr="005A2207" w:rsidTr="002D4DBF">
        <w:trPr>
          <w:jc w:val="center"/>
        </w:trPr>
        <w:tc>
          <w:tcPr>
            <w:tcW w:w="0" w:type="auto"/>
            <w:tcBorders>
              <w:top w:val="nil"/>
              <w:left w:val="nil"/>
              <w:bottom w:val="nil"/>
              <w:right w:val="nil"/>
            </w:tcBorders>
          </w:tcPr>
          <w:p w:rsidR="00C9744C" w:rsidRPr="003E6DC2" w:rsidRDefault="00C9744C" w:rsidP="002D4DBF">
            <w:pPr>
              <w:pStyle w:val="APATableText"/>
              <w:rPr>
                <w:b/>
                <w:bCs/>
              </w:rPr>
            </w:pPr>
            <w:r w:rsidRPr="003E6DC2">
              <w:rPr>
                <w:b/>
                <w:bCs/>
              </w:rPr>
              <w:t>Table 1</w:t>
            </w:r>
          </w:p>
        </w:tc>
        <w:tc>
          <w:tcPr>
            <w:tcW w:w="0" w:type="auto"/>
            <w:tcBorders>
              <w:top w:val="nil"/>
              <w:left w:val="nil"/>
              <w:bottom w:val="nil"/>
              <w:right w:val="nil"/>
            </w:tcBorders>
          </w:tcPr>
          <w:p w:rsidR="00C9744C" w:rsidRPr="000B5474" w:rsidRDefault="00C9744C" w:rsidP="002D4DBF">
            <w:pPr>
              <w:pStyle w:val="APATableText"/>
            </w:pPr>
          </w:p>
        </w:tc>
        <w:tc>
          <w:tcPr>
            <w:tcW w:w="0" w:type="auto"/>
            <w:tcBorders>
              <w:top w:val="nil"/>
              <w:left w:val="nil"/>
              <w:bottom w:val="nil"/>
              <w:right w:val="nil"/>
            </w:tcBorders>
          </w:tcPr>
          <w:p w:rsidR="00C9744C" w:rsidRPr="000B5474" w:rsidRDefault="00C9744C" w:rsidP="002D4DBF">
            <w:pPr>
              <w:pStyle w:val="APATableText"/>
            </w:pPr>
          </w:p>
        </w:tc>
        <w:tc>
          <w:tcPr>
            <w:tcW w:w="0" w:type="auto"/>
            <w:tcBorders>
              <w:top w:val="nil"/>
              <w:left w:val="nil"/>
              <w:bottom w:val="nil"/>
              <w:right w:val="nil"/>
            </w:tcBorders>
          </w:tcPr>
          <w:p w:rsidR="00C9744C" w:rsidRPr="000B5474" w:rsidRDefault="00C9744C" w:rsidP="002D4DBF">
            <w:pPr>
              <w:pStyle w:val="APATableText"/>
            </w:pPr>
          </w:p>
        </w:tc>
        <w:tc>
          <w:tcPr>
            <w:tcW w:w="0" w:type="auto"/>
            <w:tcBorders>
              <w:top w:val="nil"/>
              <w:left w:val="nil"/>
              <w:bottom w:val="nil"/>
              <w:right w:val="nil"/>
            </w:tcBorders>
          </w:tcPr>
          <w:p w:rsidR="00C9744C" w:rsidRPr="000B5474" w:rsidRDefault="00C9744C" w:rsidP="002D4DBF">
            <w:pPr>
              <w:pStyle w:val="APATableText"/>
            </w:pPr>
          </w:p>
        </w:tc>
        <w:tc>
          <w:tcPr>
            <w:tcW w:w="0" w:type="auto"/>
            <w:tcBorders>
              <w:top w:val="nil"/>
              <w:left w:val="nil"/>
              <w:bottom w:val="nil"/>
              <w:right w:val="nil"/>
            </w:tcBorders>
          </w:tcPr>
          <w:p w:rsidR="00C9744C" w:rsidRPr="000B5474" w:rsidRDefault="00C9744C" w:rsidP="002D4DBF">
            <w:pPr>
              <w:pStyle w:val="APATableText"/>
            </w:pPr>
          </w:p>
        </w:tc>
        <w:tc>
          <w:tcPr>
            <w:tcW w:w="0" w:type="auto"/>
            <w:tcBorders>
              <w:top w:val="nil"/>
              <w:left w:val="nil"/>
              <w:bottom w:val="nil"/>
              <w:right w:val="nil"/>
            </w:tcBorders>
          </w:tcPr>
          <w:p w:rsidR="00C9744C" w:rsidRPr="000B5474" w:rsidRDefault="00C9744C" w:rsidP="002D4DBF">
            <w:pPr>
              <w:pStyle w:val="APATableText"/>
            </w:pPr>
          </w:p>
        </w:tc>
        <w:tc>
          <w:tcPr>
            <w:tcW w:w="0" w:type="auto"/>
            <w:tcBorders>
              <w:top w:val="nil"/>
              <w:left w:val="nil"/>
              <w:bottom w:val="nil"/>
              <w:right w:val="nil"/>
            </w:tcBorders>
          </w:tcPr>
          <w:p w:rsidR="00C9744C" w:rsidRDefault="00C9744C" w:rsidP="002D4DBF">
            <w:pPr>
              <w:pStyle w:val="APATableText"/>
            </w:pPr>
          </w:p>
        </w:tc>
      </w:tr>
      <w:tr w:rsidR="00C9744C" w:rsidRPr="005A2207" w:rsidTr="002D4DBF">
        <w:trPr>
          <w:jc w:val="center"/>
        </w:trPr>
        <w:tc>
          <w:tcPr>
            <w:tcW w:w="0" w:type="auto"/>
            <w:gridSpan w:val="8"/>
            <w:tcBorders>
              <w:top w:val="nil"/>
              <w:left w:val="nil"/>
              <w:bottom w:val="single" w:sz="4" w:space="0" w:color="auto"/>
              <w:right w:val="nil"/>
            </w:tcBorders>
          </w:tcPr>
          <w:p w:rsidR="00C9744C" w:rsidRPr="003E6DC2" w:rsidRDefault="00C9744C" w:rsidP="002D4DBF">
            <w:pPr>
              <w:pStyle w:val="APATableText"/>
              <w:rPr>
                <w:i/>
                <w:iCs/>
              </w:rPr>
            </w:pPr>
            <w:r w:rsidRPr="003E6DC2">
              <w:rPr>
                <w:i/>
                <w:iCs/>
              </w:rPr>
              <w:t xml:space="preserve">Mean Voice/Body Language (VBL) Masculinity Ratings (out of 5) for the 12 </w:t>
            </w:r>
            <w:proofErr w:type="spellStart"/>
            <w:r w:rsidRPr="003E6DC2">
              <w:rPr>
                <w:i/>
                <w:iCs/>
              </w:rPr>
              <w:t>Vox</w:t>
            </w:r>
            <w:proofErr w:type="spellEnd"/>
            <w:r w:rsidRPr="003E6DC2">
              <w:rPr>
                <w:i/>
                <w:iCs/>
              </w:rPr>
              <w:t xml:space="preserve"> Pop ‘Audition Videos (N = 29)</w:t>
            </w:r>
          </w:p>
        </w:tc>
      </w:tr>
      <w:tr w:rsidR="00C9744C" w:rsidRPr="005A2207" w:rsidTr="002D4DBF">
        <w:trPr>
          <w:jc w:val="center"/>
        </w:trPr>
        <w:tc>
          <w:tcPr>
            <w:tcW w:w="0" w:type="auto"/>
            <w:tcBorders>
              <w:left w:val="nil"/>
              <w:bottom w:val="single" w:sz="4" w:space="0" w:color="auto"/>
              <w:right w:val="nil"/>
            </w:tcBorders>
          </w:tcPr>
          <w:p w:rsidR="00C9744C" w:rsidRPr="005A2207" w:rsidRDefault="00C9744C" w:rsidP="002D4DBF">
            <w:pPr>
              <w:pStyle w:val="APATableText"/>
            </w:pPr>
            <w:r>
              <w:t>Video type</w:t>
            </w:r>
          </w:p>
        </w:tc>
        <w:tc>
          <w:tcPr>
            <w:tcW w:w="0" w:type="auto"/>
            <w:tcBorders>
              <w:left w:val="nil"/>
              <w:bottom w:val="single" w:sz="4" w:space="0" w:color="auto"/>
              <w:right w:val="nil"/>
            </w:tcBorders>
          </w:tcPr>
          <w:p w:rsidR="00C9744C" w:rsidRPr="000B5474" w:rsidRDefault="00C9744C" w:rsidP="002D4DBF">
            <w:pPr>
              <w:pStyle w:val="APATableText"/>
            </w:pPr>
            <w:r w:rsidRPr="000B5474">
              <w:t>Actor J</w:t>
            </w:r>
          </w:p>
        </w:tc>
        <w:tc>
          <w:tcPr>
            <w:tcW w:w="0" w:type="auto"/>
            <w:tcBorders>
              <w:left w:val="nil"/>
              <w:bottom w:val="single" w:sz="4" w:space="0" w:color="auto"/>
              <w:right w:val="nil"/>
            </w:tcBorders>
          </w:tcPr>
          <w:p w:rsidR="00C9744C" w:rsidRPr="000B5474" w:rsidRDefault="00C9744C" w:rsidP="002D4DBF">
            <w:pPr>
              <w:pStyle w:val="APATableText"/>
            </w:pPr>
            <w:r w:rsidRPr="000B5474">
              <w:t>Actor F</w:t>
            </w:r>
          </w:p>
        </w:tc>
        <w:tc>
          <w:tcPr>
            <w:tcW w:w="0" w:type="auto"/>
            <w:tcBorders>
              <w:left w:val="nil"/>
              <w:bottom w:val="single" w:sz="4" w:space="0" w:color="auto"/>
              <w:right w:val="nil"/>
            </w:tcBorders>
          </w:tcPr>
          <w:p w:rsidR="00C9744C" w:rsidRPr="000B5474" w:rsidRDefault="00C9744C" w:rsidP="002D4DBF">
            <w:pPr>
              <w:pStyle w:val="APATableText"/>
            </w:pPr>
            <w:r w:rsidRPr="000B5474">
              <w:t>Actor E</w:t>
            </w:r>
          </w:p>
        </w:tc>
        <w:tc>
          <w:tcPr>
            <w:tcW w:w="0" w:type="auto"/>
            <w:tcBorders>
              <w:left w:val="nil"/>
              <w:bottom w:val="single" w:sz="4" w:space="0" w:color="auto"/>
              <w:right w:val="nil"/>
            </w:tcBorders>
          </w:tcPr>
          <w:p w:rsidR="00C9744C" w:rsidRPr="000B5474" w:rsidRDefault="00C9744C" w:rsidP="002D4DBF">
            <w:pPr>
              <w:pStyle w:val="APATableText"/>
            </w:pPr>
            <w:r w:rsidRPr="000B5474">
              <w:t>Actor C</w:t>
            </w:r>
          </w:p>
        </w:tc>
        <w:tc>
          <w:tcPr>
            <w:tcW w:w="0" w:type="auto"/>
            <w:tcBorders>
              <w:left w:val="nil"/>
              <w:bottom w:val="single" w:sz="4" w:space="0" w:color="auto"/>
              <w:right w:val="nil"/>
            </w:tcBorders>
          </w:tcPr>
          <w:p w:rsidR="00C9744C" w:rsidRPr="000B5474" w:rsidRDefault="00C9744C" w:rsidP="002D4DBF">
            <w:pPr>
              <w:pStyle w:val="APATableText"/>
            </w:pPr>
            <w:r w:rsidRPr="000B5474">
              <w:t>Actor D</w:t>
            </w:r>
          </w:p>
        </w:tc>
        <w:tc>
          <w:tcPr>
            <w:tcW w:w="0" w:type="auto"/>
            <w:tcBorders>
              <w:left w:val="nil"/>
              <w:bottom w:val="single" w:sz="4" w:space="0" w:color="auto"/>
              <w:right w:val="nil"/>
            </w:tcBorders>
          </w:tcPr>
          <w:p w:rsidR="00C9744C" w:rsidRPr="000B5474" w:rsidRDefault="00C9744C" w:rsidP="002D4DBF">
            <w:pPr>
              <w:pStyle w:val="APATableText"/>
            </w:pPr>
            <w:r w:rsidRPr="000B5474">
              <w:t>Actor G</w:t>
            </w:r>
          </w:p>
        </w:tc>
        <w:tc>
          <w:tcPr>
            <w:tcW w:w="0" w:type="auto"/>
            <w:tcBorders>
              <w:left w:val="nil"/>
              <w:bottom w:val="single" w:sz="4" w:space="0" w:color="auto"/>
              <w:right w:val="nil"/>
            </w:tcBorders>
          </w:tcPr>
          <w:p w:rsidR="00C9744C" w:rsidRPr="000B5474" w:rsidRDefault="00C9744C" w:rsidP="002D4DBF">
            <w:pPr>
              <w:pStyle w:val="APATableText"/>
            </w:pPr>
            <w:r>
              <w:t>Overall</w:t>
            </w:r>
          </w:p>
        </w:tc>
      </w:tr>
      <w:tr w:rsidR="00C9744C" w:rsidRPr="005A2207" w:rsidTr="002D4DBF">
        <w:trPr>
          <w:jc w:val="center"/>
        </w:trPr>
        <w:tc>
          <w:tcPr>
            <w:tcW w:w="0" w:type="auto"/>
            <w:tcBorders>
              <w:top w:val="single" w:sz="4" w:space="0" w:color="auto"/>
              <w:left w:val="nil"/>
              <w:bottom w:val="nil"/>
              <w:right w:val="nil"/>
            </w:tcBorders>
          </w:tcPr>
          <w:p w:rsidR="00C9744C" w:rsidRPr="000B5474" w:rsidRDefault="00C9744C" w:rsidP="002D4DBF">
            <w:pPr>
              <w:pStyle w:val="APATableText"/>
            </w:pPr>
            <w:r w:rsidRPr="000B5474">
              <w:t>Masculine</w:t>
            </w:r>
          </w:p>
        </w:tc>
        <w:tc>
          <w:tcPr>
            <w:tcW w:w="0" w:type="auto"/>
            <w:tcBorders>
              <w:top w:val="nil"/>
              <w:left w:val="nil"/>
              <w:bottom w:val="nil"/>
              <w:right w:val="nil"/>
            </w:tcBorders>
          </w:tcPr>
          <w:p w:rsidR="00C9744C" w:rsidRPr="000B5474" w:rsidRDefault="00C9744C" w:rsidP="002D4DBF">
            <w:pPr>
              <w:pStyle w:val="APATableText"/>
            </w:pPr>
            <w:r w:rsidRPr="000B5474">
              <w:t>3.8</w:t>
            </w:r>
            <w:r>
              <w:t xml:space="preserve">0 </w:t>
            </w:r>
            <w:r w:rsidRPr="000B5474">
              <w:t>(0.94)</w:t>
            </w:r>
          </w:p>
        </w:tc>
        <w:tc>
          <w:tcPr>
            <w:tcW w:w="0" w:type="auto"/>
            <w:tcBorders>
              <w:top w:val="nil"/>
              <w:left w:val="nil"/>
              <w:bottom w:val="nil"/>
              <w:right w:val="nil"/>
            </w:tcBorders>
          </w:tcPr>
          <w:p w:rsidR="00C9744C" w:rsidRPr="000B5474" w:rsidRDefault="00C9744C" w:rsidP="002D4DBF">
            <w:pPr>
              <w:pStyle w:val="APATableText"/>
            </w:pPr>
            <w:r w:rsidRPr="000B5474">
              <w:t>3.73</w:t>
            </w:r>
            <w:r>
              <w:t xml:space="preserve"> </w:t>
            </w:r>
            <w:r w:rsidRPr="000B5474">
              <w:t>(0.88)</w:t>
            </w:r>
          </w:p>
        </w:tc>
        <w:tc>
          <w:tcPr>
            <w:tcW w:w="0" w:type="auto"/>
            <w:tcBorders>
              <w:top w:val="nil"/>
              <w:left w:val="nil"/>
              <w:bottom w:val="nil"/>
              <w:right w:val="nil"/>
            </w:tcBorders>
          </w:tcPr>
          <w:p w:rsidR="00C9744C" w:rsidRPr="000B5474" w:rsidRDefault="00C9744C" w:rsidP="002D4DBF">
            <w:pPr>
              <w:pStyle w:val="APATableText"/>
            </w:pPr>
            <w:r w:rsidRPr="000B5474">
              <w:t>4.07</w:t>
            </w:r>
            <w:r>
              <w:t xml:space="preserve"> </w:t>
            </w:r>
            <w:r w:rsidRPr="000B5474">
              <w:t>(0.92)</w:t>
            </w:r>
          </w:p>
        </w:tc>
        <w:tc>
          <w:tcPr>
            <w:tcW w:w="0" w:type="auto"/>
            <w:tcBorders>
              <w:top w:val="nil"/>
              <w:left w:val="nil"/>
              <w:bottom w:val="nil"/>
              <w:right w:val="nil"/>
            </w:tcBorders>
          </w:tcPr>
          <w:p w:rsidR="00C9744C" w:rsidRPr="000B5474" w:rsidRDefault="00C9744C" w:rsidP="002D4DBF">
            <w:pPr>
              <w:pStyle w:val="APATableText"/>
            </w:pPr>
            <w:r w:rsidRPr="000B5474">
              <w:t>3.86</w:t>
            </w:r>
            <w:r>
              <w:t xml:space="preserve"> </w:t>
            </w:r>
            <w:r w:rsidRPr="000B5474">
              <w:t>(0.95)</w:t>
            </w:r>
          </w:p>
        </w:tc>
        <w:tc>
          <w:tcPr>
            <w:tcW w:w="0" w:type="auto"/>
            <w:tcBorders>
              <w:top w:val="nil"/>
              <w:left w:val="nil"/>
              <w:bottom w:val="nil"/>
              <w:right w:val="nil"/>
            </w:tcBorders>
          </w:tcPr>
          <w:p w:rsidR="00C9744C" w:rsidRPr="000B5474" w:rsidRDefault="00C9744C" w:rsidP="002D4DBF">
            <w:pPr>
              <w:pStyle w:val="APATableText"/>
            </w:pPr>
            <w:r w:rsidRPr="000B5474">
              <w:t>4.20</w:t>
            </w:r>
            <w:r>
              <w:t xml:space="preserve"> </w:t>
            </w:r>
            <w:r w:rsidRPr="000B5474">
              <w:t>(1.01)</w:t>
            </w:r>
          </w:p>
        </w:tc>
        <w:tc>
          <w:tcPr>
            <w:tcW w:w="0" w:type="auto"/>
            <w:tcBorders>
              <w:top w:val="nil"/>
              <w:left w:val="nil"/>
              <w:bottom w:val="nil"/>
              <w:right w:val="nil"/>
            </w:tcBorders>
          </w:tcPr>
          <w:p w:rsidR="00C9744C" w:rsidRPr="000B5474" w:rsidRDefault="00C9744C" w:rsidP="002D4DBF">
            <w:pPr>
              <w:pStyle w:val="APATableText"/>
            </w:pPr>
            <w:r w:rsidRPr="000B5474">
              <w:t>3.71</w:t>
            </w:r>
            <w:r>
              <w:t xml:space="preserve"> </w:t>
            </w:r>
            <w:r w:rsidRPr="000B5474">
              <w:t>(0.99)</w:t>
            </w:r>
          </w:p>
        </w:tc>
        <w:tc>
          <w:tcPr>
            <w:tcW w:w="0" w:type="auto"/>
            <w:tcBorders>
              <w:top w:val="single" w:sz="4" w:space="0" w:color="auto"/>
              <w:left w:val="nil"/>
              <w:bottom w:val="nil"/>
              <w:right w:val="nil"/>
            </w:tcBorders>
          </w:tcPr>
          <w:p w:rsidR="00C9744C" w:rsidRPr="000B5474" w:rsidRDefault="00C9744C" w:rsidP="002D4DBF">
            <w:pPr>
              <w:pStyle w:val="APATableText"/>
            </w:pPr>
            <w:r>
              <w:t xml:space="preserve">3.90 </w:t>
            </w:r>
            <w:r w:rsidRPr="000B5474">
              <w:t>(0.</w:t>
            </w:r>
            <w:r>
              <w:t>72</w:t>
            </w:r>
            <w:r w:rsidRPr="000B5474">
              <w:t>)</w:t>
            </w:r>
          </w:p>
        </w:tc>
      </w:tr>
      <w:tr w:rsidR="00C9744C" w:rsidRPr="005A2207" w:rsidTr="002D4DBF">
        <w:trPr>
          <w:jc w:val="center"/>
        </w:trPr>
        <w:tc>
          <w:tcPr>
            <w:tcW w:w="0" w:type="auto"/>
            <w:tcBorders>
              <w:top w:val="nil"/>
              <w:left w:val="nil"/>
              <w:bottom w:val="single" w:sz="4" w:space="0" w:color="auto"/>
              <w:right w:val="nil"/>
            </w:tcBorders>
          </w:tcPr>
          <w:p w:rsidR="00C9744C" w:rsidRPr="000B5474" w:rsidRDefault="00C9744C" w:rsidP="002D4DBF">
            <w:pPr>
              <w:pStyle w:val="APATableText"/>
            </w:pPr>
            <w:r w:rsidRPr="000B5474">
              <w:t>Feminine</w:t>
            </w:r>
          </w:p>
        </w:tc>
        <w:tc>
          <w:tcPr>
            <w:tcW w:w="0" w:type="auto"/>
            <w:tcBorders>
              <w:top w:val="nil"/>
              <w:left w:val="nil"/>
              <w:bottom w:val="single" w:sz="4" w:space="0" w:color="auto"/>
              <w:right w:val="nil"/>
            </w:tcBorders>
          </w:tcPr>
          <w:p w:rsidR="00C9744C" w:rsidRPr="000B5474" w:rsidRDefault="00C9744C" w:rsidP="002D4DBF">
            <w:pPr>
              <w:pStyle w:val="APATableText"/>
            </w:pPr>
            <w:r w:rsidRPr="000B5474">
              <w:t>2.07</w:t>
            </w:r>
            <w:r>
              <w:t xml:space="preserve"> </w:t>
            </w:r>
            <w:r w:rsidRPr="000B5474">
              <w:t>(0.99)</w:t>
            </w:r>
          </w:p>
        </w:tc>
        <w:tc>
          <w:tcPr>
            <w:tcW w:w="0" w:type="auto"/>
            <w:tcBorders>
              <w:top w:val="nil"/>
              <w:left w:val="nil"/>
              <w:bottom w:val="single" w:sz="4" w:space="0" w:color="auto"/>
              <w:right w:val="nil"/>
            </w:tcBorders>
          </w:tcPr>
          <w:p w:rsidR="00C9744C" w:rsidRPr="000B5474" w:rsidRDefault="00C9744C" w:rsidP="002D4DBF">
            <w:pPr>
              <w:pStyle w:val="APATableText"/>
            </w:pPr>
            <w:r w:rsidRPr="000B5474">
              <w:t>1.86</w:t>
            </w:r>
            <w:r>
              <w:t xml:space="preserve"> </w:t>
            </w:r>
            <w:r w:rsidRPr="000B5474">
              <w:t>(0.77)</w:t>
            </w:r>
          </w:p>
        </w:tc>
        <w:tc>
          <w:tcPr>
            <w:tcW w:w="0" w:type="auto"/>
            <w:tcBorders>
              <w:top w:val="nil"/>
              <w:left w:val="nil"/>
              <w:bottom w:val="single" w:sz="4" w:space="0" w:color="auto"/>
              <w:right w:val="nil"/>
            </w:tcBorders>
          </w:tcPr>
          <w:p w:rsidR="00C9744C" w:rsidRPr="000B5474" w:rsidRDefault="00C9744C" w:rsidP="002D4DBF">
            <w:pPr>
              <w:pStyle w:val="APATableText"/>
            </w:pPr>
            <w:r w:rsidRPr="000B5474">
              <w:t>1.87</w:t>
            </w:r>
            <w:r>
              <w:t xml:space="preserve"> </w:t>
            </w:r>
            <w:r w:rsidRPr="000B5474">
              <w:t>(0.83)</w:t>
            </w:r>
          </w:p>
        </w:tc>
        <w:tc>
          <w:tcPr>
            <w:tcW w:w="0" w:type="auto"/>
            <w:tcBorders>
              <w:top w:val="nil"/>
              <w:left w:val="nil"/>
              <w:bottom w:val="single" w:sz="4" w:space="0" w:color="auto"/>
              <w:right w:val="nil"/>
            </w:tcBorders>
          </w:tcPr>
          <w:p w:rsidR="00C9744C" w:rsidRPr="000B5474" w:rsidRDefault="00C9744C" w:rsidP="002D4DBF">
            <w:pPr>
              <w:pStyle w:val="APATableText"/>
            </w:pPr>
            <w:r w:rsidRPr="000B5474">
              <w:t>2.73</w:t>
            </w:r>
            <w:r>
              <w:t xml:space="preserve"> </w:t>
            </w:r>
            <w:r w:rsidRPr="000B5474">
              <w:t>(1.03)</w:t>
            </w:r>
          </w:p>
        </w:tc>
        <w:tc>
          <w:tcPr>
            <w:tcW w:w="0" w:type="auto"/>
            <w:tcBorders>
              <w:top w:val="nil"/>
              <w:left w:val="nil"/>
              <w:bottom w:val="single" w:sz="4" w:space="0" w:color="auto"/>
              <w:right w:val="nil"/>
            </w:tcBorders>
          </w:tcPr>
          <w:p w:rsidR="00C9744C" w:rsidRPr="000B5474" w:rsidRDefault="00C9744C" w:rsidP="002D4DBF">
            <w:pPr>
              <w:pStyle w:val="APATableText"/>
            </w:pPr>
            <w:r w:rsidRPr="000B5474">
              <w:t>2.5</w:t>
            </w:r>
            <w:r>
              <w:t xml:space="preserve">0 </w:t>
            </w:r>
            <w:r w:rsidRPr="000B5474">
              <w:t>(1.22)</w:t>
            </w:r>
          </w:p>
        </w:tc>
        <w:tc>
          <w:tcPr>
            <w:tcW w:w="0" w:type="auto"/>
            <w:tcBorders>
              <w:top w:val="nil"/>
              <w:left w:val="nil"/>
              <w:bottom w:val="single" w:sz="4" w:space="0" w:color="auto"/>
              <w:right w:val="nil"/>
            </w:tcBorders>
          </w:tcPr>
          <w:p w:rsidR="00C9744C" w:rsidRPr="000B5474" w:rsidRDefault="00C9744C" w:rsidP="002D4DBF">
            <w:pPr>
              <w:pStyle w:val="APATableText"/>
            </w:pPr>
            <w:r w:rsidRPr="000B5474">
              <w:t>2.13</w:t>
            </w:r>
            <w:r>
              <w:t xml:space="preserve"> </w:t>
            </w:r>
            <w:r w:rsidRPr="000B5474">
              <w:t>(1.06)</w:t>
            </w:r>
          </w:p>
        </w:tc>
        <w:tc>
          <w:tcPr>
            <w:tcW w:w="0" w:type="auto"/>
            <w:tcBorders>
              <w:top w:val="nil"/>
              <w:left w:val="nil"/>
              <w:bottom w:val="single" w:sz="4" w:space="0" w:color="auto"/>
              <w:right w:val="nil"/>
            </w:tcBorders>
          </w:tcPr>
          <w:p w:rsidR="00C9744C" w:rsidRPr="000B5474" w:rsidRDefault="00C9744C" w:rsidP="002D4DBF">
            <w:pPr>
              <w:pStyle w:val="APATableText"/>
            </w:pPr>
            <w:r>
              <w:t xml:space="preserve">2.19 </w:t>
            </w:r>
            <w:r w:rsidRPr="000B5474">
              <w:t>(0.</w:t>
            </w:r>
            <w:r>
              <w:t>83</w:t>
            </w:r>
            <w:r w:rsidRPr="000B5474">
              <w:t>)</w:t>
            </w:r>
          </w:p>
        </w:tc>
      </w:tr>
      <w:tr w:rsidR="00C9744C" w:rsidRPr="005A2207" w:rsidTr="002D4DBF">
        <w:trPr>
          <w:jc w:val="center"/>
        </w:trPr>
        <w:tc>
          <w:tcPr>
            <w:tcW w:w="0" w:type="auto"/>
            <w:gridSpan w:val="8"/>
            <w:tcBorders>
              <w:top w:val="single" w:sz="4" w:space="0" w:color="auto"/>
              <w:left w:val="nil"/>
              <w:bottom w:val="nil"/>
              <w:right w:val="nil"/>
            </w:tcBorders>
          </w:tcPr>
          <w:p w:rsidR="00C9744C" w:rsidRPr="000B5474" w:rsidRDefault="00C9744C" w:rsidP="002D4DBF">
            <w:pPr>
              <w:pStyle w:val="APATableText"/>
            </w:pPr>
            <w:r>
              <w:t>Note. Data are shown as the mean and standard deviation, M (SD).</w:t>
            </w:r>
          </w:p>
        </w:tc>
      </w:tr>
    </w:tbl>
    <w:p w:rsidR="00C9744C" w:rsidRDefault="00C9744C" w:rsidP="00C9744C">
      <w:pPr>
        <w:pStyle w:val="APABodyText"/>
      </w:pPr>
    </w:p>
    <w:p w:rsidR="00C9744C" w:rsidRPr="005A2207" w:rsidRDefault="00C9744C" w:rsidP="00C9744C">
      <w:pPr>
        <w:pStyle w:val="APATableHeading"/>
      </w:pPr>
    </w:p>
    <w:tbl>
      <w:tblPr>
        <w:tblStyle w:val="TableGrid"/>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260"/>
        <w:gridCol w:w="1152"/>
        <w:gridCol w:w="1152"/>
        <w:gridCol w:w="1152"/>
        <w:gridCol w:w="1152"/>
        <w:gridCol w:w="1152"/>
        <w:gridCol w:w="1152"/>
        <w:gridCol w:w="1188"/>
      </w:tblGrid>
      <w:tr w:rsidR="00C9744C" w:rsidRPr="005A2207" w:rsidTr="002D4DBF">
        <w:trPr>
          <w:jc w:val="center"/>
        </w:trPr>
        <w:tc>
          <w:tcPr>
            <w:tcW w:w="0" w:type="auto"/>
            <w:tcBorders>
              <w:top w:val="nil"/>
              <w:bottom w:val="nil"/>
            </w:tcBorders>
          </w:tcPr>
          <w:p w:rsidR="00C9744C" w:rsidRPr="003E6DC2" w:rsidRDefault="00C9744C" w:rsidP="002D4DBF">
            <w:pPr>
              <w:pStyle w:val="APATableText"/>
              <w:rPr>
                <w:b/>
                <w:bCs/>
              </w:rPr>
            </w:pPr>
            <w:r w:rsidRPr="003E6DC2">
              <w:rPr>
                <w:b/>
                <w:bCs/>
              </w:rPr>
              <w:t>Table 2</w:t>
            </w:r>
          </w:p>
        </w:tc>
        <w:tc>
          <w:tcPr>
            <w:tcW w:w="0" w:type="auto"/>
            <w:tcBorders>
              <w:top w:val="nil"/>
              <w:bottom w:val="nil"/>
            </w:tcBorders>
          </w:tcPr>
          <w:p w:rsidR="00C9744C" w:rsidRPr="00A545A5" w:rsidRDefault="00C9744C" w:rsidP="002D4DBF">
            <w:pPr>
              <w:pStyle w:val="APATableText"/>
            </w:pPr>
          </w:p>
        </w:tc>
        <w:tc>
          <w:tcPr>
            <w:tcW w:w="0" w:type="auto"/>
            <w:tcBorders>
              <w:top w:val="nil"/>
              <w:bottom w:val="nil"/>
            </w:tcBorders>
          </w:tcPr>
          <w:p w:rsidR="00C9744C" w:rsidRPr="00A545A5" w:rsidRDefault="00C9744C" w:rsidP="002D4DBF">
            <w:pPr>
              <w:pStyle w:val="APATableText"/>
            </w:pPr>
          </w:p>
        </w:tc>
        <w:tc>
          <w:tcPr>
            <w:tcW w:w="0" w:type="auto"/>
            <w:tcBorders>
              <w:top w:val="nil"/>
              <w:bottom w:val="nil"/>
            </w:tcBorders>
          </w:tcPr>
          <w:p w:rsidR="00C9744C" w:rsidRPr="00A545A5" w:rsidRDefault="00C9744C" w:rsidP="002D4DBF">
            <w:pPr>
              <w:pStyle w:val="APATableText"/>
            </w:pPr>
          </w:p>
        </w:tc>
        <w:tc>
          <w:tcPr>
            <w:tcW w:w="0" w:type="auto"/>
            <w:tcBorders>
              <w:top w:val="nil"/>
              <w:bottom w:val="nil"/>
            </w:tcBorders>
          </w:tcPr>
          <w:p w:rsidR="00C9744C" w:rsidRPr="00A545A5" w:rsidRDefault="00C9744C" w:rsidP="002D4DBF">
            <w:pPr>
              <w:pStyle w:val="APATableText"/>
            </w:pPr>
          </w:p>
        </w:tc>
        <w:tc>
          <w:tcPr>
            <w:tcW w:w="0" w:type="auto"/>
            <w:tcBorders>
              <w:top w:val="nil"/>
              <w:bottom w:val="nil"/>
            </w:tcBorders>
          </w:tcPr>
          <w:p w:rsidR="00C9744C" w:rsidRPr="00A545A5" w:rsidRDefault="00C9744C" w:rsidP="002D4DBF">
            <w:pPr>
              <w:pStyle w:val="APATableText"/>
            </w:pPr>
          </w:p>
        </w:tc>
        <w:tc>
          <w:tcPr>
            <w:tcW w:w="0" w:type="auto"/>
            <w:tcBorders>
              <w:top w:val="nil"/>
              <w:bottom w:val="nil"/>
            </w:tcBorders>
          </w:tcPr>
          <w:p w:rsidR="00C9744C" w:rsidRPr="00A545A5" w:rsidRDefault="00C9744C" w:rsidP="002D4DBF">
            <w:pPr>
              <w:pStyle w:val="APATableText"/>
            </w:pPr>
          </w:p>
        </w:tc>
        <w:tc>
          <w:tcPr>
            <w:tcW w:w="0" w:type="auto"/>
            <w:tcBorders>
              <w:top w:val="nil"/>
              <w:bottom w:val="nil"/>
            </w:tcBorders>
          </w:tcPr>
          <w:p w:rsidR="00C9744C" w:rsidRDefault="00C9744C" w:rsidP="002D4DBF">
            <w:pPr>
              <w:pStyle w:val="APATableText"/>
            </w:pPr>
          </w:p>
        </w:tc>
      </w:tr>
      <w:tr w:rsidR="00C9744C" w:rsidRPr="005A2207" w:rsidTr="002D4DBF">
        <w:trPr>
          <w:jc w:val="center"/>
        </w:trPr>
        <w:tc>
          <w:tcPr>
            <w:tcW w:w="0" w:type="auto"/>
            <w:gridSpan w:val="8"/>
            <w:tcBorders>
              <w:top w:val="nil"/>
              <w:bottom w:val="single" w:sz="4" w:space="0" w:color="auto"/>
            </w:tcBorders>
          </w:tcPr>
          <w:p w:rsidR="00C9744C" w:rsidRPr="003E6DC2" w:rsidRDefault="00C9744C" w:rsidP="002D4DBF">
            <w:pPr>
              <w:pStyle w:val="APATableText"/>
              <w:rPr>
                <w:i/>
                <w:iCs/>
              </w:rPr>
            </w:pPr>
            <w:r w:rsidRPr="003E6DC2">
              <w:rPr>
                <w:i/>
                <w:iCs/>
              </w:rPr>
              <w:t>Mean Masculinity Ratings (out of 5) for Each Actor’s ‘Appearance’ (N = 29)</w:t>
            </w:r>
          </w:p>
        </w:tc>
      </w:tr>
      <w:tr w:rsidR="00C9744C" w:rsidRPr="005A2207" w:rsidTr="002D4DBF">
        <w:trPr>
          <w:jc w:val="center"/>
        </w:trPr>
        <w:tc>
          <w:tcPr>
            <w:tcW w:w="0" w:type="auto"/>
            <w:tcBorders>
              <w:top w:val="single" w:sz="4" w:space="0" w:color="auto"/>
              <w:bottom w:val="single" w:sz="4" w:space="0" w:color="auto"/>
            </w:tcBorders>
          </w:tcPr>
          <w:p w:rsidR="00C9744C" w:rsidRPr="00A545A5" w:rsidRDefault="00C9744C" w:rsidP="002D4DBF">
            <w:pPr>
              <w:pStyle w:val="APATableText"/>
            </w:pPr>
            <w:r>
              <w:t>Video type</w:t>
            </w:r>
          </w:p>
        </w:tc>
        <w:tc>
          <w:tcPr>
            <w:tcW w:w="0" w:type="auto"/>
            <w:tcBorders>
              <w:top w:val="single" w:sz="4" w:space="0" w:color="auto"/>
              <w:bottom w:val="single" w:sz="4" w:space="0" w:color="auto"/>
            </w:tcBorders>
          </w:tcPr>
          <w:p w:rsidR="00C9744C" w:rsidRPr="00A545A5" w:rsidRDefault="00C9744C" w:rsidP="002D4DBF">
            <w:pPr>
              <w:pStyle w:val="APATableText"/>
            </w:pPr>
            <w:r w:rsidRPr="00A545A5">
              <w:t>Actor J</w:t>
            </w:r>
          </w:p>
        </w:tc>
        <w:tc>
          <w:tcPr>
            <w:tcW w:w="0" w:type="auto"/>
            <w:tcBorders>
              <w:top w:val="single" w:sz="4" w:space="0" w:color="auto"/>
              <w:bottom w:val="single" w:sz="4" w:space="0" w:color="auto"/>
            </w:tcBorders>
          </w:tcPr>
          <w:p w:rsidR="00C9744C" w:rsidRPr="00A545A5" w:rsidRDefault="00C9744C" w:rsidP="002D4DBF">
            <w:pPr>
              <w:pStyle w:val="APATableText"/>
            </w:pPr>
            <w:r w:rsidRPr="00A545A5">
              <w:t>Actor F</w:t>
            </w:r>
          </w:p>
        </w:tc>
        <w:tc>
          <w:tcPr>
            <w:tcW w:w="0" w:type="auto"/>
            <w:tcBorders>
              <w:top w:val="single" w:sz="4" w:space="0" w:color="auto"/>
              <w:bottom w:val="single" w:sz="4" w:space="0" w:color="auto"/>
            </w:tcBorders>
          </w:tcPr>
          <w:p w:rsidR="00C9744C" w:rsidRPr="00A545A5" w:rsidRDefault="00C9744C" w:rsidP="002D4DBF">
            <w:pPr>
              <w:pStyle w:val="APATableText"/>
            </w:pPr>
            <w:r w:rsidRPr="00A545A5">
              <w:t>Actor E</w:t>
            </w:r>
          </w:p>
        </w:tc>
        <w:tc>
          <w:tcPr>
            <w:tcW w:w="0" w:type="auto"/>
            <w:tcBorders>
              <w:top w:val="single" w:sz="4" w:space="0" w:color="auto"/>
              <w:bottom w:val="single" w:sz="4" w:space="0" w:color="auto"/>
            </w:tcBorders>
          </w:tcPr>
          <w:p w:rsidR="00C9744C" w:rsidRPr="00A545A5" w:rsidRDefault="00C9744C" w:rsidP="002D4DBF">
            <w:pPr>
              <w:pStyle w:val="APATableText"/>
            </w:pPr>
            <w:r w:rsidRPr="00A545A5">
              <w:t>Actor C</w:t>
            </w:r>
          </w:p>
        </w:tc>
        <w:tc>
          <w:tcPr>
            <w:tcW w:w="0" w:type="auto"/>
            <w:tcBorders>
              <w:top w:val="single" w:sz="4" w:space="0" w:color="auto"/>
              <w:bottom w:val="single" w:sz="4" w:space="0" w:color="auto"/>
            </w:tcBorders>
          </w:tcPr>
          <w:p w:rsidR="00C9744C" w:rsidRPr="00A545A5" w:rsidRDefault="00C9744C" w:rsidP="002D4DBF">
            <w:pPr>
              <w:pStyle w:val="APATableText"/>
            </w:pPr>
            <w:r w:rsidRPr="00A545A5">
              <w:t>Actor D</w:t>
            </w:r>
          </w:p>
        </w:tc>
        <w:tc>
          <w:tcPr>
            <w:tcW w:w="0" w:type="auto"/>
            <w:tcBorders>
              <w:top w:val="single" w:sz="4" w:space="0" w:color="auto"/>
              <w:bottom w:val="single" w:sz="4" w:space="0" w:color="auto"/>
            </w:tcBorders>
          </w:tcPr>
          <w:p w:rsidR="00C9744C" w:rsidRPr="00A545A5" w:rsidRDefault="00C9744C" w:rsidP="002D4DBF">
            <w:pPr>
              <w:pStyle w:val="APATableText"/>
            </w:pPr>
            <w:r w:rsidRPr="00A545A5">
              <w:t>Actor G</w:t>
            </w:r>
          </w:p>
        </w:tc>
        <w:tc>
          <w:tcPr>
            <w:tcW w:w="0" w:type="auto"/>
            <w:tcBorders>
              <w:top w:val="single" w:sz="4" w:space="0" w:color="auto"/>
              <w:bottom w:val="single" w:sz="4" w:space="0" w:color="auto"/>
            </w:tcBorders>
          </w:tcPr>
          <w:p w:rsidR="00C9744C" w:rsidRPr="00A545A5" w:rsidRDefault="00C9744C" w:rsidP="002D4DBF">
            <w:pPr>
              <w:pStyle w:val="APATableText"/>
            </w:pPr>
            <w:r>
              <w:t>Overall</w:t>
            </w:r>
          </w:p>
        </w:tc>
      </w:tr>
      <w:tr w:rsidR="00C9744C" w:rsidRPr="005A2207" w:rsidTr="002D4DBF">
        <w:trPr>
          <w:jc w:val="center"/>
        </w:trPr>
        <w:tc>
          <w:tcPr>
            <w:tcW w:w="0" w:type="auto"/>
            <w:tcBorders>
              <w:top w:val="single" w:sz="4" w:space="0" w:color="auto"/>
              <w:bottom w:val="nil"/>
            </w:tcBorders>
          </w:tcPr>
          <w:p w:rsidR="00C9744C" w:rsidRPr="00A545A5" w:rsidRDefault="00C9744C" w:rsidP="002D4DBF">
            <w:pPr>
              <w:pStyle w:val="APATableText"/>
            </w:pPr>
            <w:r w:rsidRPr="00A545A5">
              <w:t>Masculine</w:t>
            </w:r>
          </w:p>
        </w:tc>
        <w:tc>
          <w:tcPr>
            <w:tcW w:w="0" w:type="auto"/>
            <w:tcBorders>
              <w:top w:val="single" w:sz="4" w:space="0" w:color="auto"/>
              <w:bottom w:val="nil"/>
            </w:tcBorders>
          </w:tcPr>
          <w:p w:rsidR="00C9744C" w:rsidRPr="00A545A5" w:rsidRDefault="00C9744C" w:rsidP="002D4DBF">
            <w:pPr>
              <w:pStyle w:val="APATableText"/>
            </w:pPr>
            <w:r w:rsidRPr="00A545A5">
              <w:t>4</w:t>
            </w:r>
            <w:r>
              <w:t xml:space="preserve">.00 </w:t>
            </w:r>
            <w:r w:rsidRPr="00A545A5">
              <w:t>(0.65)</w:t>
            </w:r>
          </w:p>
        </w:tc>
        <w:tc>
          <w:tcPr>
            <w:tcW w:w="0" w:type="auto"/>
            <w:tcBorders>
              <w:top w:val="single" w:sz="4" w:space="0" w:color="auto"/>
              <w:bottom w:val="nil"/>
            </w:tcBorders>
          </w:tcPr>
          <w:p w:rsidR="00C9744C" w:rsidRPr="00A545A5" w:rsidRDefault="00C9744C" w:rsidP="002D4DBF">
            <w:pPr>
              <w:pStyle w:val="APATableText"/>
            </w:pPr>
            <w:r w:rsidRPr="00A545A5">
              <w:t>3.8</w:t>
            </w:r>
            <w:r>
              <w:t xml:space="preserve">0 </w:t>
            </w:r>
            <w:r w:rsidRPr="00A545A5">
              <w:t>(0.75)</w:t>
            </w:r>
          </w:p>
        </w:tc>
        <w:tc>
          <w:tcPr>
            <w:tcW w:w="0" w:type="auto"/>
            <w:tcBorders>
              <w:top w:val="single" w:sz="4" w:space="0" w:color="auto"/>
              <w:bottom w:val="nil"/>
            </w:tcBorders>
          </w:tcPr>
          <w:p w:rsidR="00C9744C" w:rsidRPr="00A545A5" w:rsidRDefault="00C9744C" w:rsidP="002D4DBF">
            <w:pPr>
              <w:pStyle w:val="APATableText"/>
            </w:pPr>
            <w:r w:rsidRPr="00A545A5">
              <w:t>3.93</w:t>
            </w:r>
            <w:r>
              <w:t xml:space="preserve"> </w:t>
            </w:r>
            <w:r w:rsidRPr="00A545A5">
              <w:t>(1.07)</w:t>
            </w:r>
          </w:p>
        </w:tc>
        <w:tc>
          <w:tcPr>
            <w:tcW w:w="0" w:type="auto"/>
            <w:tcBorders>
              <w:top w:val="single" w:sz="4" w:space="0" w:color="auto"/>
              <w:bottom w:val="nil"/>
            </w:tcBorders>
          </w:tcPr>
          <w:p w:rsidR="00C9744C" w:rsidRPr="00A545A5" w:rsidRDefault="00C9744C" w:rsidP="002D4DBF">
            <w:pPr>
              <w:pStyle w:val="APATableText"/>
            </w:pPr>
            <w:r w:rsidRPr="00A545A5">
              <w:t>4</w:t>
            </w:r>
            <w:r>
              <w:t xml:space="preserve">.00 </w:t>
            </w:r>
            <w:r w:rsidRPr="00A545A5">
              <w:t>(0.88)</w:t>
            </w:r>
          </w:p>
        </w:tc>
        <w:tc>
          <w:tcPr>
            <w:tcW w:w="0" w:type="auto"/>
            <w:tcBorders>
              <w:top w:val="single" w:sz="4" w:space="0" w:color="auto"/>
              <w:bottom w:val="nil"/>
            </w:tcBorders>
          </w:tcPr>
          <w:p w:rsidR="00C9744C" w:rsidRPr="00A545A5" w:rsidRDefault="00C9744C" w:rsidP="002D4DBF">
            <w:pPr>
              <w:pStyle w:val="APATableText"/>
            </w:pPr>
            <w:r w:rsidRPr="00A545A5">
              <w:t>4.27</w:t>
            </w:r>
            <w:r>
              <w:t xml:space="preserve"> </w:t>
            </w:r>
            <w:r w:rsidRPr="00A545A5">
              <w:t>(0.70)</w:t>
            </w:r>
          </w:p>
        </w:tc>
        <w:tc>
          <w:tcPr>
            <w:tcW w:w="0" w:type="auto"/>
            <w:tcBorders>
              <w:top w:val="single" w:sz="4" w:space="0" w:color="auto"/>
              <w:bottom w:val="nil"/>
            </w:tcBorders>
          </w:tcPr>
          <w:p w:rsidR="00C9744C" w:rsidRPr="00A545A5" w:rsidRDefault="00C9744C" w:rsidP="002D4DBF">
            <w:pPr>
              <w:pStyle w:val="APATableText"/>
            </w:pPr>
            <w:r w:rsidRPr="00A545A5">
              <w:t>3.86</w:t>
            </w:r>
            <w:r>
              <w:t xml:space="preserve"> </w:t>
            </w:r>
            <w:r w:rsidRPr="00A545A5">
              <w:t>(0.77)</w:t>
            </w:r>
          </w:p>
        </w:tc>
        <w:tc>
          <w:tcPr>
            <w:tcW w:w="0" w:type="auto"/>
            <w:tcBorders>
              <w:top w:val="single" w:sz="4" w:space="0" w:color="auto"/>
              <w:bottom w:val="nil"/>
            </w:tcBorders>
          </w:tcPr>
          <w:p w:rsidR="00C9744C" w:rsidRPr="00A545A5" w:rsidRDefault="00C9744C" w:rsidP="002D4DBF">
            <w:pPr>
              <w:pStyle w:val="APATableText"/>
            </w:pPr>
            <w:r w:rsidRPr="00A545A5">
              <w:t>3.98</w:t>
            </w:r>
            <w:r>
              <w:t xml:space="preserve"> </w:t>
            </w:r>
            <w:r w:rsidRPr="00A545A5">
              <w:t>(0.52)</w:t>
            </w:r>
          </w:p>
        </w:tc>
      </w:tr>
      <w:tr w:rsidR="00C9744C" w:rsidRPr="005A2207" w:rsidTr="002D4DBF">
        <w:trPr>
          <w:jc w:val="center"/>
        </w:trPr>
        <w:tc>
          <w:tcPr>
            <w:tcW w:w="0" w:type="auto"/>
            <w:tcBorders>
              <w:top w:val="nil"/>
              <w:bottom w:val="single" w:sz="4" w:space="0" w:color="auto"/>
            </w:tcBorders>
          </w:tcPr>
          <w:p w:rsidR="00C9744C" w:rsidRPr="00A545A5" w:rsidRDefault="00C9744C" w:rsidP="002D4DBF">
            <w:pPr>
              <w:pStyle w:val="APATableText"/>
            </w:pPr>
            <w:r w:rsidRPr="00A545A5">
              <w:t>Feminine</w:t>
            </w:r>
          </w:p>
        </w:tc>
        <w:tc>
          <w:tcPr>
            <w:tcW w:w="0" w:type="auto"/>
            <w:tcBorders>
              <w:top w:val="nil"/>
              <w:bottom w:val="single" w:sz="4" w:space="0" w:color="auto"/>
            </w:tcBorders>
          </w:tcPr>
          <w:p w:rsidR="00C9744C" w:rsidRPr="00A545A5" w:rsidRDefault="00C9744C" w:rsidP="002D4DBF">
            <w:pPr>
              <w:pStyle w:val="APATableText"/>
            </w:pPr>
            <w:r w:rsidRPr="00A545A5">
              <w:t>3.21</w:t>
            </w:r>
            <w:r>
              <w:t xml:space="preserve"> </w:t>
            </w:r>
            <w:r w:rsidRPr="00A545A5">
              <w:t>(0.80)</w:t>
            </w:r>
          </w:p>
        </w:tc>
        <w:tc>
          <w:tcPr>
            <w:tcW w:w="0" w:type="auto"/>
            <w:tcBorders>
              <w:top w:val="nil"/>
              <w:bottom w:val="single" w:sz="4" w:space="0" w:color="auto"/>
            </w:tcBorders>
          </w:tcPr>
          <w:p w:rsidR="00C9744C" w:rsidRPr="00A545A5" w:rsidRDefault="00C9744C" w:rsidP="002D4DBF">
            <w:pPr>
              <w:pStyle w:val="APATableText"/>
            </w:pPr>
            <w:r w:rsidRPr="00A545A5">
              <w:t>2.64</w:t>
            </w:r>
            <w:r>
              <w:t xml:space="preserve"> </w:t>
            </w:r>
            <w:r w:rsidRPr="00A545A5">
              <w:t>(1.15)</w:t>
            </w:r>
          </w:p>
        </w:tc>
        <w:tc>
          <w:tcPr>
            <w:tcW w:w="0" w:type="auto"/>
            <w:tcBorders>
              <w:top w:val="nil"/>
              <w:bottom w:val="single" w:sz="4" w:space="0" w:color="auto"/>
            </w:tcBorders>
          </w:tcPr>
          <w:p w:rsidR="00C9744C" w:rsidRPr="00A545A5" w:rsidRDefault="00C9744C" w:rsidP="002D4DBF">
            <w:pPr>
              <w:pStyle w:val="APATableText"/>
            </w:pPr>
            <w:r w:rsidRPr="00A545A5">
              <w:t>2.73</w:t>
            </w:r>
            <w:r>
              <w:t xml:space="preserve"> </w:t>
            </w:r>
            <w:r w:rsidRPr="00A545A5">
              <w:t>(0.96)</w:t>
            </w:r>
          </w:p>
        </w:tc>
        <w:tc>
          <w:tcPr>
            <w:tcW w:w="0" w:type="auto"/>
            <w:tcBorders>
              <w:top w:val="nil"/>
              <w:bottom w:val="single" w:sz="4" w:space="0" w:color="auto"/>
            </w:tcBorders>
          </w:tcPr>
          <w:p w:rsidR="00C9744C" w:rsidRPr="00A545A5" w:rsidRDefault="00C9744C" w:rsidP="002D4DBF">
            <w:pPr>
              <w:pStyle w:val="APATableText"/>
            </w:pPr>
            <w:r w:rsidRPr="00A545A5">
              <w:t>3.47</w:t>
            </w:r>
            <w:r>
              <w:t xml:space="preserve"> </w:t>
            </w:r>
            <w:r w:rsidRPr="00A545A5">
              <w:t>(0.91)</w:t>
            </w:r>
          </w:p>
        </w:tc>
        <w:tc>
          <w:tcPr>
            <w:tcW w:w="0" w:type="auto"/>
            <w:tcBorders>
              <w:top w:val="nil"/>
              <w:bottom w:val="single" w:sz="4" w:space="0" w:color="auto"/>
            </w:tcBorders>
          </w:tcPr>
          <w:p w:rsidR="00C9744C" w:rsidRPr="00A545A5" w:rsidRDefault="00C9744C" w:rsidP="002D4DBF">
            <w:pPr>
              <w:pStyle w:val="APATableText"/>
            </w:pPr>
            <w:r w:rsidRPr="00A545A5">
              <w:t>2.93</w:t>
            </w:r>
            <w:r>
              <w:t xml:space="preserve"> </w:t>
            </w:r>
            <w:r w:rsidRPr="00A545A5">
              <w:t>(1.14)</w:t>
            </w:r>
          </w:p>
        </w:tc>
        <w:tc>
          <w:tcPr>
            <w:tcW w:w="0" w:type="auto"/>
            <w:tcBorders>
              <w:top w:val="nil"/>
              <w:bottom w:val="single" w:sz="4" w:space="0" w:color="auto"/>
            </w:tcBorders>
          </w:tcPr>
          <w:p w:rsidR="00C9744C" w:rsidRPr="00A545A5" w:rsidRDefault="00C9744C" w:rsidP="002D4DBF">
            <w:pPr>
              <w:pStyle w:val="APATableText"/>
            </w:pPr>
            <w:r w:rsidRPr="00A545A5">
              <w:t>2.87</w:t>
            </w:r>
            <w:r>
              <w:t xml:space="preserve"> </w:t>
            </w:r>
            <w:r w:rsidRPr="00A545A5">
              <w:t>(0.99)</w:t>
            </w:r>
          </w:p>
        </w:tc>
        <w:tc>
          <w:tcPr>
            <w:tcW w:w="0" w:type="auto"/>
            <w:tcBorders>
              <w:top w:val="nil"/>
              <w:bottom w:val="single" w:sz="4" w:space="0" w:color="auto"/>
            </w:tcBorders>
          </w:tcPr>
          <w:p w:rsidR="00C9744C" w:rsidRPr="00A545A5" w:rsidRDefault="00C9744C" w:rsidP="002D4DBF">
            <w:pPr>
              <w:pStyle w:val="APATableText"/>
            </w:pPr>
            <w:r w:rsidRPr="00A545A5">
              <w:t>2.98</w:t>
            </w:r>
            <w:r>
              <w:t xml:space="preserve"> </w:t>
            </w:r>
            <w:r w:rsidRPr="00A545A5">
              <w:t>(0.61)</w:t>
            </w:r>
          </w:p>
        </w:tc>
      </w:tr>
      <w:tr w:rsidR="00C9744C" w:rsidRPr="005A2207" w:rsidTr="002D4DBF">
        <w:trPr>
          <w:jc w:val="center"/>
        </w:trPr>
        <w:tc>
          <w:tcPr>
            <w:tcW w:w="0" w:type="auto"/>
            <w:gridSpan w:val="8"/>
            <w:tcBorders>
              <w:top w:val="single" w:sz="4" w:space="0" w:color="auto"/>
              <w:bottom w:val="nil"/>
            </w:tcBorders>
          </w:tcPr>
          <w:p w:rsidR="00C9744C" w:rsidRPr="00A545A5" w:rsidRDefault="00C9744C" w:rsidP="002D4DBF">
            <w:pPr>
              <w:pStyle w:val="APATableText"/>
            </w:pPr>
            <w:r>
              <w:t>Note. Data are shown as the mean and standard deviation, M (SD).</w:t>
            </w:r>
          </w:p>
        </w:tc>
      </w:tr>
    </w:tbl>
    <w:p w:rsidR="00C9744C" w:rsidRDefault="00C9744C" w:rsidP="00C9744C">
      <w:pPr>
        <w:pStyle w:val="APABodyText"/>
      </w:pPr>
    </w:p>
    <w:p w:rsidR="00C9744C" w:rsidRPr="00435B3A" w:rsidRDefault="00C9744C" w:rsidP="00C9744C">
      <w:pPr>
        <w:pStyle w:val="APATableHeading"/>
      </w:pPr>
    </w:p>
    <w:tbl>
      <w:tblPr>
        <w:tblStyle w:val="TableGrid"/>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260"/>
        <w:gridCol w:w="1152"/>
        <w:gridCol w:w="1152"/>
        <w:gridCol w:w="1152"/>
        <w:gridCol w:w="1152"/>
        <w:gridCol w:w="1152"/>
        <w:gridCol w:w="1152"/>
        <w:gridCol w:w="1188"/>
      </w:tblGrid>
      <w:tr w:rsidR="00C9744C" w:rsidRPr="00435B3A" w:rsidTr="002D4DBF">
        <w:trPr>
          <w:jc w:val="center"/>
        </w:trPr>
        <w:tc>
          <w:tcPr>
            <w:tcW w:w="0" w:type="auto"/>
            <w:tcBorders>
              <w:bottom w:val="nil"/>
            </w:tcBorders>
          </w:tcPr>
          <w:p w:rsidR="00C9744C" w:rsidRPr="003E6DC2" w:rsidRDefault="00C9744C" w:rsidP="002D4DBF">
            <w:pPr>
              <w:pStyle w:val="APATableText"/>
              <w:rPr>
                <w:b/>
                <w:bCs/>
              </w:rPr>
            </w:pPr>
            <w:r w:rsidRPr="003E6DC2">
              <w:rPr>
                <w:b/>
                <w:bCs/>
              </w:rPr>
              <w:t>Table 3</w:t>
            </w:r>
          </w:p>
        </w:tc>
        <w:tc>
          <w:tcPr>
            <w:tcW w:w="0" w:type="auto"/>
            <w:tcBorders>
              <w:bottom w:val="nil"/>
            </w:tcBorders>
          </w:tcPr>
          <w:p w:rsidR="00C9744C" w:rsidRPr="00435B3A" w:rsidRDefault="00C9744C" w:rsidP="002D4DBF">
            <w:pPr>
              <w:pStyle w:val="APATableText"/>
            </w:pPr>
          </w:p>
        </w:tc>
        <w:tc>
          <w:tcPr>
            <w:tcW w:w="0" w:type="auto"/>
            <w:tcBorders>
              <w:bottom w:val="nil"/>
            </w:tcBorders>
          </w:tcPr>
          <w:p w:rsidR="00C9744C" w:rsidRPr="00435B3A" w:rsidRDefault="00C9744C" w:rsidP="002D4DBF">
            <w:pPr>
              <w:pStyle w:val="APATableText"/>
            </w:pPr>
          </w:p>
        </w:tc>
        <w:tc>
          <w:tcPr>
            <w:tcW w:w="0" w:type="auto"/>
            <w:tcBorders>
              <w:bottom w:val="nil"/>
            </w:tcBorders>
          </w:tcPr>
          <w:p w:rsidR="00C9744C" w:rsidRPr="00435B3A" w:rsidRDefault="00C9744C" w:rsidP="002D4DBF">
            <w:pPr>
              <w:pStyle w:val="APATableText"/>
            </w:pPr>
          </w:p>
        </w:tc>
        <w:tc>
          <w:tcPr>
            <w:tcW w:w="0" w:type="auto"/>
            <w:tcBorders>
              <w:bottom w:val="nil"/>
            </w:tcBorders>
          </w:tcPr>
          <w:p w:rsidR="00C9744C" w:rsidRPr="00435B3A" w:rsidRDefault="00C9744C" w:rsidP="002D4DBF">
            <w:pPr>
              <w:pStyle w:val="APATableText"/>
            </w:pPr>
          </w:p>
        </w:tc>
        <w:tc>
          <w:tcPr>
            <w:tcW w:w="0" w:type="auto"/>
            <w:tcBorders>
              <w:bottom w:val="nil"/>
            </w:tcBorders>
          </w:tcPr>
          <w:p w:rsidR="00C9744C" w:rsidRPr="00435B3A" w:rsidRDefault="00C9744C" w:rsidP="002D4DBF">
            <w:pPr>
              <w:pStyle w:val="APATableText"/>
            </w:pPr>
          </w:p>
        </w:tc>
        <w:tc>
          <w:tcPr>
            <w:tcW w:w="0" w:type="auto"/>
            <w:tcBorders>
              <w:bottom w:val="nil"/>
            </w:tcBorders>
          </w:tcPr>
          <w:p w:rsidR="00C9744C" w:rsidRPr="00435B3A" w:rsidRDefault="00C9744C" w:rsidP="002D4DBF">
            <w:pPr>
              <w:pStyle w:val="APATableText"/>
            </w:pPr>
          </w:p>
        </w:tc>
        <w:tc>
          <w:tcPr>
            <w:tcW w:w="0" w:type="auto"/>
            <w:tcBorders>
              <w:bottom w:val="nil"/>
            </w:tcBorders>
          </w:tcPr>
          <w:p w:rsidR="00C9744C" w:rsidRDefault="00C9744C" w:rsidP="002D4DBF">
            <w:pPr>
              <w:pStyle w:val="APATableText"/>
            </w:pPr>
          </w:p>
        </w:tc>
      </w:tr>
      <w:tr w:rsidR="00C9744C" w:rsidRPr="00435B3A" w:rsidTr="002D4DBF">
        <w:trPr>
          <w:jc w:val="center"/>
        </w:trPr>
        <w:tc>
          <w:tcPr>
            <w:tcW w:w="0" w:type="auto"/>
            <w:gridSpan w:val="8"/>
            <w:tcBorders>
              <w:top w:val="nil"/>
              <w:bottom w:val="single" w:sz="4" w:space="0" w:color="auto"/>
            </w:tcBorders>
          </w:tcPr>
          <w:p w:rsidR="00C9744C" w:rsidRPr="003E6DC2" w:rsidRDefault="00C9744C" w:rsidP="002D4DBF">
            <w:pPr>
              <w:pStyle w:val="APATableText"/>
              <w:rPr>
                <w:i/>
                <w:iCs/>
              </w:rPr>
            </w:pPr>
            <w:r w:rsidRPr="003E6DC2">
              <w:rPr>
                <w:i/>
                <w:iCs/>
              </w:rPr>
              <w:t>Mean ‘Attractiveness’ Ratings (out of 5) for Each Video (N = 29)</w:t>
            </w:r>
          </w:p>
        </w:tc>
      </w:tr>
      <w:tr w:rsidR="00C9744C" w:rsidRPr="00435B3A" w:rsidTr="002D4DBF">
        <w:trPr>
          <w:jc w:val="center"/>
        </w:trPr>
        <w:tc>
          <w:tcPr>
            <w:tcW w:w="0" w:type="auto"/>
            <w:tcBorders>
              <w:top w:val="single" w:sz="4" w:space="0" w:color="auto"/>
            </w:tcBorders>
          </w:tcPr>
          <w:p w:rsidR="00C9744C" w:rsidRPr="00435B3A" w:rsidRDefault="00C9744C" w:rsidP="002D4DBF">
            <w:pPr>
              <w:pStyle w:val="APATableText"/>
            </w:pPr>
            <w:r w:rsidRPr="00435B3A">
              <w:t>Video type</w:t>
            </w:r>
          </w:p>
        </w:tc>
        <w:tc>
          <w:tcPr>
            <w:tcW w:w="0" w:type="auto"/>
            <w:tcBorders>
              <w:top w:val="single" w:sz="4" w:space="0" w:color="auto"/>
            </w:tcBorders>
          </w:tcPr>
          <w:p w:rsidR="00C9744C" w:rsidRPr="00435B3A" w:rsidRDefault="00C9744C" w:rsidP="002D4DBF">
            <w:pPr>
              <w:pStyle w:val="APATableText"/>
            </w:pPr>
            <w:r w:rsidRPr="00435B3A">
              <w:t>Actor J</w:t>
            </w:r>
          </w:p>
        </w:tc>
        <w:tc>
          <w:tcPr>
            <w:tcW w:w="0" w:type="auto"/>
            <w:tcBorders>
              <w:top w:val="single" w:sz="4" w:space="0" w:color="auto"/>
            </w:tcBorders>
          </w:tcPr>
          <w:p w:rsidR="00C9744C" w:rsidRPr="00435B3A" w:rsidRDefault="00C9744C" w:rsidP="002D4DBF">
            <w:pPr>
              <w:pStyle w:val="APATableText"/>
            </w:pPr>
            <w:r w:rsidRPr="00435B3A">
              <w:t>Actor F</w:t>
            </w:r>
          </w:p>
        </w:tc>
        <w:tc>
          <w:tcPr>
            <w:tcW w:w="0" w:type="auto"/>
            <w:tcBorders>
              <w:top w:val="single" w:sz="4" w:space="0" w:color="auto"/>
            </w:tcBorders>
          </w:tcPr>
          <w:p w:rsidR="00C9744C" w:rsidRPr="00435B3A" w:rsidRDefault="00C9744C" w:rsidP="002D4DBF">
            <w:pPr>
              <w:pStyle w:val="APATableText"/>
            </w:pPr>
            <w:r w:rsidRPr="00435B3A">
              <w:t>Actor E</w:t>
            </w:r>
          </w:p>
        </w:tc>
        <w:tc>
          <w:tcPr>
            <w:tcW w:w="0" w:type="auto"/>
            <w:tcBorders>
              <w:top w:val="single" w:sz="4" w:space="0" w:color="auto"/>
            </w:tcBorders>
          </w:tcPr>
          <w:p w:rsidR="00C9744C" w:rsidRPr="00435B3A" w:rsidRDefault="00C9744C" w:rsidP="002D4DBF">
            <w:pPr>
              <w:pStyle w:val="APATableText"/>
            </w:pPr>
            <w:r w:rsidRPr="00435B3A">
              <w:t>Actor C</w:t>
            </w:r>
          </w:p>
        </w:tc>
        <w:tc>
          <w:tcPr>
            <w:tcW w:w="0" w:type="auto"/>
            <w:tcBorders>
              <w:top w:val="single" w:sz="4" w:space="0" w:color="auto"/>
            </w:tcBorders>
          </w:tcPr>
          <w:p w:rsidR="00C9744C" w:rsidRPr="00435B3A" w:rsidRDefault="00C9744C" w:rsidP="002D4DBF">
            <w:pPr>
              <w:pStyle w:val="APATableText"/>
            </w:pPr>
            <w:r w:rsidRPr="00435B3A">
              <w:t>Actor D</w:t>
            </w:r>
          </w:p>
        </w:tc>
        <w:tc>
          <w:tcPr>
            <w:tcW w:w="0" w:type="auto"/>
            <w:tcBorders>
              <w:top w:val="single" w:sz="4" w:space="0" w:color="auto"/>
            </w:tcBorders>
          </w:tcPr>
          <w:p w:rsidR="00C9744C" w:rsidRPr="00435B3A" w:rsidRDefault="00C9744C" w:rsidP="002D4DBF">
            <w:pPr>
              <w:pStyle w:val="APATableText"/>
            </w:pPr>
            <w:r w:rsidRPr="00435B3A">
              <w:t>Actor G</w:t>
            </w:r>
          </w:p>
        </w:tc>
        <w:tc>
          <w:tcPr>
            <w:tcW w:w="0" w:type="auto"/>
            <w:tcBorders>
              <w:top w:val="single" w:sz="4" w:space="0" w:color="auto"/>
            </w:tcBorders>
          </w:tcPr>
          <w:p w:rsidR="00C9744C" w:rsidRPr="00435B3A" w:rsidRDefault="00C9744C" w:rsidP="002D4DBF">
            <w:pPr>
              <w:pStyle w:val="APATableText"/>
            </w:pPr>
            <w:r>
              <w:t>Overall</w:t>
            </w:r>
          </w:p>
        </w:tc>
      </w:tr>
      <w:tr w:rsidR="00C9744C" w:rsidRPr="00435B3A" w:rsidTr="002D4DBF">
        <w:trPr>
          <w:jc w:val="center"/>
        </w:trPr>
        <w:tc>
          <w:tcPr>
            <w:tcW w:w="0" w:type="auto"/>
            <w:tcBorders>
              <w:bottom w:val="single" w:sz="4" w:space="0" w:color="auto"/>
            </w:tcBorders>
          </w:tcPr>
          <w:p w:rsidR="00C9744C" w:rsidRPr="00435B3A" w:rsidRDefault="00C9744C" w:rsidP="002D4DBF">
            <w:pPr>
              <w:pStyle w:val="APATableText"/>
            </w:pPr>
            <w:r w:rsidRPr="00435B3A">
              <w:t>Masculine</w:t>
            </w:r>
          </w:p>
        </w:tc>
        <w:tc>
          <w:tcPr>
            <w:tcW w:w="0" w:type="auto"/>
            <w:tcBorders>
              <w:bottom w:val="single" w:sz="4" w:space="0" w:color="auto"/>
            </w:tcBorders>
          </w:tcPr>
          <w:p w:rsidR="00C9744C" w:rsidRPr="00435B3A" w:rsidRDefault="00C9744C" w:rsidP="002D4DBF">
            <w:pPr>
              <w:pStyle w:val="APATableText"/>
            </w:pPr>
            <w:r w:rsidRPr="00435B3A">
              <w:t>3.87</w:t>
            </w:r>
            <w:r>
              <w:t xml:space="preserve"> </w:t>
            </w:r>
            <w:r w:rsidRPr="00435B3A">
              <w:t>(0.95)</w:t>
            </w:r>
          </w:p>
        </w:tc>
        <w:tc>
          <w:tcPr>
            <w:tcW w:w="0" w:type="auto"/>
            <w:tcBorders>
              <w:bottom w:val="single" w:sz="4" w:space="0" w:color="auto"/>
            </w:tcBorders>
          </w:tcPr>
          <w:p w:rsidR="00C9744C" w:rsidRPr="00435B3A" w:rsidRDefault="00C9744C" w:rsidP="002D4DBF">
            <w:pPr>
              <w:pStyle w:val="APATableText"/>
            </w:pPr>
            <w:r w:rsidRPr="00435B3A">
              <w:t>3.27</w:t>
            </w:r>
            <w:r>
              <w:t xml:space="preserve"> </w:t>
            </w:r>
            <w:r w:rsidRPr="00435B3A">
              <w:t>(1.1)</w:t>
            </w:r>
          </w:p>
        </w:tc>
        <w:tc>
          <w:tcPr>
            <w:tcW w:w="0" w:type="auto"/>
            <w:tcBorders>
              <w:bottom w:val="single" w:sz="4" w:space="0" w:color="auto"/>
            </w:tcBorders>
          </w:tcPr>
          <w:p w:rsidR="00C9744C" w:rsidRPr="00435B3A" w:rsidRDefault="00C9744C" w:rsidP="002D4DBF">
            <w:pPr>
              <w:pStyle w:val="APATableText"/>
            </w:pPr>
            <w:r w:rsidRPr="00435B3A">
              <w:t>3.86</w:t>
            </w:r>
            <w:r>
              <w:t xml:space="preserve"> </w:t>
            </w:r>
            <w:r w:rsidRPr="00435B3A">
              <w:t>(0.66)</w:t>
            </w:r>
          </w:p>
        </w:tc>
        <w:tc>
          <w:tcPr>
            <w:tcW w:w="0" w:type="auto"/>
            <w:tcBorders>
              <w:bottom w:val="single" w:sz="4" w:space="0" w:color="auto"/>
            </w:tcBorders>
          </w:tcPr>
          <w:p w:rsidR="00C9744C" w:rsidRPr="00435B3A" w:rsidRDefault="00C9744C" w:rsidP="002D4DBF">
            <w:pPr>
              <w:pStyle w:val="APATableText"/>
            </w:pPr>
            <w:r w:rsidRPr="00435B3A">
              <w:t>4</w:t>
            </w:r>
            <w:r>
              <w:t xml:space="preserve">.00 </w:t>
            </w:r>
            <w:r w:rsidRPr="00435B3A">
              <w:t>(1.04)</w:t>
            </w:r>
          </w:p>
        </w:tc>
        <w:tc>
          <w:tcPr>
            <w:tcW w:w="0" w:type="auto"/>
            <w:tcBorders>
              <w:bottom w:val="single" w:sz="4" w:space="0" w:color="auto"/>
            </w:tcBorders>
          </w:tcPr>
          <w:p w:rsidR="00C9744C" w:rsidRPr="00435B3A" w:rsidRDefault="00C9744C" w:rsidP="002D4DBF">
            <w:pPr>
              <w:pStyle w:val="APATableText"/>
            </w:pPr>
            <w:r w:rsidRPr="00435B3A">
              <w:t>3.73</w:t>
            </w:r>
            <w:r>
              <w:t xml:space="preserve"> </w:t>
            </w:r>
            <w:r w:rsidRPr="00435B3A">
              <w:t>(1.03)</w:t>
            </w:r>
          </w:p>
        </w:tc>
        <w:tc>
          <w:tcPr>
            <w:tcW w:w="0" w:type="auto"/>
            <w:tcBorders>
              <w:bottom w:val="single" w:sz="4" w:space="0" w:color="auto"/>
            </w:tcBorders>
          </w:tcPr>
          <w:p w:rsidR="00C9744C" w:rsidRPr="00435B3A" w:rsidRDefault="00C9744C" w:rsidP="002D4DBF">
            <w:pPr>
              <w:pStyle w:val="APATableText"/>
            </w:pPr>
            <w:r w:rsidRPr="00435B3A">
              <w:t>3.86</w:t>
            </w:r>
            <w:r>
              <w:t xml:space="preserve"> </w:t>
            </w:r>
            <w:r w:rsidRPr="00435B3A">
              <w:t>(0.66)</w:t>
            </w:r>
          </w:p>
        </w:tc>
        <w:tc>
          <w:tcPr>
            <w:tcW w:w="0" w:type="auto"/>
            <w:tcBorders>
              <w:bottom w:val="single" w:sz="4" w:space="0" w:color="auto"/>
            </w:tcBorders>
          </w:tcPr>
          <w:p w:rsidR="00C9744C" w:rsidRPr="00435B3A" w:rsidRDefault="00C9744C" w:rsidP="002D4DBF">
            <w:pPr>
              <w:pStyle w:val="APATableText"/>
            </w:pPr>
            <w:r w:rsidRPr="00435B3A">
              <w:t>3.75</w:t>
            </w:r>
            <w:r>
              <w:t xml:space="preserve"> </w:t>
            </w:r>
            <w:r w:rsidRPr="00435B3A">
              <w:t>(0.64)</w:t>
            </w:r>
          </w:p>
        </w:tc>
      </w:tr>
      <w:tr w:rsidR="00C9744C" w:rsidRPr="00435B3A" w:rsidTr="002D4DBF">
        <w:trPr>
          <w:jc w:val="center"/>
        </w:trPr>
        <w:tc>
          <w:tcPr>
            <w:tcW w:w="0" w:type="auto"/>
            <w:tcBorders>
              <w:top w:val="single" w:sz="4" w:space="0" w:color="auto"/>
              <w:bottom w:val="single" w:sz="4" w:space="0" w:color="auto"/>
            </w:tcBorders>
          </w:tcPr>
          <w:p w:rsidR="00C9744C" w:rsidRPr="00435B3A" w:rsidRDefault="00C9744C" w:rsidP="002D4DBF">
            <w:pPr>
              <w:pStyle w:val="APATableText"/>
            </w:pPr>
            <w:r w:rsidRPr="00435B3A">
              <w:t>Feminine</w:t>
            </w:r>
          </w:p>
        </w:tc>
        <w:tc>
          <w:tcPr>
            <w:tcW w:w="0" w:type="auto"/>
            <w:tcBorders>
              <w:top w:val="single" w:sz="4" w:space="0" w:color="auto"/>
              <w:bottom w:val="single" w:sz="4" w:space="0" w:color="auto"/>
            </w:tcBorders>
          </w:tcPr>
          <w:p w:rsidR="00C9744C" w:rsidRPr="00435B3A" w:rsidRDefault="00C9744C" w:rsidP="002D4DBF">
            <w:pPr>
              <w:pStyle w:val="APATableText"/>
            </w:pPr>
            <w:r w:rsidRPr="00435B3A">
              <w:t>3.43</w:t>
            </w:r>
            <w:r>
              <w:t xml:space="preserve"> </w:t>
            </w:r>
            <w:r w:rsidRPr="00435B3A">
              <w:t>(1.02)</w:t>
            </w:r>
          </w:p>
        </w:tc>
        <w:tc>
          <w:tcPr>
            <w:tcW w:w="0" w:type="auto"/>
            <w:tcBorders>
              <w:top w:val="single" w:sz="4" w:space="0" w:color="auto"/>
              <w:bottom w:val="single" w:sz="4" w:space="0" w:color="auto"/>
            </w:tcBorders>
          </w:tcPr>
          <w:p w:rsidR="00C9744C" w:rsidRPr="00435B3A" w:rsidRDefault="00C9744C" w:rsidP="002D4DBF">
            <w:pPr>
              <w:pStyle w:val="APATableText"/>
            </w:pPr>
            <w:r w:rsidRPr="00435B3A">
              <w:t>3</w:t>
            </w:r>
            <w:r>
              <w:t xml:space="preserve">.00 </w:t>
            </w:r>
            <w:r w:rsidRPr="00435B3A">
              <w:t>(1.12)</w:t>
            </w:r>
          </w:p>
        </w:tc>
        <w:tc>
          <w:tcPr>
            <w:tcW w:w="0" w:type="auto"/>
            <w:tcBorders>
              <w:top w:val="single" w:sz="4" w:space="0" w:color="auto"/>
              <w:bottom w:val="single" w:sz="4" w:space="0" w:color="auto"/>
            </w:tcBorders>
          </w:tcPr>
          <w:p w:rsidR="00C9744C" w:rsidRPr="00435B3A" w:rsidRDefault="00C9744C" w:rsidP="002D4DBF">
            <w:pPr>
              <w:pStyle w:val="APATableText"/>
            </w:pPr>
            <w:r w:rsidRPr="00435B3A">
              <w:t>2.47</w:t>
            </w:r>
            <w:r>
              <w:t xml:space="preserve"> </w:t>
            </w:r>
            <w:r w:rsidRPr="00435B3A">
              <w:t>(0.99)</w:t>
            </w:r>
          </w:p>
        </w:tc>
        <w:tc>
          <w:tcPr>
            <w:tcW w:w="0" w:type="auto"/>
            <w:tcBorders>
              <w:top w:val="single" w:sz="4" w:space="0" w:color="auto"/>
              <w:bottom w:val="single" w:sz="4" w:space="0" w:color="auto"/>
            </w:tcBorders>
          </w:tcPr>
          <w:p w:rsidR="00C9744C" w:rsidRPr="00435B3A" w:rsidRDefault="00C9744C" w:rsidP="002D4DBF">
            <w:pPr>
              <w:pStyle w:val="APATableText"/>
            </w:pPr>
            <w:r w:rsidRPr="00435B3A">
              <w:t>3.13</w:t>
            </w:r>
            <w:r>
              <w:t xml:space="preserve"> </w:t>
            </w:r>
            <w:r w:rsidRPr="00435B3A">
              <w:t>(1.46)</w:t>
            </w:r>
          </w:p>
        </w:tc>
        <w:tc>
          <w:tcPr>
            <w:tcW w:w="0" w:type="auto"/>
            <w:tcBorders>
              <w:top w:val="single" w:sz="4" w:space="0" w:color="auto"/>
              <w:bottom w:val="single" w:sz="4" w:space="0" w:color="auto"/>
            </w:tcBorders>
          </w:tcPr>
          <w:p w:rsidR="00C9744C" w:rsidRPr="00435B3A" w:rsidRDefault="00C9744C" w:rsidP="002D4DBF">
            <w:pPr>
              <w:pStyle w:val="APATableText"/>
            </w:pPr>
            <w:r w:rsidRPr="00435B3A">
              <w:t>3.43</w:t>
            </w:r>
            <w:r>
              <w:t xml:space="preserve"> </w:t>
            </w:r>
            <w:r w:rsidRPr="00435B3A">
              <w:t>(1.22)</w:t>
            </w:r>
          </w:p>
        </w:tc>
        <w:tc>
          <w:tcPr>
            <w:tcW w:w="0" w:type="auto"/>
            <w:tcBorders>
              <w:top w:val="single" w:sz="4" w:space="0" w:color="auto"/>
              <w:bottom w:val="single" w:sz="4" w:space="0" w:color="auto"/>
            </w:tcBorders>
          </w:tcPr>
          <w:p w:rsidR="00C9744C" w:rsidRPr="00435B3A" w:rsidRDefault="00C9744C" w:rsidP="002D4DBF">
            <w:pPr>
              <w:pStyle w:val="APATableText"/>
            </w:pPr>
            <w:r w:rsidRPr="00435B3A">
              <w:t>3.2</w:t>
            </w:r>
            <w:r>
              <w:t xml:space="preserve">0 </w:t>
            </w:r>
            <w:r w:rsidRPr="00435B3A">
              <w:t>(1.32)</w:t>
            </w:r>
          </w:p>
        </w:tc>
        <w:tc>
          <w:tcPr>
            <w:tcW w:w="0" w:type="auto"/>
            <w:tcBorders>
              <w:top w:val="single" w:sz="4" w:space="0" w:color="auto"/>
              <w:bottom w:val="single" w:sz="4" w:space="0" w:color="auto"/>
            </w:tcBorders>
          </w:tcPr>
          <w:p w:rsidR="00C9744C" w:rsidRPr="00435B3A" w:rsidRDefault="00C9744C" w:rsidP="002D4DBF">
            <w:pPr>
              <w:pStyle w:val="APATableText"/>
            </w:pPr>
            <w:r w:rsidRPr="00435B3A">
              <w:t>3.10</w:t>
            </w:r>
            <w:r>
              <w:t xml:space="preserve"> </w:t>
            </w:r>
            <w:r w:rsidRPr="00435B3A">
              <w:t>(0.93)</w:t>
            </w:r>
          </w:p>
        </w:tc>
      </w:tr>
    </w:tbl>
    <w:p w:rsidR="00C9744C" w:rsidRPr="00282CA3" w:rsidRDefault="00C9744C" w:rsidP="00C9744C">
      <w:pPr>
        <w:pStyle w:val="APATableNotes"/>
      </w:pPr>
      <w:r w:rsidRPr="00435B3A">
        <w:rPr>
          <w:i/>
          <w:iCs/>
        </w:rPr>
        <w:t>Note</w:t>
      </w:r>
      <w:r>
        <w:t xml:space="preserve">. Data are shown as mean and standard deviation, </w:t>
      </w:r>
      <w:r w:rsidRPr="001E7B50">
        <w:rPr>
          <w:i/>
          <w:iCs/>
        </w:rPr>
        <w:t>M</w:t>
      </w:r>
      <w:r>
        <w:t xml:space="preserve"> (</w:t>
      </w:r>
      <w:r w:rsidRPr="001E7B50">
        <w:rPr>
          <w:i/>
          <w:iCs/>
        </w:rPr>
        <w:t>SD</w:t>
      </w:r>
      <w:r>
        <w:t>).</w:t>
      </w:r>
    </w:p>
    <w:p w:rsidR="00C9744C" w:rsidRDefault="00C9744C" w:rsidP="00C9744C">
      <w:pPr>
        <w:jc w:val="center"/>
        <w:rPr>
          <w:rFonts w:ascii="Times New Roman" w:hAnsi="Times New Roman" w:cs="Times New Roman"/>
          <w:b/>
          <w:bCs/>
        </w:rPr>
      </w:pPr>
    </w:p>
    <w:p w:rsidR="00C9744C" w:rsidRDefault="00C9744C" w:rsidP="00C9744C">
      <w:pPr>
        <w:jc w:val="center"/>
        <w:rPr>
          <w:rFonts w:ascii="Times New Roman" w:hAnsi="Times New Roman" w:cs="Times New Roman"/>
          <w:b/>
          <w:bCs/>
        </w:rPr>
      </w:pPr>
    </w:p>
    <w:p w:rsidR="00C9744C" w:rsidRDefault="00C9744C" w:rsidP="00C9744C">
      <w:pPr>
        <w:jc w:val="center"/>
        <w:rPr>
          <w:rFonts w:ascii="Times New Roman" w:hAnsi="Times New Roman" w:cs="Times New Roman"/>
          <w:b/>
          <w:bCs/>
        </w:rPr>
      </w:pPr>
    </w:p>
    <w:p w:rsidR="00C9744C" w:rsidRDefault="00C9744C" w:rsidP="00C9744C">
      <w:pPr>
        <w:jc w:val="center"/>
        <w:rPr>
          <w:rFonts w:ascii="Times New Roman" w:hAnsi="Times New Roman" w:cs="Times New Roman"/>
          <w:b/>
          <w:bCs/>
        </w:rPr>
      </w:pPr>
    </w:p>
    <w:p w:rsidR="00C9744C" w:rsidRDefault="00C9744C" w:rsidP="00C9744C">
      <w:pPr>
        <w:jc w:val="center"/>
        <w:rPr>
          <w:rFonts w:ascii="Times New Roman" w:hAnsi="Times New Roman" w:cs="Times New Roman"/>
          <w:b/>
          <w:bCs/>
        </w:rPr>
      </w:pPr>
    </w:p>
    <w:p w:rsidR="00C9744C" w:rsidRDefault="00C9744C" w:rsidP="00C9744C">
      <w:pPr>
        <w:jc w:val="center"/>
        <w:rPr>
          <w:rFonts w:ascii="Times New Roman" w:hAnsi="Times New Roman" w:cs="Times New Roman"/>
          <w:b/>
          <w:bCs/>
        </w:rPr>
      </w:pPr>
    </w:p>
    <w:p w:rsidR="00C9744C" w:rsidRDefault="00C9744C" w:rsidP="00C9744C">
      <w:pPr>
        <w:jc w:val="center"/>
        <w:rPr>
          <w:rFonts w:ascii="Times New Roman" w:hAnsi="Times New Roman" w:cs="Times New Roman"/>
          <w:b/>
          <w:bCs/>
        </w:rPr>
      </w:pPr>
    </w:p>
    <w:p w:rsidR="00C9744C" w:rsidRDefault="00C9744C" w:rsidP="00C9744C">
      <w:pPr>
        <w:jc w:val="center"/>
        <w:rPr>
          <w:rFonts w:ascii="Times New Roman" w:hAnsi="Times New Roman" w:cs="Times New Roman"/>
          <w:b/>
          <w:bCs/>
        </w:rPr>
      </w:pPr>
    </w:p>
    <w:p w:rsidR="00C9744C" w:rsidRDefault="00C9744C" w:rsidP="00C9744C">
      <w:pPr>
        <w:spacing w:line="480" w:lineRule="auto"/>
      </w:pPr>
    </w:p>
    <w:p w:rsidR="001F2373" w:rsidRDefault="001F2373">
      <w:bookmarkStart w:id="8" w:name="_GoBack"/>
      <w:bookmarkEnd w:id="8"/>
    </w:p>
    <w:sectPr w:rsidR="001F23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Theme Body CS)">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E696974"/>
    <w:multiLevelType w:val="multilevel"/>
    <w:tmpl w:val="12E43B66"/>
    <w:lvl w:ilvl="0">
      <w:start w:val="1"/>
      <w:numFmt w:val="decimal"/>
      <w:pStyle w:val="APAHeading1"/>
      <w:suff w:val="space"/>
      <w:lvlText w:val="Chapter %1:"/>
      <w:lvlJc w:val="left"/>
      <w:pPr>
        <w:ind w:left="0" w:firstLine="0"/>
      </w:pPr>
      <w:rPr>
        <w:rFonts w:hint="default"/>
      </w:rPr>
    </w:lvl>
    <w:lvl w:ilvl="1">
      <w:start w:val="1"/>
      <w:numFmt w:val="decimal"/>
      <w:pStyle w:val="APAHeading2"/>
      <w:suff w:val="space"/>
      <w:lvlText w:val="%1.%2"/>
      <w:lvlJc w:val="left"/>
      <w:pPr>
        <w:ind w:left="0" w:firstLine="0"/>
      </w:pPr>
      <w:rPr>
        <w:rFonts w:hint="default"/>
      </w:rPr>
    </w:lvl>
    <w:lvl w:ilvl="2">
      <w:start w:val="1"/>
      <w:numFmt w:val="decimal"/>
      <w:pStyle w:val="APAHeading3"/>
      <w:suff w:val="space"/>
      <w:lvlText w:val="%1.%2.%3"/>
      <w:lvlJc w:val="left"/>
      <w:pPr>
        <w:ind w:left="0" w:firstLine="0"/>
      </w:pPr>
      <w:rPr>
        <w:rFonts w:hint="default"/>
      </w:rPr>
    </w:lvl>
    <w:lvl w:ilvl="3">
      <w:start w:val="1"/>
      <w:numFmt w:val="decimal"/>
      <w:pStyle w:val="APAHeading4"/>
      <w:suff w:val="space"/>
      <w:lvlText w:val="%1.%2.%3.%4"/>
      <w:lvlJc w:val="left"/>
      <w:pPr>
        <w:ind w:left="0" w:firstLine="0"/>
      </w:pPr>
      <w:rPr>
        <w:rFonts w:hint="default"/>
      </w:rPr>
    </w:lvl>
    <w:lvl w:ilvl="4">
      <w:start w:val="1"/>
      <w:numFmt w:val="decimal"/>
      <w:pStyle w:val="APAHeading5"/>
      <w:suff w:val="space"/>
      <w:lvlText w:val="%1.%2.%3.%4.%5"/>
      <w:lvlJc w:val="left"/>
      <w:pPr>
        <w:ind w:left="0" w:firstLine="0"/>
      </w:pPr>
      <w:rPr>
        <w:rFonts w:hint="default"/>
      </w:rPr>
    </w:lvl>
    <w:lvl w:ilvl="5">
      <w:start w:val="1"/>
      <w:numFmt w:val="decimal"/>
      <w:pStyle w:val="Heading6"/>
      <w:lvlText w:val="%1.%2.%3.%4.%5.%6"/>
      <w:lvlJc w:val="left"/>
      <w:pPr>
        <w:ind w:left="0" w:firstLine="0"/>
      </w:pPr>
      <w:rPr>
        <w:rFonts w:hint="default"/>
      </w:rPr>
    </w:lvl>
    <w:lvl w:ilvl="6">
      <w:start w:val="1"/>
      <w:numFmt w:val="decimal"/>
      <w:pStyle w:val="Heading7"/>
      <w:lvlText w:val="%1.%2.%3.%4.%5.%6.%7"/>
      <w:lvlJc w:val="left"/>
      <w:pPr>
        <w:ind w:left="0" w:firstLine="0"/>
      </w:pPr>
      <w:rPr>
        <w:rFonts w:hint="default"/>
      </w:rPr>
    </w:lvl>
    <w:lvl w:ilvl="7">
      <w:start w:val="1"/>
      <w:numFmt w:val="decimal"/>
      <w:pStyle w:val="Heading8"/>
      <w:lvlText w:val="%1.%2.%3.%4.%5.%6.%7.%8"/>
      <w:lvlJc w:val="left"/>
      <w:pPr>
        <w:ind w:left="0" w:firstLine="0"/>
      </w:pPr>
      <w:rPr>
        <w:rFonts w:hint="default"/>
      </w:rPr>
    </w:lvl>
    <w:lvl w:ilvl="8">
      <w:start w:val="1"/>
      <w:numFmt w:val="decimal"/>
      <w:pStyle w:val="Heading9"/>
      <w:lvlText w:val="%1.%2.%3.%4.%5.%6.%7.%8.%9"/>
      <w:lvlJc w:val="left"/>
      <w:pPr>
        <w:ind w:left="0" w:firstLine="0"/>
      </w:pPr>
      <w:rPr>
        <w:rFonts w:hint="default"/>
      </w:rPr>
    </w:lvl>
  </w:abstractNum>
  <w:abstractNum w:abstractNumId="1" w15:restartNumberingAfterBreak="0">
    <w:nsid w:val="703744A6"/>
    <w:multiLevelType w:val="hybridMultilevel"/>
    <w:tmpl w:val="B59CA3F0"/>
    <w:lvl w:ilvl="0" w:tplc="CD26D5F0">
      <w:start w:val="1"/>
      <w:numFmt w:val="bullet"/>
      <w:pStyle w:val="APAList-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44C"/>
    <w:rsid w:val="001F2373"/>
    <w:rsid w:val="00334772"/>
    <w:rsid w:val="0038278F"/>
    <w:rsid w:val="007112F3"/>
    <w:rsid w:val="00B91611"/>
    <w:rsid w:val="00C9744C"/>
    <w:rsid w:val="00E239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ED73B9-8EB6-4363-9017-4C0F9C07A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744C"/>
    <w:pPr>
      <w:spacing w:after="0" w:line="240" w:lineRule="auto"/>
    </w:pPr>
    <w:rPr>
      <w:sz w:val="24"/>
      <w:szCs w:val="24"/>
      <w:lang w:val="en-AU"/>
    </w:rPr>
  </w:style>
  <w:style w:type="paragraph" w:styleId="Heading6">
    <w:name w:val="heading 6"/>
    <w:basedOn w:val="Normal"/>
    <w:next w:val="Normal"/>
    <w:link w:val="Heading6Char"/>
    <w:unhideWhenUsed/>
    <w:rsid w:val="00C9744C"/>
    <w:pPr>
      <w:numPr>
        <w:ilvl w:val="5"/>
        <w:numId w:val="2"/>
      </w:numPr>
      <w:spacing w:after="160" w:line="271" w:lineRule="auto"/>
      <w:outlineLvl w:val="5"/>
    </w:pPr>
    <w:rPr>
      <w:rFonts w:asciiTheme="majorHAnsi" w:eastAsiaTheme="majorEastAsia" w:hAnsiTheme="majorHAnsi" w:cstheme="majorBidi"/>
      <w:b/>
      <w:bCs/>
      <w:i/>
      <w:iCs/>
      <w:color w:val="7F7F7F" w:themeColor="text1" w:themeTint="80"/>
      <w:sz w:val="22"/>
      <w:lang w:val="en-GB"/>
    </w:rPr>
  </w:style>
  <w:style w:type="paragraph" w:styleId="Heading7">
    <w:name w:val="heading 7"/>
    <w:basedOn w:val="Normal"/>
    <w:next w:val="Normal"/>
    <w:link w:val="Heading7Char"/>
    <w:uiPriority w:val="9"/>
    <w:semiHidden/>
    <w:unhideWhenUsed/>
    <w:qFormat/>
    <w:rsid w:val="00C9744C"/>
    <w:pPr>
      <w:numPr>
        <w:ilvl w:val="6"/>
        <w:numId w:val="2"/>
      </w:numPr>
      <w:spacing w:after="160" w:line="259" w:lineRule="auto"/>
      <w:outlineLvl w:val="6"/>
    </w:pPr>
    <w:rPr>
      <w:rFonts w:asciiTheme="majorHAnsi" w:eastAsiaTheme="majorEastAsia" w:hAnsiTheme="majorHAnsi" w:cstheme="majorBidi"/>
      <w:i/>
      <w:iCs/>
      <w:sz w:val="22"/>
      <w:lang w:val="en-GB"/>
    </w:rPr>
  </w:style>
  <w:style w:type="paragraph" w:styleId="Heading8">
    <w:name w:val="heading 8"/>
    <w:basedOn w:val="Normal"/>
    <w:next w:val="Normal"/>
    <w:link w:val="Heading8Char"/>
    <w:uiPriority w:val="9"/>
    <w:semiHidden/>
    <w:unhideWhenUsed/>
    <w:qFormat/>
    <w:rsid w:val="00C9744C"/>
    <w:pPr>
      <w:numPr>
        <w:ilvl w:val="7"/>
        <w:numId w:val="2"/>
      </w:numPr>
      <w:spacing w:after="160" w:line="259" w:lineRule="auto"/>
      <w:outlineLvl w:val="7"/>
    </w:pPr>
    <w:rPr>
      <w:rFonts w:asciiTheme="majorHAnsi" w:eastAsiaTheme="majorEastAsia" w:hAnsiTheme="majorHAnsi" w:cstheme="majorBidi"/>
      <w:sz w:val="20"/>
      <w:szCs w:val="20"/>
      <w:lang w:val="en-GB"/>
    </w:rPr>
  </w:style>
  <w:style w:type="paragraph" w:styleId="Heading9">
    <w:name w:val="heading 9"/>
    <w:basedOn w:val="Normal"/>
    <w:next w:val="Normal"/>
    <w:link w:val="Heading9Char"/>
    <w:uiPriority w:val="9"/>
    <w:semiHidden/>
    <w:unhideWhenUsed/>
    <w:qFormat/>
    <w:rsid w:val="00C9744C"/>
    <w:pPr>
      <w:numPr>
        <w:ilvl w:val="8"/>
        <w:numId w:val="2"/>
      </w:numPr>
      <w:spacing w:after="160" w:line="259" w:lineRule="auto"/>
      <w:outlineLvl w:val="8"/>
    </w:pPr>
    <w:rPr>
      <w:rFonts w:asciiTheme="majorHAnsi" w:eastAsiaTheme="majorEastAsia" w:hAnsiTheme="majorHAnsi" w:cstheme="majorBidi"/>
      <w:i/>
      <w:iCs/>
      <w:spacing w:val="5"/>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C9744C"/>
    <w:rPr>
      <w:rFonts w:asciiTheme="majorHAnsi" w:eastAsiaTheme="majorEastAsia" w:hAnsiTheme="majorHAnsi" w:cstheme="majorBidi"/>
      <w:b/>
      <w:bCs/>
      <w:i/>
      <w:iCs/>
      <w:color w:val="7F7F7F" w:themeColor="text1" w:themeTint="80"/>
      <w:szCs w:val="24"/>
      <w:lang w:val="en-GB"/>
    </w:rPr>
  </w:style>
  <w:style w:type="character" w:customStyle="1" w:styleId="Heading7Char">
    <w:name w:val="Heading 7 Char"/>
    <w:basedOn w:val="DefaultParagraphFont"/>
    <w:link w:val="Heading7"/>
    <w:uiPriority w:val="9"/>
    <w:semiHidden/>
    <w:rsid w:val="00C9744C"/>
    <w:rPr>
      <w:rFonts w:asciiTheme="majorHAnsi" w:eastAsiaTheme="majorEastAsia" w:hAnsiTheme="majorHAnsi" w:cstheme="majorBidi"/>
      <w:i/>
      <w:iCs/>
      <w:szCs w:val="24"/>
      <w:lang w:val="en-GB"/>
    </w:rPr>
  </w:style>
  <w:style w:type="character" w:customStyle="1" w:styleId="Heading8Char">
    <w:name w:val="Heading 8 Char"/>
    <w:basedOn w:val="DefaultParagraphFont"/>
    <w:link w:val="Heading8"/>
    <w:uiPriority w:val="9"/>
    <w:semiHidden/>
    <w:rsid w:val="00C9744C"/>
    <w:rPr>
      <w:rFonts w:asciiTheme="majorHAnsi" w:eastAsiaTheme="majorEastAsia" w:hAnsiTheme="majorHAnsi" w:cstheme="majorBidi"/>
      <w:sz w:val="20"/>
      <w:szCs w:val="20"/>
      <w:lang w:val="en-GB"/>
    </w:rPr>
  </w:style>
  <w:style w:type="character" w:customStyle="1" w:styleId="Heading9Char">
    <w:name w:val="Heading 9 Char"/>
    <w:basedOn w:val="DefaultParagraphFont"/>
    <w:link w:val="Heading9"/>
    <w:uiPriority w:val="9"/>
    <w:semiHidden/>
    <w:rsid w:val="00C9744C"/>
    <w:rPr>
      <w:rFonts w:asciiTheme="majorHAnsi" w:eastAsiaTheme="majorEastAsia" w:hAnsiTheme="majorHAnsi" w:cstheme="majorBidi"/>
      <w:i/>
      <w:iCs/>
      <w:spacing w:val="5"/>
      <w:sz w:val="20"/>
      <w:szCs w:val="20"/>
      <w:lang w:val="en-GB"/>
    </w:rPr>
  </w:style>
  <w:style w:type="character" w:styleId="Hyperlink">
    <w:name w:val="Hyperlink"/>
    <w:basedOn w:val="DefaultParagraphFont"/>
    <w:uiPriority w:val="99"/>
    <w:unhideWhenUsed/>
    <w:rsid w:val="00C9744C"/>
    <w:rPr>
      <w:color w:val="0563C1" w:themeColor="hyperlink"/>
      <w:u w:val="single"/>
    </w:rPr>
  </w:style>
  <w:style w:type="paragraph" w:customStyle="1" w:styleId="APABodyText">
    <w:name w:val="APA Body Text"/>
    <w:link w:val="APABodyTextChar"/>
    <w:qFormat/>
    <w:rsid w:val="00C9744C"/>
    <w:pPr>
      <w:spacing w:after="0" w:line="480" w:lineRule="auto"/>
      <w:ind w:firstLine="720"/>
    </w:pPr>
    <w:rPr>
      <w:rFonts w:ascii="Times New Roman" w:eastAsia="Times New Roman" w:hAnsi="Times New Roman" w:cs="Times New Roman"/>
      <w:sz w:val="24"/>
      <w:szCs w:val="24"/>
      <w:lang w:val="en-AU"/>
    </w:rPr>
  </w:style>
  <w:style w:type="character" w:customStyle="1" w:styleId="APABodyTextChar">
    <w:name w:val="APA Body Text Char"/>
    <w:basedOn w:val="DefaultParagraphFont"/>
    <w:link w:val="APABodyText"/>
    <w:rsid w:val="00C9744C"/>
    <w:rPr>
      <w:rFonts w:ascii="Times New Roman" w:eastAsia="Times New Roman" w:hAnsi="Times New Roman" w:cs="Times New Roman"/>
      <w:sz w:val="24"/>
      <w:szCs w:val="24"/>
      <w:lang w:val="en-AU"/>
    </w:rPr>
  </w:style>
  <w:style w:type="paragraph" w:customStyle="1" w:styleId="APATableNotes">
    <w:name w:val="APA Table Notes"/>
    <w:link w:val="APATableNotesChar"/>
    <w:qFormat/>
    <w:rsid w:val="00C9744C"/>
    <w:pPr>
      <w:shd w:val="clear" w:color="auto" w:fill="FFFFFF"/>
      <w:spacing w:after="0" w:line="480" w:lineRule="auto"/>
    </w:pPr>
    <w:rPr>
      <w:rFonts w:ascii="Times New Roman" w:eastAsia="Times New Roman" w:hAnsi="Times New Roman" w:cs="Times New Roman"/>
      <w:sz w:val="24"/>
      <w:szCs w:val="20"/>
      <w:lang w:val="en-AU"/>
    </w:rPr>
  </w:style>
  <w:style w:type="character" w:customStyle="1" w:styleId="APATableNotesChar">
    <w:name w:val="APA Table Notes Char"/>
    <w:basedOn w:val="DefaultParagraphFont"/>
    <w:link w:val="APATableNotes"/>
    <w:rsid w:val="00C9744C"/>
    <w:rPr>
      <w:rFonts w:ascii="Times New Roman" w:eastAsia="Times New Roman" w:hAnsi="Times New Roman" w:cs="Times New Roman"/>
      <w:sz w:val="24"/>
      <w:szCs w:val="20"/>
      <w:shd w:val="clear" w:color="auto" w:fill="FFFFFF"/>
      <w:lang w:val="en-AU"/>
    </w:rPr>
  </w:style>
  <w:style w:type="table" w:styleId="TableGrid">
    <w:name w:val="Table Grid"/>
    <w:basedOn w:val="TableNormal"/>
    <w:uiPriority w:val="59"/>
    <w:rsid w:val="00C9744C"/>
    <w:pPr>
      <w:spacing w:after="0" w:line="240" w:lineRule="auto"/>
    </w:pPr>
    <w:rPr>
      <w:rFonts w:ascii="Arial (Theme Body CS)" w:eastAsiaTheme="minorEastAsia" w:hAnsi="Arial (Theme Body CS)"/>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AHeading1">
    <w:name w:val="APA Heading 1"/>
    <w:qFormat/>
    <w:rsid w:val="00C9744C"/>
    <w:pPr>
      <w:pageBreakBefore/>
      <w:numPr>
        <w:numId w:val="2"/>
      </w:numPr>
      <w:spacing w:after="0" w:line="480" w:lineRule="auto"/>
      <w:jc w:val="center"/>
      <w:outlineLvl w:val="0"/>
    </w:pPr>
    <w:rPr>
      <w:rFonts w:ascii="Times New Roman" w:eastAsia="Calibri" w:hAnsi="Times New Roman" w:cs="Times New Roman"/>
      <w:b/>
      <w:sz w:val="32"/>
      <w:szCs w:val="32"/>
      <w:lang w:val="en-AU"/>
    </w:rPr>
  </w:style>
  <w:style w:type="paragraph" w:customStyle="1" w:styleId="APAHeading2">
    <w:name w:val="APA Heading 2"/>
    <w:next w:val="APABodyText"/>
    <w:link w:val="APAHeading2Char"/>
    <w:qFormat/>
    <w:rsid w:val="00C9744C"/>
    <w:pPr>
      <w:keepNext/>
      <w:numPr>
        <w:ilvl w:val="1"/>
        <w:numId w:val="2"/>
      </w:numPr>
      <w:spacing w:after="0" w:line="480" w:lineRule="auto"/>
      <w:outlineLvl w:val="1"/>
    </w:pPr>
    <w:rPr>
      <w:rFonts w:ascii="Times New Roman" w:eastAsia="Calibri" w:hAnsi="Times New Roman" w:cs="Times New Roman"/>
      <w:b/>
      <w:sz w:val="28"/>
      <w:szCs w:val="28"/>
      <w:lang w:val="en-AU"/>
    </w:rPr>
  </w:style>
  <w:style w:type="character" w:customStyle="1" w:styleId="APAHeading2Char">
    <w:name w:val="APA Heading 2 Char"/>
    <w:link w:val="APAHeading2"/>
    <w:rsid w:val="00C9744C"/>
    <w:rPr>
      <w:rFonts w:ascii="Times New Roman" w:eastAsia="Calibri" w:hAnsi="Times New Roman" w:cs="Times New Roman"/>
      <w:b/>
      <w:sz w:val="28"/>
      <w:szCs w:val="28"/>
      <w:lang w:val="en-AU"/>
    </w:rPr>
  </w:style>
  <w:style w:type="paragraph" w:customStyle="1" w:styleId="APAHeading3">
    <w:name w:val="APA Heading 3"/>
    <w:next w:val="APABodyText"/>
    <w:link w:val="APAHeading3Char"/>
    <w:qFormat/>
    <w:rsid w:val="00C9744C"/>
    <w:pPr>
      <w:keepNext/>
      <w:numPr>
        <w:ilvl w:val="2"/>
        <w:numId w:val="2"/>
      </w:numPr>
      <w:spacing w:after="0" w:line="480" w:lineRule="auto"/>
      <w:outlineLvl w:val="2"/>
    </w:pPr>
    <w:rPr>
      <w:rFonts w:ascii="Times New Roman" w:eastAsia="Calibri" w:hAnsi="Times New Roman" w:cs="Times New Roman"/>
      <w:b/>
      <w:sz w:val="24"/>
      <w:szCs w:val="24"/>
      <w:lang w:val="en-AU"/>
    </w:rPr>
  </w:style>
  <w:style w:type="character" w:customStyle="1" w:styleId="APAHeading3Char">
    <w:name w:val="APA Heading 3 Char"/>
    <w:link w:val="APAHeading3"/>
    <w:rsid w:val="00C9744C"/>
    <w:rPr>
      <w:rFonts w:ascii="Times New Roman" w:eastAsia="Calibri" w:hAnsi="Times New Roman" w:cs="Times New Roman"/>
      <w:b/>
      <w:sz w:val="24"/>
      <w:szCs w:val="24"/>
      <w:lang w:val="en-AU"/>
    </w:rPr>
  </w:style>
  <w:style w:type="paragraph" w:customStyle="1" w:styleId="APAHeading4">
    <w:name w:val="APA Heading 4"/>
    <w:next w:val="APABodyText"/>
    <w:link w:val="APAHeading4Char"/>
    <w:qFormat/>
    <w:rsid w:val="00C9744C"/>
    <w:pPr>
      <w:keepNext/>
      <w:numPr>
        <w:ilvl w:val="3"/>
        <w:numId w:val="2"/>
      </w:numPr>
      <w:spacing w:after="0" w:line="480" w:lineRule="auto"/>
      <w:outlineLvl w:val="3"/>
    </w:pPr>
    <w:rPr>
      <w:rFonts w:ascii="Times New Roman" w:eastAsia="Calibri" w:hAnsi="Times New Roman" w:cs="Times New Roman"/>
      <w:b/>
      <w:i/>
      <w:sz w:val="24"/>
      <w:szCs w:val="24"/>
      <w:lang w:val="en-AU"/>
    </w:rPr>
  </w:style>
  <w:style w:type="character" w:customStyle="1" w:styleId="APAHeading4Char">
    <w:name w:val="APA Heading 4 Char"/>
    <w:link w:val="APAHeading4"/>
    <w:rsid w:val="00C9744C"/>
    <w:rPr>
      <w:rFonts w:ascii="Times New Roman" w:eastAsia="Calibri" w:hAnsi="Times New Roman" w:cs="Times New Roman"/>
      <w:b/>
      <w:i/>
      <w:sz w:val="24"/>
      <w:szCs w:val="24"/>
      <w:lang w:val="en-AU"/>
    </w:rPr>
  </w:style>
  <w:style w:type="paragraph" w:customStyle="1" w:styleId="APAHeading5">
    <w:name w:val="APA Heading 5"/>
    <w:next w:val="APABodyText"/>
    <w:qFormat/>
    <w:rsid w:val="00C9744C"/>
    <w:pPr>
      <w:keepNext/>
      <w:numPr>
        <w:ilvl w:val="4"/>
        <w:numId w:val="2"/>
      </w:numPr>
      <w:spacing w:after="0" w:line="480" w:lineRule="auto"/>
      <w:jc w:val="both"/>
      <w:outlineLvl w:val="4"/>
    </w:pPr>
    <w:rPr>
      <w:rFonts w:ascii="Times New Roman" w:eastAsia="Times New Roman" w:hAnsi="Times New Roman" w:cs="Times New Roman"/>
      <w:bCs/>
      <w:sz w:val="24"/>
      <w:szCs w:val="24"/>
      <w:lang w:val="en-AU"/>
    </w:rPr>
  </w:style>
  <w:style w:type="paragraph" w:customStyle="1" w:styleId="APAList-Bullets">
    <w:name w:val="APA List - Bullets"/>
    <w:link w:val="APAList-BulletsChar"/>
    <w:qFormat/>
    <w:rsid w:val="00C9744C"/>
    <w:pPr>
      <w:numPr>
        <w:numId w:val="1"/>
      </w:numPr>
      <w:spacing w:after="0" w:line="480" w:lineRule="auto"/>
    </w:pPr>
    <w:rPr>
      <w:rFonts w:ascii="Times New Roman" w:eastAsia="Times New Roman" w:hAnsi="Times New Roman" w:cs="Times New Roman"/>
      <w:sz w:val="24"/>
      <w:szCs w:val="24"/>
      <w:lang w:val="en-AU"/>
    </w:rPr>
  </w:style>
  <w:style w:type="character" w:customStyle="1" w:styleId="APAList-BulletsChar">
    <w:name w:val="APA List - Bullets Char"/>
    <w:basedOn w:val="APABodyTextChar"/>
    <w:link w:val="APAList-Bullets"/>
    <w:rsid w:val="00C9744C"/>
    <w:rPr>
      <w:rFonts w:ascii="Times New Roman" w:eastAsia="Times New Roman" w:hAnsi="Times New Roman" w:cs="Times New Roman"/>
      <w:sz w:val="24"/>
      <w:szCs w:val="24"/>
      <w:lang w:val="en-AU"/>
    </w:rPr>
  </w:style>
  <w:style w:type="paragraph" w:customStyle="1" w:styleId="APATableHeading">
    <w:name w:val="APA Table Heading"/>
    <w:link w:val="APATableHeadingChar"/>
    <w:qFormat/>
    <w:rsid w:val="00C9744C"/>
    <w:pPr>
      <w:keepNext/>
      <w:autoSpaceDE w:val="0"/>
      <w:autoSpaceDN w:val="0"/>
      <w:adjustRightInd w:val="0"/>
      <w:spacing w:after="0" w:line="480" w:lineRule="auto"/>
    </w:pPr>
    <w:rPr>
      <w:rFonts w:ascii="Times New Roman" w:eastAsia="Times New Roman" w:hAnsi="Times New Roman" w:cs="Times New Roman"/>
      <w:i/>
      <w:sz w:val="24"/>
      <w:szCs w:val="24"/>
      <w:lang w:val="en-GB"/>
    </w:rPr>
  </w:style>
  <w:style w:type="character" w:customStyle="1" w:styleId="APATableHeadingChar">
    <w:name w:val="APA Table Heading Char"/>
    <w:link w:val="APATableHeading"/>
    <w:rsid w:val="00C9744C"/>
    <w:rPr>
      <w:rFonts w:ascii="Times New Roman" w:eastAsia="Times New Roman" w:hAnsi="Times New Roman" w:cs="Times New Roman"/>
      <w:i/>
      <w:sz w:val="24"/>
      <w:szCs w:val="24"/>
      <w:lang w:val="en-GB"/>
    </w:rPr>
  </w:style>
  <w:style w:type="paragraph" w:customStyle="1" w:styleId="APATableText">
    <w:name w:val="APA Table Text"/>
    <w:qFormat/>
    <w:rsid w:val="00C9744C"/>
    <w:pPr>
      <w:keepNext/>
      <w:spacing w:before="60" w:after="60" w:line="240" w:lineRule="auto"/>
    </w:pPr>
    <w:rPr>
      <w:rFonts w:ascii="Times New Roman" w:eastAsia="Calibri" w:hAnsi="Times New Roman" w:cs="Times New Roman"/>
      <w:sz w:val="24"/>
      <w:szCs w:val="24"/>
      <w:lang w:val="en-AU"/>
    </w:rPr>
  </w:style>
  <w:style w:type="character" w:customStyle="1" w:styleId="normaltextrun">
    <w:name w:val="normaltextrun"/>
    <w:basedOn w:val="DefaultParagraphFont"/>
    <w:rsid w:val="00C974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ennida@hot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1533</Words>
  <Characters>8743</Characters>
  <Application>Microsoft Office Word</Application>
  <DocSecurity>0</DocSecurity>
  <Lines>72</Lines>
  <Paragraphs>20</Paragraphs>
  <ScaleCrop>false</ScaleCrop>
  <Company/>
  <LinksUpToDate>false</LinksUpToDate>
  <CharactersWithSpaces>10256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Clarisse Almanzor</dc:creator>
  <cp:keywords/>
  <dc:description/>
  <cp:lastModifiedBy>Jean Clarisse Almanzor</cp:lastModifiedBy>
  <cp:revision>1</cp:revision>
  <dcterms:created xsi:type="dcterms:W3CDTF">2022-11-07T00:17:00Z</dcterms:created>
  <dcterms:modified xsi:type="dcterms:W3CDTF">2022-11-07T00:17:00Z</dcterms:modified>
</cp:coreProperties>
</file>