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1CC48" w14:textId="77777777" w:rsidR="000E7C96" w:rsidRDefault="000E7C96" w:rsidP="000E7C96">
      <w:pPr>
        <w:pStyle w:val="Heading1"/>
      </w:pPr>
      <w:r w:rsidRPr="00B90F21">
        <w:t>Online Supplement</w:t>
      </w:r>
    </w:p>
    <w:p w14:paraId="32F69211" w14:textId="77777777" w:rsidR="000E7C96" w:rsidRDefault="000E7C96" w:rsidP="000E7C96">
      <w:pPr>
        <w:pStyle w:val="Heading2"/>
        <w:ind w:left="-480"/>
      </w:pPr>
      <w:r>
        <w:t>Information on Weekend Trip</w:t>
      </w:r>
    </w:p>
    <w:p w14:paraId="384E5A96" w14:textId="77777777" w:rsidR="000E7C96" w:rsidRPr="00E5212A" w:rsidRDefault="000E7C96" w:rsidP="000E7C96">
      <w:pPr>
        <w:ind w:left="-480"/>
      </w:pPr>
      <w:r w:rsidRPr="00E5212A">
        <w:t>The family weekend trip is an offer by a gift voucher system commonly used in Belgium and other parts of Europe. The gift voucher includes two overnight stays in a hotel including breakfast for 2 persons including their child. Winners can choose a destination from a selection of 500 family-friendly hotels in Europe. At the end of the final third measurement point, this voucher will be raffled amongst participants. With each completed survey, the chances for winning the voucher increase.</w:t>
      </w:r>
    </w:p>
    <w:p w14:paraId="30F6001D" w14:textId="77777777" w:rsidR="000E7C96" w:rsidRPr="00E5212A" w:rsidRDefault="000E7C96" w:rsidP="000E7C96">
      <w:pPr>
        <w:ind w:left="-480"/>
      </w:pPr>
    </w:p>
    <w:p w14:paraId="686F2748" w14:textId="77777777" w:rsidR="000E7C96" w:rsidRDefault="000E7C96" w:rsidP="000E7C96">
      <w:pPr>
        <w:pStyle w:val="Heading2"/>
        <w:ind w:left="-480"/>
      </w:pPr>
      <w:r w:rsidRPr="00C9421B">
        <w:rPr>
          <w:rFonts w:eastAsia="Times New Roman"/>
        </w:rPr>
        <w:t>Latent Profile Analysis and Three-Step-Approach</w:t>
      </w:r>
    </w:p>
    <w:p w14:paraId="0B42F1B1" w14:textId="77777777" w:rsidR="000E7C96" w:rsidRDefault="000E7C96" w:rsidP="000E7C96">
      <w:pPr>
        <w:autoSpaceDE w:val="0"/>
        <w:autoSpaceDN w:val="0"/>
        <w:ind w:left="-480"/>
        <w:rPr>
          <w:rFonts w:eastAsia="Times New Roman"/>
        </w:rPr>
      </w:pPr>
      <w:r w:rsidRPr="00AA326A">
        <w:rPr>
          <w:rFonts w:eastAsia="Times New Roman"/>
        </w:rPr>
        <w:t xml:space="preserve">To explore whether distinct subgroups of fathers differed in their discrepancy between expected, desired, and actual task division, we conducted a latent profile analysis (LPA). In a first step, we used the R package </w:t>
      </w:r>
      <w:proofErr w:type="spellStart"/>
      <w:r w:rsidRPr="00AA326A">
        <w:rPr>
          <w:rFonts w:eastAsia="Times New Roman"/>
        </w:rPr>
        <w:t>tidyLPA</w:t>
      </w:r>
      <w:proofErr w:type="spellEnd"/>
      <w:r w:rsidRPr="00AA326A">
        <w:rPr>
          <w:rFonts w:eastAsia="Times New Roman"/>
        </w:rPr>
        <w:t xml:space="preserve"> (Rosenberg et al., 2018) to identify profiles based on fathers’ political orientation, age, and religiosity at T1. These variables were selected due to their theoretical relevance for traditional vs. egalitarian orientations.</w:t>
      </w:r>
    </w:p>
    <w:p w14:paraId="223EC26F" w14:textId="77777777" w:rsidR="000E7C96" w:rsidRDefault="000E7C96" w:rsidP="000E7C96">
      <w:pPr>
        <w:autoSpaceDE w:val="0"/>
        <w:autoSpaceDN w:val="0"/>
        <w:ind w:left="-480"/>
        <w:rPr>
          <w:rFonts w:eastAsia="Times New Roman"/>
        </w:rPr>
      </w:pPr>
      <w:r w:rsidRPr="00AA326A">
        <w:rPr>
          <w:rFonts w:eastAsia="Times New Roman"/>
        </w:rPr>
        <w:t>We estimated several models varying in assumptions about within-profile variances and covariances: (1) equal variances and no covariances; (2) varying variances and no covariances; (3) equal variances and equal covariances; and (4) varying variances and covariances. Due to convergence issues with models 2 and 4, we compared models 1 and 3 using AIC and BIC. The three-profile solution from model 1 (equal variances, no covariances) showed the best fit and was retained for further analysis.</w:t>
      </w:r>
    </w:p>
    <w:p w14:paraId="5CB5D977" w14:textId="77777777" w:rsidR="000E7C96" w:rsidRDefault="000E7C96" w:rsidP="000E7C96">
      <w:pPr>
        <w:autoSpaceDE w:val="0"/>
        <w:autoSpaceDN w:val="0"/>
        <w:ind w:left="-480"/>
        <w:rPr>
          <w:rFonts w:eastAsia="Times New Roman"/>
        </w:rPr>
      </w:pPr>
      <w:r w:rsidRPr="00AA326A">
        <w:rPr>
          <w:rFonts w:eastAsia="Times New Roman"/>
        </w:rPr>
        <w:t>To examine whether profile membership was associated with expectation–reality and desire–reality discrepancies, we implemented a three-step approach using Latent GOLD (</w:t>
      </w:r>
      <w:proofErr w:type="spellStart"/>
      <w:r w:rsidRPr="00AA326A">
        <w:rPr>
          <w:rFonts w:eastAsia="Times New Roman"/>
        </w:rPr>
        <w:t>Vermunt</w:t>
      </w:r>
      <w:proofErr w:type="spellEnd"/>
      <w:r w:rsidRPr="00AA326A">
        <w:rPr>
          <w:rFonts w:eastAsia="Times New Roman"/>
        </w:rPr>
        <w:t xml:space="preserve"> &amp; Magidson, 2005). This approach allows incorporating profile membership as a predictor of distal outcome variables while correcting for measurement error in class assignment (</w:t>
      </w:r>
      <w:proofErr w:type="spellStart"/>
      <w:r w:rsidRPr="00AA326A">
        <w:rPr>
          <w:rFonts w:eastAsia="Times New Roman"/>
        </w:rPr>
        <w:t>Nylund</w:t>
      </w:r>
      <w:proofErr w:type="spellEnd"/>
      <w:r w:rsidRPr="00AA326A">
        <w:rPr>
          <w:rFonts w:eastAsia="Times New Roman"/>
        </w:rPr>
        <w:t xml:space="preserve">-Gibson, Grimm, &amp; </w:t>
      </w:r>
      <w:proofErr w:type="spellStart"/>
      <w:r w:rsidRPr="00AA326A">
        <w:rPr>
          <w:rFonts w:eastAsia="Times New Roman"/>
        </w:rPr>
        <w:t>Masyn</w:t>
      </w:r>
      <w:proofErr w:type="spellEnd"/>
      <w:r w:rsidRPr="00AA326A">
        <w:rPr>
          <w:rFonts w:eastAsia="Times New Roman"/>
        </w:rPr>
        <w:t>, 2019).</w:t>
      </w:r>
    </w:p>
    <w:p w14:paraId="47648C76" w14:textId="77777777" w:rsidR="000E7C96" w:rsidRDefault="000E7C96" w:rsidP="000E7C96">
      <w:pPr>
        <w:autoSpaceDE w:val="0"/>
        <w:autoSpaceDN w:val="0"/>
        <w:ind w:left="-480"/>
        <w:rPr>
          <w:rFonts w:eastAsia="Times New Roman"/>
        </w:rPr>
      </w:pPr>
      <w:r w:rsidRPr="00AA326A">
        <w:rPr>
          <w:rFonts w:eastAsia="Times New Roman"/>
        </w:rPr>
        <w:t xml:space="preserve">Following the recommended procedure, we re-estimated the three-profile model in Latent GOLD, saved the class assignments and their associated classification probabilities, and used these in a third step to predict the discrepancy scores. The procedure was based on the Latent GOLD step-3 tutorial by Bakk and </w:t>
      </w:r>
      <w:proofErr w:type="spellStart"/>
      <w:r w:rsidRPr="00AA326A">
        <w:rPr>
          <w:rFonts w:eastAsia="Times New Roman"/>
        </w:rPr>
        <w:t>Vermunt</w:t>
      </w:r>
      <w:proofErr w:type="spellEnd"/>
      <w:r w:rsidRPr="00AA326A">
        <w:rPr>
          <w:rFonts w:eastAsia="Times New Roman"/>
        </w:rPr>
        <w:t xml:space="preserve"> (n.d.).</w:t>
      </w:r>
    </w:p>
    <w:p w14:paraId="776D69B9" w14:textId="77777777" w:rsidR="000E7C96" w:rsidRDefault="000E7C96" w:rsidP="000E7C96">
      <w:pPr>
        <w:autoSpaceDE w:val="0"/>
        <w:autoSpaceDN w:val="0"/>
        <w:ind w:left="-480"/>
        <w:rPr>
          <w:rFonts w:eastAsia="Times New Roman"/>
        </w:rPr>
      </w:pPr>
      <w:r w:rsidRPr="00AA326A">
        <w:rPr>
          <w:rFonts w:eastAsia="Times New Roman"/>
        </w:rPr>
        <w:t>Wald tests indicated that the three profiles did not differ significantly in any of the discrepancy measures across role domains (all p-values &gt; .28).</w:t>
      </w:r>
    </w:p>
    <w:p w14:paraId="3B7DDCC3" w14:textId="77777777" w:rsidR="000E7C96" w:rsidRDefault="000E7C96" w:rsidP="000E7C96">
      <w:pPr>
        <w:autoSpaceDE w:val="0"/>
        <w:autoSpaceDN w:val="0"/>
        <w:ind w:left="-480"/>
        <w:rPr>
          <w:rFonts w:eastAsia="Times New Roman"/>
        </w:rPr>
      </w:pPr>
    </w:p>
    <w:p w14:paraId="668AF6BC" w14:textId="77777777" w:rsidR="000E7C96" w:rsidRPr="00160B19" w:rsidRDefault="000E7C96" w:rsidP="000E7C96">
      <w:pPr>
        <w:autoSpaceDE w:val="0"/>
        <w:autoSpaceDN w:val="0"/>
        <w:spacing w:after="240"/>
        <w:ind w:left="-480"/>
        <w:rPr>
          <w:rFonts w:eastAsia="Times New Roman"/>
          <w:b/>
          <w:bCs/>
        </w:rPr>
      </w:pPr>
      <w:r w:rsidRPr="00160B19">
        <w:rPr>
          <w:rFonts w:eastAsia="Times New Roman"/>
          <w:b/>
          <w:bCs/>
        </w:rPr>
        <w:t>References</w:t>
      </w:r>
      <w:r>
        <w:rPr>
          <w:rFonts w:eastAsia="Times New Roman"/>
          <w:b/>
          <w:bCs/>
        </w:rPr>
        <w:t xml:space="preserve"> Supplement</w:t>
      </w:r>
    </w:p>
    <w:p w14:paraId="7C287897" w14:textId="77777777" w:rsidR="000E7C96" w:rsidRPr="00AA326A" w:rsidRDefault="000E7C96" w:rsidP="000E7C96">
      <w:pPr>
        <w:autoSpaceDE w:val="0"/>
        <w:autoSpaceDN w:val="0"/>
        <w:ind w:left="240" w:hanging="720"/>
        <w:rPr>
          <w:rFonts w:eastAsia="Times New Roman"/>
        </w:rPr>
      </w:pPr>
      <w:r w:rsidRPr="00AA326A">
        <w:rPr>
          <w:rFonts w:eastAsia="Times New Roman"/>
        </w:rPr>
        <w:t xml:space="preserve">Bakk, Z., &amp; </w:t>
      </w:r>
      <w:proofErr w:type="spellStart"/>
      <w:r w:rsidRPr="00AA326A">
        <w:rPr>
          <w:rFonts w:eastAsia="Times New Roman"/>
        </w:rPr>
        <w:t>Vermunt</w:t>
      </w:r>
      <w:proofErr w:type="spellEnd"/>
      <w:r w:rsidRPr="00AA326A">
        <w:rPr>
          <w:rFonts w:eastAsia="Times New Roman"/>
        </w:rPr>
        <w:t xml:space="preserve">, J. K. (n.d.). </w:t>
      </w:r>
      <w:r w:rsidRPr="00160B19">
        <w:rPr>
          <w:rFonts w:eastAsia="Times New Roman"/>
          <w:i/>
          <w:iCs/>
        </w:rPr>
        <w:t>Step-3 models with covariates, distal outcomes, and multiple latent variables</w:t>
      </w:r>
      <w:r w:rsidRPr="00AA326A">
        <w:rPr>
          <w:rFonts w:eastAsia="Times New Roman"/>
        </w:rPr>
        <w:t xml:space="preserve"> [Tutorial]. Statistical Innovations.</w:t>
      </w:r>
      <w:r>
        <w:rPr>
          <w:rFonts w:eastAsia="Times New Roman"/>
        </w:rPr>
        <w:t xml:space="preserve"> </w:t>
      </w:r>
      <w:r w:rsidRPr="00AA326A">
        <w:rPr>
          <w:rFonts w:eastAsia="Times New Roman"/>
        </w:rPr>
        <w:t>https://www.statisticalinnovations.com/tutorials</w:t>
      </w:r>
      <w:r>
        <w:rPr>
          <w:rFonts w:eastAsia="Times New Roman"/>
        </w:rPr>
        <w:t>/</w:t>
      </w:r>
    </w:p>
    <w:p w14:paraId="37A72115" w14:textId="77777777" w:rsidR="000E7C96" w:rsidRPr="00AA326A" w:rsidRDefault="000E7C96" w:rsidP="000E7C96">
      <w:pPr>
        <w:autoSpaceDE w:val="0"/>
        <w:autoSpaceDN w:val="0"/>
        <w:ind w:left="240" w:hanging="720"/>
        <w:rPr>
          <w:rFonts w:eastAsia="Times New Roman"/>
        </w:rPr>
      </w:pPr>
      <w:proofErr w:type="spellStart"/>
      <w:r w:rsidRPr="00B71853">
        <w:rPr>
          <w:rFonts w:eastAsia="Times New Roman"/>
        </w:rPr>
        <w:t>Nylund</w:t>
      </w:r>
      <w:proofErr w:type="spellEnd"/>
      <w:r w:rsidRPr="00B71853">
        <w:rPr>
          <w:rFonts w:eastAsia="Times New Roman"/>
        </w:rPr>
        <w:t xml:space="preserve">-Gibson, K., Grimm, R. P., &amp; </w:t>
      </w:r>
      <w:proofErr w:type="spellStart"/>
      <w:r w:rsidRPr="00B71853">
        <w:rPr>
          <w:rFonts w:eastAsia="Times New Roman"/>
        </w:rPr>
        <w:t>Masyn</w:t>
      </w:r>
      <w:proofErr w:type="spellEnd"/>
      <w:r w:rsidRPr="00B71853">
        <w:rPr>
          <w:rFonts w:eastAsia="Times New Roman"/>
        </w:rPr>
        <w:t xml:space="preserve">, K. E. (2019). </w:t>
      </w:r>
      <w:r w:rsidRPr="00AA326A">
        <w:rPr>
          <w:rFonts w:eastAsia="Times New Roman"/>
        </w:rPr>
        <w:t xml:space="preserve">Prediction from latent classes: A demonstration of different approaches to include distal outcomes in mixture models. </w:t>
      </w:r>
      <w:r w:rsidRPr="00160B19">
        <w:rPr>
          <w:rFonts w:eastAsia="Times New Roman"/>
          <w:i/>
          <w:iCs/>
        </w:rPr>
        <w:t xml:space="preserve">Structural Equation </w:t>
      </w:r>
      <w:proofErr w:type="spellStart"/>
      <w:r w:rsidRPr="00160B19">
        <w:rPr>
          <w:rFonts w:eastAsia="Times New Roman"/>
          <w:i/>
          <w:iCs/>
        </w:rPr>
        <w:t>Modeling</w:t>
      </w:r>
      <w:proofErr w:type="spellEnd"/>
      <w:r w:rsidRPr="00160B19">
        <w:rPr>
          <w:rFonts w:eastAsia="Times New Roman"/>
          <w:i/>
          <w:iCs/>
        </w:rPr>
        <w:t>: A Multidisciplinary Journal, 26(6)</w:t>
      </w:r>
      <w:r w:rsidRPr="00AA326A">
        <w:rPr>
          <w:rFonts w:eastAsia="Times New Roman"/>
        </w:rPr>
        <w:t>, 967–985. https://doi.org/10.1080/10705511.2019.1590146</w:t>
      </w:r>
    </w:p>
    <w:p w14:paraId="21ACEF95" w14:textId="77777777" w:rsidR="000E7C96" w:rsidRPr="00AA326A" w:rsidRDefault="000E7C96" w:rsidP="000E7C96">
      <w:pPr>
        <w:autoSpaceDE w:val="0"/>
        <w:autoSpaceDN w:val="0"/>
        <w:ind w:left="240" w:hanging="720"/>
        <w:rPr>
          <w:rFonts w:eastAsia="Times New Roman"/>
        </w:rPr>
      </w:pPr>
      <w:r w:rsidRPr="00AA326A">
        <w:rPr>
          <w:rFonts w:eastAsia="Times New Roman"/>
        </w:rPr>
        <w:t xml:space="preserve">Rosenberg, J. M., </w:t>
      </w:r>
      <w:proofErr w:type="spellStart"/>
      <w:r w:rsidRPr="00AA326A">
        <w:rPr>
          <w:rFonts w:eastAsia="Times New Roman"/>
        </w:rPr>
        <w:t>Beymer</w:t>
      </w:r>
      <w:proofErr w:type="spellEnd"/>
      <w:r w:rsidRPr="00AA326A">
        <w:rPr>
          <w:rFonts w:eastAsia="Times New Roman"/>
        </w:rPr>
        <w:t xml:space="preserve">, P. N., Anderson, D. J., van Lissa, C. J., &amp; Schmidt, J. A. (2018). </w:t>
      </w:r>
      <w:proofErr w:type="spellStart"/>
      <w:r w:rsidRPr="00160B19">
        <w:rPr>
          <w:rFonts w:eastAsia="Times New Roman"/>
          <w:i/>
          <w:iCs/>
        </w:rPr>
        <w:t>tidyLPA</w:t>
      </w:r>
      <w:proofErr w:type="spellEnd"/>
      <w:r w:rsidRPr="00160B19">
        <w:rPr>
          <w:rFonts w:eastAsia="Times New Roman"/>
          <w:i/>
          <w:iCs/>
        </w:rPr>
        <w:t>: Easily carry out latent profile analysis in R</w:t>
      </w:r>
      <w:r w:rsidRPr="00AA326A">
        <w:rPr>
          <w:rFonts w:eastAsia="Times New Roman"/>
        </w:rPr>
        <w:t xml:space="preserve"> (Version 1.0.2) [R package]. https://CRAN.R-project.org/package=tidyLPA</w:t>
      </w:r>
    </w:p>
    <w:p w14:paraId="026FEF84" w14:textId="77777777" w:rsidR="000E7C96" w:rsidRPr="00AA326A" w:rsidRDefault="000E7C96" w:rsidP="000E7C96">
      <w:pPr>
        <w:autoSpaceDE w:val="0"/>
        <w:autoSpaceDN w:val="0"/>
        <w:ind w:left="240" w:hanging="720"/>
        <w:rPr>
          <w:rFonts w:eastAsia="Times New Roman"/>
        </w:rPr>
      </w:pPr>
      <w:r w:rsidRPr="00160B19">
        <w:rPr>
          <w:rFonts w:eastAsia="Times New Roman"/>
          <w:lang w:val="nl-BE"/>
        </w:rPr>
        <w:lastRenderedPageBreak/>
        <w:t xml:space="preserve">Vermunt, J. K., &amp; Magidson, J. (2005). </w:t>
      </w:r>
      <w:r w:rsidRPr="00160B19">
        <w:rPr>
          <w:rFonts w:eastAsia="Times New Roman"/>
          <w:i/>
          <w:iCs/>
        </w:rPr>
        <w:t>Latent GOLD 4.0 User’s Guide</w:t>
      </w:r>
      <w:r w:rsidRPr="00AA326A">
        <w:rPr>
          <w:rFonts w:eastAsia="Times New Roman"/>
        </w:rPr>
        <w:t xml:space="preserve">. </w:t>
      </w:r>
      <w:r>
        <w:rPr>
          <w:rFonts w:eastAsia="Times New Roman"/>
        </w:rPr>
        <w:t xml:space="preserve">Belmont, Massachusetts: </w:t>
      </w:r>
      <w:r w:rsidRPr="00AA326A">
        <w:rPr>
          <w:rFonts w:eastAsia="Times New Roman"/>
        </w:rPr>
        <w:t>Statistical Innovations Inc.</w:t>
      </w:r>
    </w:p>
    <w:p w14:paraId="47C931C7" w14:textId="77777777" w:rsidR="001129B2" w:rsidRDefault="001129B2"/>
    <w:sectPr w:rsidR="001129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C96"/>
    <w:rsid w:val="000E7C96"/>
    <w:rsid w:val="001129B2"/>
    <w:rsid w:val="00327B61"/>
    <w:rsid w:val="003B6E54"/>
    <w:rsid w:val="008C592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67B7A"/>
  <w15:chartTrackingRefBased/>
  <w15:docId w15:val="{72AE7D63-7966-4E4F-983E-DCDA5920B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C96"/>
    <w:pPr>
      <w:spacing w:after="0" w:line="480" w:lineRule="auto"/>
      <w:ind w:firstLine="720"/>
      <w:jc w:val="center"/>
      <w:outlineLvl w:val="0"/>
    </w:pPr>
    <w:rPr>
      <w:rFonts w:ascii="Times New Roman" w:hAnsi="Times New Roman" w:cs="Times New Roman"/>
      <w:b/>
      <w:bCs/>
      <w:sz w:val="24"/>
      <w:szCs w:val="24"/>
      <w:lang w:val="en-US"/>
    </w:rPr>
  </w:style>
  <w:style w:type="paragraph" w:styleId="Heading2">
    <w:name w:val="heading 2"/>
    <w:basedOn w:val="Heading5"/>
    <w:next w:val="Normal"/>
    <w:link w:val="Heading2Char"/>
    <w:uiPriority w:val="9"/>
    <w:unhideWhenUsed/>
    <w:qFormat/>
    <w:rsid w:val="000E7C96"/>
    <w:pPr>
      <w:keepNext w:val="0"/>
      <w:keepLines w:val="0"/>
      <w:spacing w:before="0" w:line="480" w:lineRule="auto"/>
      <w:jc w:val="both"/>
      <w:outlineLvl w:val="1"/>
    </w:pPr>
    <w:rPr>
      <w:rFonts w:ascii="Times New Roman" w:eastAsiaTheme="minorHAnsi" w:hAnsi="Times New Roman" w:cs="Times New Roman"/>
      <w:b/>
      <w:bCs/>
      <w:color w:val="auto"/>
      <w:sz w:val="24"/>
      <w:szCs w:val="24"/>
      <w:lang w:val="en-US"/>
    </w:rPr>
  </w:style>
  <w:style w:type="paragraph" w:styleId="Heading5">
    <w:name w:val="heading 5"/>
    <w:basedOn w:val="Normal"/>
    <w:next w:val="Normal"/>
    <w:link w:val="Heading5Char"/>
    <w:uiPriority w:val="9"/>
    <w:semiHidden/>
    <w:unhideWhenUsed/>
    <w:qFormat/>
    <w:rsid w:val="000E7C9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C96"/>
    <w:rPr>
      <w:rFonts w:ascii="Times New Roman" w:hAnsi="Times New Roman" w:cs="Times New Roman"/>
      <w:b/>
      <w:bCs/>
      <w:sz w:val="24"/>
      <w:szCs w:val="24"/>
      <w:lang w:val="en-US"/>
    </w:rPr>
  </w:style>
  <w:style w:type="character" w:customStyle="1" w:styleId="Heading2Char">
    <w:name w:val="Heading 2 Char"/>
    <w:basedOn w:val="DefaultParagraphFont"/>
    <w:link w:val="Heading2"/>
    <w:uiPriority w:val="9"/>
    <w:rsid w:val="000E7C96"/>
    <w:rPr>
      <w:rFonts w:ascii="Times New Roman" w:hAnsi="Times New Roman" w:cs="Times New Roman"/>
      <w:b/>
      <w:bCs/>
      <w:sz w:val="24"/>
      <w:szCs w:val="24"/>
      <w:lang w:val="en-US"/>
    </w:rPr>
  </w:style>
  <w:style w:type="character" w:customStyle="1" w:styleId="Heading5Char">
    <w:name w:val="Heading 5 Char"/>
    <w:basedOn w:val="DefaultParagraphFont"/>
    <w:link w:val="Heading5"/>
    <w:uiPriority w:val="9"/>
    <w:semiHidden/>
    <w:rsid w:val="000E7C96"/>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Srinath Govindasamy (Integra)</dc:creator>
  <cp:keywords/>
  <dc:description/>
  <cp:lastModifiedBy>Srinath Govindasamy (Integra)</cp:lastModifiedBy>
  <cp:revision>1</cp:revision>
  <dcterms:created xsi:type="dcterms:W3CDTF">2025-07-12T09:59:00Z</dcterms:created>
  <dcterms:modified xsi:type="dcterms:W3CDTF">2025-07-12T10:00:00Z</dcterms:modified>
</cp:coreProperties>
</file>