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0F7F40" w14:textId="6735C4C3" w:rsidR="002C0E52" w:rsidRDefault="009A126B" w:rsidP="009A126B">
      <w:pPr>
        <w:pStyle w:val="Heading1"/>
        <w:spacing w:after="240"/>
        <w:rPr>
          <w:rFonts w:ascii="Cambria" w:hAnsi="Cambria"/>
          <w:b/>
          <w:bCs/>
          <w:color w:val="auto"/>
          <w:sz w:val="24"/>
          <w:szCs w:val="24"/>
          <w:lang w:val="en-US"/>
        </w:rPr>
      </w:pPr>
      <w:bookmarkStart w:id="0" w:name="_GoBack"/>
      <w:bookmarkEnd w:id="0"/>
      <w:r w:rsidRPr="007D3F4D">
        <w:rPr>
          <w:rFonts w:ascii="Cambria" w:hAnsi="Cambria"/>
          <w:b/>
          <w:bCs/>
          <w:color w:val="auto"/>
          <w:sz w:val="24"/>
          <w:szCs w:val="24"/>
          <w:lang w:val="en-US"/>
        </w:rPr>
        <w:t>Online Appendix</w:t>
      </w:r>
    </w:p>
    <w:p w14:paraId="26FF23A1" w14:textId="0D149095" w:rsidR="006318EA" w:rsidRPr="006318EA" w:rsidRDefault="006318EA" w:rsidP="006318EA">
      <w:pPr>
        <w:rPr>
          <w:rFonts w:ascii="Cambria" w:hAnsi="Cambria"/>
          <w:lang w:val="en-US"/>
        </w:rPr>
      </w:pPr>
      <w:r w:rsidRPr="006318EA">
        <w:rPr>
          <w:rFonts w:ascii="Cambria" w:hAnsi="Cambria"/>
          <w:lang w:val="en-US"/>
        </w:rPr>
        <w:t>Table A</w:t>
      </w:r>
      <w:r>
        <w:rPr>
          <w:rFonts w:ascii="Cambria" w:hAnsi="Cambria"/>
          <w:lang w:val="en-US"/>
        </w:rPr>
        <w:t>1</w:t>
      </w:r>
      <w:r w:rsidRPr="006318EA">
        <w:rPr>
          <w:rFonts w:ascii="Cambria" w:hAnsi="Cambria"/>
          <w:lang w:val="en-US"/>
        </w:rPr>
        <w:t xml:space="preserve">. </w:t>
      </w:r>
      <w:r>
        <w:rPr>
          <w:rFonts w:ascii="Cambria" w:hAnsi="Cambria"/>
          <w:lang w:val="en-US"/>
        </w:rPr>
        <w:t xml:space="preserve">Description of the variables </w:t>
      </w:r>
    </w:p>
    <w:tbl>
      <w:tblPr>
        <w:tblW w:w="9320" w:type="dxa"/>
        <w:tblCellMar>
          <w:left w:w="70" w:type="dxa"/>
          <w:right w:w="70" w:type="dxa"/>
        </w:tblCellMar>
        <w:tblLook w:val="04A0" w:firstRow="1" w:lastRow="0" w:firstColumn="1" w:lastColumn="0" w:noHBand="0" w:noVBand="1"/>
      </w:tblPr>
      <w:tblGrid>
        <w:gridCol w:w="2460"/>
        <w:gridCol w:w="4860"/>
        <w:gridCol w:w="2000"/>
      </w:tblGrid>
      <w:tr w:rsidR="006318EA" w:rsidRPr="006318EA" w14:paraId="59E0A51D" w14:textId="77777777" w:rsidTr="000A71C6">
        <w:trPr>
          <w:trHeight w:val="276"/>
        </w:trPr>
        <w:tc>
          <w:tcPr>
            <w:tcW w:w="2460" w:type="dxa"/>
            <w:tcBorders>
              <w:top w:val="nil"/>
              <w:left w:val="nil"/>
              <w:bottom w:val="single" w:sz="12" w:space="0" w:color="000000"/>
              <w:right w:val="nil"/>
            </w:tcBorders>
            <w:shd w:val="clear" w:color="auto" w:fill="auto"/>
            <w:vAlign w:val="bottom"/>
            <w:hideMark/>
          </w:tcPr>
          <w:p w14:paraId="36E14985"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Variable name</w:t>
            </w:r>
          </w:p>
        </w:tc>
        <w:tc>
          <w:tcPr>
            <w:tcW w:w="4860" w:type="dxa"/>
            <w:tcBorders>
              <w:top w:val="nil"/>
              <w:left w:val="nil"/>
              <w:bottom w:val="single" w:sz="12" w:space="0" w:color="000000"/>
              <w:right w:val="nil"/>
            </w:tcBorders>
            <w:shd w:val="clear" w:color="auto" w:fill="auto"/>
            <w:vAlign w:val="bottom"/>
            <w:hideMark/>
          </w:tcPr>
          <w:p w14:paraId="7BCE3E65"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Description</w:t>
            </w:r>
          </w:p>
        </w:tc>
        <w:tc>
          <w:tcPr>
            <w:tcW w:w="2000" w:type="dxa"/>
            <w:tcBorders>
              <w:top w:val="nil"/>
              <w:left w:val="nil"/>
              <w:bottom w:val="single" w:sz="12" w:space="0" w:color="000000"/>
              <w:right w:val="nil"/>
            </w:tcBorders>
            <w:shd w:val="clear" w:color="auto" w:fill="auto"/>
            <w:vAlign w:val="bottom"/>
            <w:hideMark/>
          </w:tcPr>
          <w:p w14:paraId="323C99AF"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Source</w:t>
            </w:r>
          </w:p>
        </w:tc>
      </w:tr>
      <w:tr w:rsidR="006318EA" w:rsidRPr="006318EA" w14:paraId="731B6F00" w14:textId="77777777" w:rsidTr="000A71C6">
        <w:trPr>
          <w:trHeight w:val="828"/>
        </w:trPr>
        <w:tc>
          <w:tcPr>
            <w:tcW w:w="2460" w:type="dxa"/>
            <w:tcBorders>
              <w:top w:val="single" w:sz="12" w:space="0" w:color="000000"/>
              <w:left w:val="nil"/>
              <w:right w:val="nil"/>
            </w:tcBorders>
            <w:shd w:val="clear" w:color="auto" w:fill="auto"/>
            <w:hideMark/>
          </w:tcPr>
          <w:p w14:paraId="1A2B41DF" w14:textId="39296FB8"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 xml:space="preserve">Misery index </w:t>
            </w:r>
            <w:r w:rsidR="001910B4" w:rsidRPr="000A71C6">
              <w:rPr>
                <w:rFonts w:ascii="Cambria" w:eastAsia="Times New Roman" w:hAnsi="Cambria" w:cs="Calibri"/>
                <w:color w:val="000000"/>
                <w:sz w:val="18"/>
                <w:szCs w:val="18"/>
                <w:lang w:eastAsia="pl-PL"/>
              </w:rPr>
              <w:br/>
            </w:r>
            <w:r w:rsidRPr="000A71C6">
              <w:rPr>
                <w:rFonts w:ascii="Cambria" w:eastAsia="Times New Roman" w:hAnsi="Cambria" w:cs="Calibri"/>
                <w:color w:val="000000"/>
                <w:sz w:val="18"/>
                <w:szCs w:val="18"/>
                <w:lang w:eastAsia="pl-PL"/>
              </w:rPr>
              <w:t>(GDP-based)</w:t>
            </w:r>
          </w:p>
        </w:tc>
        <w:tc>
          <w:tcPr>
            <w:tcW w:w="4860" w:type="dxa"/>
            <w:tcBorders>
              <w:top w:val="single" w:sz="12" w:space="0" w:color="000000"/>
              <w:left w:val="nil"/>
              <w:right w:val="nil"/>
            </w:tcBorders>
            <w:shd w:val="clear" w:color="auto" w:fill="auto"/>
            <w:hideMark/>
          </w:tcPr>
          <w:p w14:paraId="088AD6EA" w14:textId="4BE3F4F3" w:rsidR="006318EA" w:rsidRPr="000A71C6" w:rsidRDefault="006318EA" w:rsidP="006318EA">
            <w:pPr>
              <w:spacing w:after="0" w:line="240" w:lineRule="auto"/>
              <w:jc w:val="both"/>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Continuous variable. Indicator of a country's misery. Calculated as a plain difference between GDP growth rate and excess mortality.</w:t>
            </w:r>
          </w:p>
        </w:tc>
        <w:tc>
          <w:tcPr>
            <w:tcW w:w="2000" w:type="dxa"/>
            <w:tcBorders>
              <w:top w:val="single" w:sz="12" w:space="0" w:color="000000"/>
              <w:left w:val="nil"/>
              <w:right w:val="nil"/>
            </w:tcBorders>
            <w:shd w:val="clear" w:color="auto" w:fill="auto"/>
            <w:hideMark/>
          </w:tcPr>
          <w:p w14:paraId="51638CBF"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Own calculations</w:t>
            </w:r>
            <w:r w:rsidRPr="000A71C6">
              <w:rPr>
                <w:rFonts w:ascii="Cambria" w:eastAsia="Times New Roman" w:hAnsi="Cambria" w:cs="Calibri"/>
                <w:color w:val="000000"/>
                <w:sz w:val="18"/>
                <w:szCs w:val="18"/>
                <w:vertAlign w:val="superscript"/>
                <w:lang w:eastAsia="pl-PL"/>
              </w:rPr>
              <w:t>#</w:t>
            </w:r>
          </w:p>
        </w:tc>
      </w:tr>
      <w:tr w:rsidR="006318EA" w:rsidRPr="006318EA" w14:paraId="11E053A4" w14:textId="77777777" w:rsidTr="000A71C6">
        <w:trPr>
          <w:trHeight w:val="828"/>
        </w:trPr>
        <w:tc>
          <w:tcPr>
            <w:tcW w:w="2460" w:type="dxa"/>
            <w:tcBorders>
              <w:left w:val="nil"/>
              <w:right w:val="nil"/>
            </w:tcBorders>
            <w:shd w:val="clear" w:color="auto" w:fill="auto"/>
            <w:hideMark/>
          </w:tcPr>
          <w:p w14:paraId="7E7E3740"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Misery index (unemployment-based)</w:t>
            </w:r>
          </w:p>
        </w:tc>
        <w:tc>
          <w:tcPr>
            <w:tcW w:w="4860" w:type="dxa"/>
            <w:tcBorders>
              <w:left w:val="nil"/>
              <w:right w:val="nil"/>
            </w:tcBorders>
            <w:shd w:val="clear" w:color="auto" w:fill="auto"/>
            <w:hideMark/>
          </w:tcPr>
          <w:p w14:paraId="4B1A93F3" w14:textId="0338EDBD" w:rsidR="006318EA" w:rsidRPr="000A71C6" w:rsidRDefault="006318EA" w:rsidP="006318EA">
            <w:pPr>
              <w:spacing w:after="0" w:line="240" w:lineRule="auto"/>
              <w:jc w:val="both"/>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Continuous variable. Indicator of a country's misery. Calculated as a plain sum of unemployment rate and excess mortality.</w:t>
            </w:r>
          </w:p>
        </w:tc>
        <w:tc>
          <w:tcPr>
            <w:tcW w:w="2000" w:type="dxa"/>
            <w:tcBorders>
              <w:left w:val="nil"/>
              <w:right w:val="nil"/>
            </w:tcBorders>
            <w:shd w:val="clear" w:color="auto" w:fill="auto"/>
            <w:hideMark/>
          </w:tcPr>
          <w:p w14:paraId="55AABB4D"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Tim Vlandas</w:t>
            </w:r>
          </w:p>
        </w:tc>
      </w:tr>
      <w:tr w:rsidR="006318EA" w:rsidRPr="006318EA" w14:paraId="04B2DB93" w14:textId="77777777" w:rsidTr="000A71C6">
        <w:trPr>
          <w:trHeight w:val="552"/>
        </w:trPr>
        <w:tc>
          <w:tcPr>
            <w:tcW w:w="2460" w:type="dxa"/>
            <w:tcBorders>
              <w:left w:val="nil"/>
              <w:right w:val="nil"/>
            </w:tcBorders>
            <w:shd w:val="clear" w:color="auto" w:fill="auto"/>
            <w:hideMark/>
          </w:tcPr>
          <w:p w14:paraId="65F565CF"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GDP per capita USD'000</w:t>
            </w:r>
          </w:p>
        </w:tc>
        <w:tc>
          <w:tcPr>
            <w:tcW w:w="4860" w:type="dxa"/>
            <w:tcBorders>
              <w:left w:val="nil"/>
              <w:right w:val="nil"/>
            </w:tcBorders>
            <w:shd w:val="clear" w:color="auto" w:fill="auto"/>
            <w:hideMark/>
          </w:tcPr>
          <w:p w14:paraId="124FAEFD" w14:textId="23C8C6C6" w:rsidR="006318EA" w:rsidRPr="000A71C6" w:rsidRDefault="006318EA" w:rsidP="006318EA">
            <w:pPr>
              <w:spacing w:after="0" w:line="240" w:lineRule="auto"/>
              <w:jc w:val="both"/>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 xml:space="preserve">Continuous variable. A country's Gross Domestic Product </w:t>
            </w:r>
            <w:r w:rsidR="00CA6CBF">
              <w:rPr>
                <w:rFonts w:ascii="Cambria" w:eastAsia="Times New Roman" w:hAnsi="Cambria" w:cs="Calibri"/>
                <w:color w:val="000000"/>
                <w:sz w:val="18"/>
                <w:szCs w:val="18"/>
                <w:lang w:val="en-US" w:eastAsia="pl-PL"/>
              </w:rPr>
              <w:br/>
            </w:r>
            <w:r w:rsidRPr="000A71C6">
              <w:rPr>
                <w:rFonts w:ascii="Cambria" w:eastAsia="Times New Roman" w:hAnsi="Cambria" w:cs="Calibri"/>
                <w:color w:val="000000"/>
                <w:sz w:val="18"/>
                <w:szCs w:val="18"/>
                <w:lang w:val="en-US" w:eastAsia="pl-PL"/>
              </w:rPr>
              <w:t xml:space="preserve">is divided by population. </w:t>
            </w:r>
          </w:p>
        </w:tc>
        <w:tc>
          <w:tcPr>
            <w:tcW w:w="2000" w:type="dxa"/>
            <w:tcBorders>
              <w:left w:val="nil"/>
              <w:right w:val="nil"/>
            </w:tcBorders>
            <w:shd w:val="clear" w:color="auto" w:fill="auto"/>
            <w:hideMark/>
          </w:tcPr>
          <w:p w14:paraId="15F8CBE5"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World Bank</w:t>
            </w:r>
          </w:p>
        </w:tc>
      </w:tr>
      <w:tr w:rsidR="006318EA" w:rsidRPr="006318EA" w14:paraId="784C3903" w14:textId="77777777" w:rsidTr="000A71C6">
        <w:trPr>
          <w:trHeight w:val="552"/>
        </w:trPr>
        <w:tc>
          <w:tcPr>
            <w:tcW w:w="2460" w:type="dxa"/>
            <w:tcBorders>
              <w:left w:val="nil"/>
              <w:right w:val="nil"/>
            </w:tcBorders>
            <w:shd w:val="clear" w:color="auto" w:fill="auto"/>
            <w:hideMark/>
          </w:tcPr>
          <w:p w14:paraId="5C9E3F89"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Population density</w:t>
            </w:r>
          </w:p>
        </w:tc>
        <w:tc>
          <w:tcPr>
            <w:tcW w:w="4860" w:type="dxa"/>
            <w:tcBorders>
              <w:left w:val="nil"/>
              <w:right w:val="nil"/>
            </w:tcBorders>
            <w:shd w:val="clear" w:color="auto" w:fill="auto"/>
            <w:hideMark/>
          </w:tcPr>
          <w:p w14:paraId="3DF86042" w14:textId="77777777" w:rsidR="006318EA" w:rsidRPr="000A71C6" w:rsidRDefault="006318EA" w:rsidP="006318EA">
            <w:pPr>
              <w:spacing w:after="0" w:line="240" w:lineRule="auto"/>
              <w:jc w:val="both"/>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Continuous variable. The number of people per square kilometer of land area.</w:t>
            </w:r>
          </w:p>
        </w:tc>
        <w:tc>
          <w:tcPr>
            <w:tcW w:w="2000" w:type="dxa"/>
            <w:tcBorders>
              <w:left w:val="nil"/>
              <w:right w:val="nil"/>
            </w:tcBorders>
            <w:shd w:val="clear" w:color="auto" w:fill="auto"/>
            <w:hideMark/>
          </w:tcPr>
          <w:p w14:paraId="7C91969E"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World Bank</w:t>
            </w:r>
          </w:p>
        </w:tc>
      </w:tr>
      <w:tr w:rsidR="006318EA" w:rsidRPr="006318EA" w14:paraId="43A47EC5" w14:textId="77777777" w:rsidTr="000A71C6">
        <w:trPr>
          <w:trHeight w:val="552"/>
        </w:trPr>
        <w:tc>
          <w:tcPr>
            <w:tcW w:w="2460" w:type="dxa"/>
            <w:tcBorders>
              <w:left w:val="nil"/>
              <w:right w:val="nil"/>
            </w:tcBorders>
            <w:shd w:val="clear" w:color="auto" w:fill="auto"/>
            <w:hideMark/>
          </w:tcPr>
          <w:p w14:paraId="1F340D9F"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Urban population</w:t>
            </w:r>
          </w:p>
        </w:tc>
        <w:tc>
          <w:tcPr>
            <w:tcW w:w="4860" w:type="dxa"/>
            <w:tcBorders>
              <w:left w:val="nil"/>
              <w:right w:val="nil"/>
            </w:tcBorders>
            <w:shd w:val="clear" w:color="auto" w:fill="auto"/>
            <w:hideMark/>
          </w:tcPr>
          <w:p w14:paraId="2AFB4509" w14:textId="3C5D2FAC" w:rsidR="006318EA" w:rsidRPr="000A71C6" w:rsidRDefault="006318EA" w:rsidP="006318EA">
            <w:pPr>
              <w:spacing w:after="0" w:line="240" w:lineRule="auto"/>
              <w:jc w:val="both"/>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Continuous variable. It measures the percentage of the population living in urban areas.</w:t>
            </w:r>
          </w:p>
        </w:tc>
        <w:tc>
          <w:tcPr>
            <w:tcW w:w="2000" w:type="dxa"/>
            <w:tcBorders>
              <w:left w:val="nil"/>
              <w:right w:val="nil"/>
            </w:tcBorders>
            <w:shd w:val="clear" w:color="auto" w:fill="auto"/>
            <w:hideMark/>
          </w:tcPr>
          <w:p w14:paraId="04942D8F"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World Bank</w:t>
            </w:r>
          </w:p>
        </w:tc>
      </w:tr>
      <w:tr w:rsidR="006318EA" w:rsidRPr="006318EA" w14:paraId="436EE817" w14:textId="77777777" w:rsidTr="000A71C6">
        <w:trPr>
          <w:trHeight w:val="1221"/>
        </w:trPr>
        <w:tc>
          <w:tcPr>
            <w:tcW w:w="2460" w:type="dxa"/>
            <w:tcBorders>
              <w:left w:val="nil"/>
              <w:right w:val="nil"/>
            </w:tcBorders>
            <w:shd w:val="clear" w:color="auto" w:fill="auto"/>
            <w:hideMark/>
          </w:tcPr>
          <w:p w14:paraId="18A031C5"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WGI Rule of law</w:t>
            </w:r>
          </w:p>
        </w:tc>
        <w:tc>
          <w:tcPr>
            <w:tcW w:w="4860" w:type="dxa"/>
            <w:tcBorders>
              <w:left w:val="nil"/>
              <w:right w:val="nil"/>
            </w:tcBorders>
            <w:shd w:val="clear" w:color="auto" w:fill="auto"/>
            <w:hideMark/>
          </w:tcPr>
          <w:p w14:paraId="54A2231D" w14:textId="3A052EDF" w:rsidR="006318EA" w:rsidRPr="000A71C6" w:rsidRDefault="006318EA" w:rsidP="006318EA">
            <w:pPr>
              <w:spacing w:after="0" w:line="240" w:lineRule="auto"/>
              <w:jc w:val="both"/>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val="en-US" w:eastAsia="pl-PL"/>
              </w:rPr>
              <w:t xml:space="preserve">Continuous variable. It measures how agents trust the rules of society, that is the quality of contract enforcement, property rights, the police, and the courts, as well as how perceive the likelihood of crime and violence. </w:t>
            </w:r>
            <w:r w:rsidRPr="000A71C6">
              <w:rPr>
                <w:rFonts w:ascii="Cambria" w:eastAsia="Times New Roman" w:hAnsi="Cambria" w:cs="Calibri"/>
                <w:color w:val="000000"/>
                <w:sz w:val="18"/>
                <w:szCs w:val="18"/>
                <w:lang w:eastAsia="pl-PL"/>
              </w:rPr>
              <w:t xml:space="preserve">The approximate </w:t>
            </w:r>
            <w:r w:rsidR="00CA6CBF">
              <w:rPr>
                <w:rFonts w:ascii="Cambria" w:eastAsia="Times New Roman" w:hAnsi="Cambria" w:cs="Calibri"/>
                <w:color w:val="000000"/>
                <w:sz w:val="18"/>
                <w:szCs w:val="18"/>
                <w:lang w:eastAsia="pl-PL"/>
              </w:rPr>
              <w:t>rang eis</w:t>
            </w:r>
            <w:r w:rsidRPr="000A71C6">
              <w:rPr>
                <w:rFonts w:ascii="Cambria" w:eastAsia="Times New Roman" w:hAnsi="Cambria" w:cs="Calibri"/>
                <w:color w:val="000000"/>
                <w:sz w:val="18"/>
                <w:szCs w:val="18"/>
                <w:lang w:eastAsia="pl-PL"/>
              </w:rPr>
              <w:t xml:space="preserve"> </w:t>
            </w:r>
            <w:r w:rsidR="00CA6CBF">
              <w:rPr>
                <w:rFonts w:ascii="Cambria" w:eastAsia="Times New Roman" w:hAnsi="Cambria" w:cs="Calibri"/>
                <w:color w:val="000000"/>
                <w:sz w:val="18"/>
                <w:szCs w:val="18"/>
                <w:lang w:eastAsia="pl-PL"/>
              </w:rPr>
              <w:br/>
            </w:r>
            <w:r w:rsidRPr="000A71C6">
              <w:rPr>
                <w:rFonts w:ascii="Cambria" w:eastAsia="Times New Roman" w:hAnsi="Cambria" w:cs="Calibri"/>
                <w:color w:val="000000"/>
                <w:sz w:val="18"/>
                <w:szCs w:val="18"/>
                <w:lang w:eastAsia="pl-PL"/>
              </w:rPr>
              <w:t>[-2.5; 2.5].</w:t>
            </w:r>
          </w:p>
        </w:tc>
        <w:tc>
          <w:tcPr>
            <w:tcW w:w="2000" w:type="dxa"/>
            <w:tcBorders>
              <w:left w:val="nil"/>
              <w:right w:val="nil"/>
            </w:tcBorders>
            <w:shd w:val="clear" w:color="auto" w:fill="auto"/>
            <w:hideMark/>
          </w:tcPr>
          <w:p w14:paraId="6B29F37D"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World Bank</w:t>
            </w:r>
          </w:p>
        </w:tc>
      </w:tr>
      <w:tr w:rsidR="006318EA" w:rsidRPr="006318EA" w14:paraId="0B051B75" w14:textId="77777777" w:rsidTr="000A71C6">
        <w:trPr>
          <w:trHeight w:val="1706"/>
        </w:trPr>
        <w:tc>
          <w:tcPr>
            <w:tcW w:w="2460" w:type="dxa"/>
            <w:tcBorders>
              <w:left w:val="nil"/>
              <w:bottom w:val="nil"/>
              <w:right w:val="nil"/>
            </w:tcBorders>
            <w:shd w:val="clear" w:color="auto" w:fill="auto"/>
            <w:hideMark/>
          </w:tcPr>
          <w:p w14:paraId="10CA8091"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WGI Government Effectiveness</w:t>
            </w:r>
          </w:p>
        </w:tc>
        <w:tc>
          <w:tcPr>
            <w:tcW w:w="4860" w:type="dxa"/>
            <w:tcBorders>
              <w:left w:val="nil"/>
              <w:bottom w:val="nil"/>
              <w:right w:val="nil"/>
            </w:tcBorders>
            <w:shd w:val="clear" w:color="auto" w:fill="auto"/>
            <w:hideMark/>
          </w:tcPr>
          <w:p w14:paraId="43B2F5B8" w14:textId="260980B9" w:rsidR="006318EA" w:rsidRPr="000A71C6" w:rsidRDefault="006318EA" w:rsidP="006318EA">
            <w:pPr>
              <w:spacing w:after="0" w:line="240" w:lineRule="auto"/>
              <w:jc w:val="both"/>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val="en-US" w:eastAsia="pl-PL"/>
              </w:rPr>
              <w:t xml:space="preserve">Continuous variable. It is a measure that reflects simultaneously the quality of public services, the quality of the civil service and the degree of its independence from political pressures, the quality of policy formulation and implementation, and the credibility of the government's commitment to such policies. </w:t>
            </w:r>
            <w:r w:rsidRPr="000A71C6">
              <w:rPr>
                <w:rFonts w:ascii="Cambria" w:eastAsia="Times New Roman" w:hAnsi="Cambria" w:cs="Calibri"/>
                <w:color w:val="000000"/>
                <w:sz w:val="18"/>
                <w:szCs w:val="18"/>
                <w:lang w:eastAsia="pl-PL"/>
              </w:rPr>
              <w:t xml:space="preserve">The approximate range is </w:t>
            </w:r>
            <w:r w:rsidR="00CA6CBF">
              <w:rPr>
                <w:rFonts w:ascii="Cambria" w:eastAsia="Times New Roman" w:hAnsi="Cambria" w:cs="Calibri"/>
                <w:color w:val="000000"/>
                <w:sz w:val="18"/>
                <w:szCs w:val="18"/>
                <w:lang w:eastAsia="pl-PL"/>
              </w:rPr>
              <w:br/>
            </w:r>
            <w:r w:rsidRPr="000A71C6">
              <w:rPr>
                <w:rFonts w:ascii="Cambria" w:eastAsia="Times New Roman" w:hAnsi="Cambria" w:cs="Calibri"/>
                <w:color w:val="000000"/>
                <w:sz w:val="18"/>
                <w:szCs w:val="18"/>
                <w:lang w:eastAsia="pl-PL"/>
              </w:rPr>
              <w:t>[-2.5; 2.5].</w:t>
            </w:r>
          </w:p>
        </w:tc>
        <w:tc>
          <w:tcPr>
            <w:tcW w:w="2000" w:type="dxa"/>
            <w:tcBorders>
              <w:left w:val="nil"/>
              <w:bottom w:val="nil"/>
              <w:right w:val="nil"/>
            </w:tcBorders>
            <w:shd w:val="clear" w:color="auto" w:fill="auto"/>
            <w:hideMark/>
          </w:tcPr>
          <w:p w14:paraId="438972C7"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World Bank</w:t>
            </w:r>
          </w:p>
        </w:tc>
      </w:tr>
      <w:tr w:rsidR="006318EA" w:rsidRPr="006318EA" w14:paraId="073EC9A9" w14:textId="77777777" w:rsidTr="000A71C6">
        <w:trPr>
          <w:trHeight w:val="1263"/>
        </w:trPr>
        <w:tc>
          <w:tcPr>
            <w:tcW w:w="2460" w:type="dxa"/>
            <w:tcBorders>
              <w:top w:val="nil"/>
              <w:left w:val="nil"/>
              <w:bottom w:val="nil"/>
              <w:right w:val="nil"/>
            </w:tcBorders>
            <w:shd w:val="clear" w:color="auto" w:fill="auto"/>
            <w:hideMark/>
          </w:tcPr>
          <w:p w14:paraId="5DFAFED7"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WGI Control of corruption</w:t>
            </w:r>
          </w:p>
        </w:tc>
        <w:tc>
          <w:tcPr>
            <w:tcW w:w="4860" w:type="dxa"/>
            <w:tcBorders>
              <w:top w:val="nil"/>
              <w:left w:val="nil"/>
              <w:bottom w:val="nil"/>
              <w:right w:val="nil"/>
            </w:tcBorders>
            <w:shd w:val="clear" w:color="auto" w:fill="auto"/>
            <w:hideMark/>
          </w:tcPr>
          <w:p w14:paraId="010F65CF" w14:textId="4C70A642" w:rsidR="006318EA" w:rsidRPr="000A71C6" w:rsidRDefault="006318EA" w:rsidP="006318EA">
            <w:pPr>
              <w:spacing w:after="0" w:line="240" w:lineRule="auto"/>
              <w:jc w:val="both"/>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val="en-US" w:eastAsia="pl-PL"/>
              </w:rPr>
              <w:t xml:space="preserve">Continuous variable. It aggregates agents' perceptions of how public power is used for private gain (both petty and grand forms of corruption), as well as the extent to which elites and private interests seizure the state. </w:t>
            </w:r>
            <w:r w:rsidRPr="000A71C6">
              <w:rPr>
                <w:rFonts w:ascii="Cambria" w:eastAsia="Times New Roman" w:hAnsi="Cambria" w:cs="Calibri"/>
                <w:color w:val="000000"/>
                <w:sz w:val="18"/>
                <w:szCs w:val="18"/>
                <w:lang w:eastAsia="pl-PL"/>
              </w:rPr>
              <w:t xml:space="preserve">The approximate range is </w:t>
            </w:r>
            <w:r w:rsidR="00CA6CBF">
              <w:rPr>
                <w:rFonts w:ascii="Cambria" w:eastAsia="Times New Roman" w:hAnsi="Cambria" w:cs="Calibri"/>
                <w:color w:val="000000"/>
                <w:sz w:val="18"/>
                <w:szCs w:val="18"/>
                <w:lang w:eastAsia="pl-PL"/>
              </w:rPr>
              <w:br/>
            </w:r>
            <w:r w:rsidRPr="000A71C6">
              <w:rPr>
                <w:rFonts w:ascii="Cambria" w:eastAsia="Times New Roman" w:hAnsi="Cambria" w:cs="Calibri"/>
                <w:color w:val="000000"/>
                <w:sz w:val="18"/>
                <w:szCs w:val="18"/>
                <w:lang w:eastAsia="pl-PL"/>
              </w:rPr>
              <w:t>[-2.5; 2.5].</w:t>
            </w:r>
          </w:p>
        </w:tc>
        <w:tc>
          <w:tcPr>
            <w:tcW w:w="2000" w:type="dxa"/>
            <w:tcBorders>
              <w:top w:val="nil"/>
              <w:left w:val="nil"/>
              <w:bottom w:val="nil"/>
              <w:right w:val="nil"/>
            </w:tcBorders>
            <w:shd w:val="clear" w:color="auto" w:fill="auto"/>
            <w:hideMark/>
          </w:tcPr>
          <w:p w14:paraId="46C178A9"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World Bank</w:t>
            </w:r>
          </w:p>
        </w:tc>
      </w:tr>
      <w:tr w:rsidR="006318EA" w:rsidRPr="006318EA" w14:paraId="311C0A7A" w14:textId="77777777" w:rsidTr="000A71C6">
        <w:trPr>
          <w:trHeight w:val="997"/>
        </w:trPr>
        <w:tc>
          <w:tcPr>
            <w:tcW w:w="2460" w:type="dxa"/>
            <w:tcBorders>
              <w:top w:val="nil"/>
              <w:left w:val="nil"/>
              <w:bottom w:val="nil"/>
              <w:right w:val="nil"/>
            </w:tcBorders>
            <w:shd w:val="clear" w:color="auto" w:fill="auto"/>
            <w:hideMark/>
          </w:tcPr>
          <w:p w14:paraId="0ECB044E"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Ideology</w:t>
            </w:r>
          </w:p>
        </w:tc>
        <w:tc>
          <w:tcPr>
            <w:tcW w:w="4860" w:type="dxa"/>
            <w:tcBorders>
              <w:top w:val="nil"/>
              <w:left w:val="nil"/>
              <w:bottom w:val="nil"/>
              <w:right w:val="nil"/>
            </w:tcBorders>
            <w:shd w:val="clear" w:color="auto" w:fill="auto"/>
            <w:hideMark/>
          </w:tcPr>
          <w:p w14:paraId="1D70E8BF" w14:textId="73E3F83A" w:rsidR="006318EA" w:rsidRPr="000A71C6" w:rsidRDefault="006318EA" w:rsidP="006318EA">
            <w:pPr>
              <w:spacing w:after="0" w:line="240" w:lineRule="auto"/>
              <w:jc w:val="both"/>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Continuous variable. It measures the extent to which the current government promotes a specific ideology or societal</w:t>
            </w:r>
            <w:r w:rsidRPr="000A71C6">
              <w:rPr>
                <w:rFonts w:ascii="Cambria" w:eastAsia="Times New Roman" w:hAnsi="Cambria" w:cs="Calibri"/>
                <w:color w:val="000000"/>
                <w:sz w:val="18"/>
                <w:szCs w:val="18"/>
                <w:lang w:val="en-US" w:eastAsia="pl-PL"/>
              </w:rPr>
              <w:br/>
              <w:t xml:space="preserve">model to remain in power. The approximate range is </w:t>
            </w:r>
            <w:r w:rsidR="008D18A5">
              <w:rPr>
                <w:rFonts w:ascii="Cambria" w:eastAsia="Times New Roman" w:hAnsi="Cambria" w:cs="Calibri"/>
                <w:color w:val="000000"/>
                <w:sz w:val="18"/>
                <w:szCs w:val="18"/>
                <w:lang w:val="en-US" w:eastAsia="pl-PL"/>
              </w:rPr>
              <w:br/>
            </w:r>
            <w:r w:rsidRPr="000A71C6">
              <w:rPr>
                <w:rFonts w:ascii="Cambria" w:eastAsia="Times New Roman" w:hAnsi="Cambria" w:cs="Calibri"/>
                <w:color w:val="000000"/>
                <w:sz w:val="18"/>
                <w:szCs w:val="18"/>
                <w:lang w:val="en-US" w:eastAsia="pl-PL"/>
              </w:rPr>
              <w:t xml:space="preserve">[-3.3; 2.5]. </w:t>
            </w:r>
          </w:p>
        </w:tc>
        <w:tc>
          <w:tcPr>
            <w:tcW w:w="2000" w:type="dxa"/>
            <w:tcBorders>
              <w:top w:val="nil"/>
              <w:left w:val="nil"/>
              <w:bottom w:val="nil"/>
              <w:right w:val="nil"/>
            </w:tcBorders>
            <w:shd w:val="clear" w:color="auto" w:fill="auto"/>
            <w:hideMark/>
          </w:tcPr>
          <w:p w14:paraId="0F9DBB03"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V-Dem</w:t>
            </w:r>
          </w:p>
        </w:tc>
      </w:tr>
      <w:tr w:rsidR="006318EA" w:rsidRPr="006318EA" w14:paraId="4292BE77" w14:textId="77777777" w:rsidTr="000A71C6">
        <w:trPr>
          <w:trHeight w:val="842"/>
        </w:trPr>
        <w:tc>
          <w:tcPr>
            <w:tcW w:w="2460" w:type="dxa"/>
            <w:tcBorders>
              <w:top w:val="nil"/>
              <w:left w:val="nil"/>
              <w:bottom w:val="nil"/>
              <w:right w:val="nil"/>
            </w:tcBorders>
            <w:shd w:val="clear" w:color="auto" w:fill="auto"/>
            <w:hideMark/>
          </w:tcPr>
          <w:p w14:paraId="1BCAC07E"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Populism</w:t>
            </w:r>
          </w:p>
        </w:tc>
        <w:tc>
          <w:tcPr>
            <w:tcW w:w="4860" w:type="dxa"/>
            <w:tcBorders>
              <w:top w:val="nil"/>
              <w:left w:val="nil"/>
              <w:bottom w:val="nil"/>
              <w:right w:val="nil"/>
            </w:tcBorders>
            <w:shd w:val="clear" w:color="auto" w:fill="auto"/>
            <w:hideMark/>
          </w:tcPr>
          <w:p w14:paraId="4C4750E7" w14:textId="0BB6CA66" w:rsidR="006318EA" w:rsidRPr="000A71C6" w:rsidRDefault="006318EA" w:rsidP="006318EA">
            <w:pPr>
              <w:spacing w:after="0" w:line="240" w:lineRule="auto"/>
              <w:jc w:val="both"/>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 xml:space="preserve">Continuous variable. It measures the extent to which the party in power uses populist rhetoric. The approximate range is </w:t>
            </w:r>
            <w:r w:rsidR="008D18A5">
              <w:rPr>
                <w:rFonts w:ascii="Cambria" w:eastAsia="Times New Roman" w:hAnsi="Cambria" w:cs="Calibri"/>
                <w:color w:val="000000"/>
                <w:sz w:val="18"/>
                <w:szCs w:val="18"/>
                <w:lang w:val="en-US" w:eastAsia="pl-PL"/>
              </w:rPr>
              <w:br/>
            </w:r>
            <w:r w:rsidRPr="000A71C6">
              <w:rPr>
                <w:rFonts w:ascii="Cambria" w:eastAsia="Times New Roman" w:hAnsi="Cambria" w:cs="Calibri"/>
                <w:color w:val="000000"/>
                <w:sz w:val="18"/>
                <w:szCs w:val="18"/>
                <w:lang w:val="en-US" w:eastAsia="pl-PL"/>
              </w:rPr>
              <w:t xml:space="preserve">[0; 1]. </w:t>
            </w:r>
          </w:p>
        </w:tc>
        <w:tc>
          <w:tcPr>
            <w:tcW w:w="2000" w:type="dxa"/>
            <w:tcBorders>
              <w:top w:val="nil"/>
              <w:left w:val="nil"/>
              <w:bottom w:val="nil"/>
              <w:right w:val="nil"/>
            </w:tcBorders>
            <w:shd w:val="clear" w:color="auto" w:fill="auto"/>
            <w:hideMark/>
          </w:tcPr>
          <w:p w14:paraId="66F7916C"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V-Party</w:t>
            </w:r>
          </w:p>
        </w:tc>
      </w:tr>
      <w:tr w:rsidR="006318EA" w:rsidRPr="006318EA" w14:paraId="7B9AD289" w14:textId="77777777" w:rsidTr="000A71C6">
        <w:trPr>
          <w:trHeight w:val="996"/>
        </w:trPr>
        <w:tc>
          <w:tcPr>
            <w:tcW w:w="2460" w:type="dxa"/>
            <w:tcBorders>
              <w:top w:val="nil"/>
              <w:left w:val="nil"/>
              <w:bottom w:val="nil"/>
              <w:right w:val="nil"/>
            </w:tcBorders>
            <w:shd w:val="clear" w:color="auto" w:fill="auto"/>
            <w:hideMark/>
          </w:tcPr>
          <w:p w14:paraId="12A1BA18" w14:textId="77777777" w:rsidR="006318EA" w:rsidRPr="000A71C6" w:rsidRDefault="006318EA" w:rsidP="006318EA">
            <w:pPr>
              <w:spacing w:after="0" w:line="240" w:lineRule="auto"/>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Relative power of the HOS</w:t>
            </w:r>
          </w:p>
        </w:tc>
        <w:tc>
          <w:tcPr>
            <w:tcW w:w="4860" w:type="dxa"/>
            <w:tcBorders>
              <w:top w:val="nil"/>
              <w:left w:val="nil"/>
              <w:bottom w:val="nil"/>
              <w:right w:val="nil"/>
            </w:tcBorders>
            <w:shd w:val="clear" w:color="auto" w:fill="auto"/>
            <w:hideMark/>
          </w:tcPr>
          <w:p w14:paraId="616CDC8B" w14:textId="7E7F724F" w:rsidR="006318EA" w:rsidRPr="000A71C6" w:rsidRDefault="006318EA" w:rsidP="006318EA">
            <w:pPr>
              <w:spacing w:after="0" w:line="240" w:lineRule="auto"/>
              <w:jc w:val="both"/>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Continuous variable. It measures the relative power of the head of state (HOS) against the head of government (HOG)</w:t>
            </w:r>
            <w:r w:rsidRPr="000A71C6">
              <w:rPr>
                <w:rFonts w:ascii="Cambria" w:eastAsia="Times New Roman" w:hAnsi="Cambria" w:cs="Calibri"/>
                <w:color w:val="000000"/>
                <w:sz w:val="18"/>
                <w:szCs w:val="18"/>
                <w:lang w:val="en-US" w:eastAsia="pl-PL"/>
              </w:rPr>
              <w:br/>
              <w:t xml:space="preserve">over the appointment and dismissal of cabinet ministers. The range is [0; 1]. </w:t>
            </w:r>
          </w:p>
        </w:tc>
        <w:tc>
          <w:tcPr>
            <w:tcW w:w="2000" w:type="dxa"/>
            <w:tcBorders>
              <w:top w:val="nil"/>
              <w:left w:val="nil"/>
              <w:bottom w:val="nil"/>
              <w:right w:val="nil"/>
            </w:tcBorders>
            <w:shd w:val="clear" w:color="auto" w:fill="auto"/>
            <w:hideMark/>
          </w:tcPr>
          <w:p w14:paraId="2855B8AF"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V-Dem</w:t>
            </w:r>
          </w:p>
        </w:tc>
      </w:tr>
      <w:tr w:rsidR="006318EA" w:rsidRPr="006318EA" w14:paraId="34BE8B75" w14:textId="77777777" w:rsidTr="000A71C6">
        <w:trPr>
          <w:trHeight w:val="996"/>
        </w:trPr>
        <w:tc>
          <w:tcPr>
            <w:tcW w:w="2460" w:type="dxa"/>
            <w:tcBorders>
              <w:top w:val="nil"/>
              <w:left w:val="nil"/>
              <w:bottom w:val="nil"/>
              <w:right w:val="nil"/>
            </w:tcBorders>
            <w:shd w:val="clear" w:color="auto" w:fill="auto"/>
            <w:hideMark/>
          </w:tcPr>
          <w:p w14:paraId="7D8BBE1D"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Executive respects constitution</w:t>
            </w:r>
          </w:p>
        </w:tc>
        <w:tc>
          <w:tcPr>
            <w:tcW w:w="4860" w:type="dxa"/>
            <w:tcBorders>
              <w:top w:val="nil"/>
              <w:left w:val="nil"/>
              <w:bottom w:val="nil"/>
              <w:right w:val="nil"/>
            </w:tcBorders>
            <w:shd w:val="clear" w:color="auto" w:fill="auto"/>
            <w:hideMark/>
          </w:tcPr>
          <w:p w14:paraId="7509518C" w14:textId="18B560F1" w:rsidR="006318EA" w:rsidRPr="000A71C6" w:rsidRDefault="006318EA" w:rsidP="006318EA">
            <w:pPr>
              <w:spacing w:after="0" w:line="240" w:lineRule="auto"/>
              <w:jc w:val="both"/>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Continuous variable. It measures the extent to which members of the executive, that is the head of state, the head of government, and cabinet</w:t>
            </w:r>
            <w:r w:rsidR="008D18A5">
              <w:rPr>
                <w:rFonts w:ascii="Cambria" w:eastAsia="Times New Roman" w:hAnsi="Cambria" w:cs="Calibri"/>
                <w:color w:val="000000"/>
                <w:sz w:val="18"/>
                <w:szCs w:val="18"/>
                <w:lang w:val="en-US" w:eastAsia="pl-PL"/>
              </w:rPr>
              <w:t xml:space="preserve"> </w:t>
            </w:r>
            <w:r w:rsidRPr="000A71C6">
              <w:rPr>
                <w:rFonts w:ascii="Cambria" w:eastAsia="Times New Roman" w:hAnsi="Cambria" w:cs="Calibri"/>
                <w:color w:val="000000"/>
                <w:sz w:val="18"/>
                <w:szCs w:val="18"/>
                <w:lang w:val="en-US" w:eastAsia="pl-PL"/>
              </w:rPr>
              <w:t xml:space="preserve">ministers, respect the constitution. The approximate range is [-2.5; 3.5]. </w:t>
            </w:r>
          </w:p>
        </w:tc>
        <w:tc>
          <w:tcPr>
            <w:tcW w:w="2000" w:type="dxa"/>
            <w:tcBorders>
              <w:top w:val="nil"/>
              <w:left w:val="nil"/>
              <w:bottom w:val="nil"/>
              <w:right w:val="nil"/>
            </w:tcBorders>
            <w:shd w:val="clear" w:color="auto" w:fill="auto"/>
            <w:hideMark/>
          </w:tcPr>
          <w:p w14:paraId="018A612C"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V-Dem</w:t>
            </w:r>
          </w:p>
        </w:tc>
      </w:tr>
      <w:tr w:rsidR="006318EA" w:rsidRPr="006318EA" w14:paraId="5AE355F9" w14:textId="77777777" w:rsidTr="000A71C6">
        <w:trPr>
          <w:trHeight w:val="1001"/>
        </w:trPr>
        <w:tc>
          <w:tcPr>
            <w:tcW w:w="2460" w:type="dxa"/>
            <w:tcBorders>
              <w:top w:val="nil"/>
              <w:left w:val="nil"/>
              <w:bottom w:val="nil"/>
              <w:right w:val="nil"/>
            </w:tcBorders>
            <w:shd w:val="clear" w:color="auto" w:fill="auto"/>
            <w:hideMark/>
          </w:tcPr>
          <w:p w14:paraId="0CF8E35F" w14:textId="77777777" w:rsidR="006318EA" w:rsidRPr="000A71C6" w:rsidRDefault="006318EA" w:rsidP="006318EA">
            <w:pPr>
              <w:spacing w:after="0" w:line="240" w:lineRule="auto"/>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Transparent law with predictable enforcement</w:t>
            </w:r>
          </w:p>
        </w:tc>
        <w:tc>
          <w:tcPr>
            <w:tcW w:w="4860" w:type="dxa"/>
            <w:tcBorders>
              <w:top w:val="nil"/>
              <w:left w:val="nil"/>
              <w:bottom w:val="nil"/>
              <w:right w:val="nil"/>
            </w:tcBorders>
            <w:shd w:val="clear" w:color="auto" w:fill="auto"/>
            <w:hideMark/>
          </w:tcPr>
          <w:p w14:paraId="433766A7" w14:textId="69766282" w:rsidR="006318EA" w:rsidRPr="000A71C6" w:rsidRDefault="006318EA" w:rsidP="006318EA">
            <w:pPr>
              <w:spacing w:after="0" w:line="240" w:lineRule="auto"/>
              <w:jc w:val="both"/>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Continuous variable. It measures the extent to which the laws are clear, well-publicized, coherent,</w:t>
            </w:r>
            <w:r w:rsidR="008D18A5">
              <w:rPr>
                <w:rFonts w:ascii="Cambria" w:eastAsia="Times New Roman" w:hAnsi="Cambria" w:cs="Calibri"/>
                <w:color w:val="000000"/>
                <w:sz w:val="18"/>
                <w:szCs w:val="18"/>
                <w:lang w:val="en-US" w:eastAsia="pl-PL"/>
              </w:rPr>
              <w:t xml:space="preserve"> </w:t>
            </w:r>
            <w:r w:rsidRPr="000A71C6">
              <w:rPr>
                <w:rFonts w:ascii="Cambria" w:eastAsia="Times New Roman" w:hAnsi="Cambria" w:cs="Calibri"/>
                <w:color w:val="000000"/>
                <w:sz w:val="18"/>
                <w:szCs w:val="18"/>
                <w:lang w:val="en-US" w:eastAsia="pl-PL"/>
              </w:rPr>
              <w:t xml:space="preserve">relatively stable from year to year, and enforced predictably. The approximate range is </w:t>
            </w:r>
            <w:r w:rsidR="008D18A5">
              <w:rPr>
                <w:rFonts w:ascii="Cambria" w:eastAsia="Times New Roman" w:hAnsi="Cambria" w:cs="Calibri"/>
                <w:color w:val="000000"/>
                <w:sz w:val="18"/>
                <w:szCs w:val="18"/>
                <w:lang w:val="en-US" w:eastAsia="pl-PL"/>
              </w:rPr>
              <w:br/>
            </w:r>
            <w:r w:rsidRPr="000A71C6">
              <w:rPr>
                <w:rFonts w:ascii="Cambria" w:eastAsia="Times New Roman" w:hAnsi="Cambria" w:cs="Calibri"/>
                <w:color w:val="000000"/>
                <w:sz w:val="18"/>
                <w:szCs w:val="18"/>
                <w:lang w:val="en-US" w:eastAsia="pl-PL"/>
              </w:rPr>
              <w:t xml:space="preserve">[-2.5; 4]. </w:t>
            </w:r>
          </w:p>
        </w:tc>
        <w:tc>
          <w:tcPr>
            <w:tcW w:w="2000" w:type="dxa"/>
            <w:tcBorders>
              <w:top w:val="nil"/>
              <w:left w:val="nil"/>
              <w:bottom w:val="nil"/>
              <w:right w:val="nil"/>
            </w:tcBorders>
            <w:shd w:val="clear" w:color="auto" w:fill="auto"/>
            <w:hideMark/>
          </w:tcPr>
          <w:p w14:paraId="3F69DA2A"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V-Dem</w:t>
            </w:r>
          </w:p>
        </w:tc>
      </w:tr>
      <w:tr w:rsidR="006318EA" w:rsidRPr="006318EA" w14:paraId="302CDA93" w14:textId="77777777" w:rsidTr="000A71C6">
        <w:trPr>
          <w:trHeight w:val="859"/>
        </w:trPr>
        <w:tc>
          <w:tcPr>
            <w:tcW w:w="2460" w:type="dxa"/>
            <w:tcBorders>
              <w:top w:val="nil"/>
              <w:left w:val="nil"/>
              <w:bottom w:val="nil"/>
              <w:right w:val="nil"/>
            </w:tcBorders>
            <w:shd w:val="clear" w:color="auto" w:fill="auto"/>
            <w:hideMark/>
          </w:tcPr>
          <w:p w14:paraId="5E660DB1" w14:textId="77777777" w:rsidR="006318EA" w:rsidRPr="000A71C6" w:rsidRDefault="006318EA" w:rsidP="006318EA">
            <w:pPr>
              <w:spacing w:after="0" w:line="240" w:lineRule="auto"/>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lastRenderedPageBreak/>
              <w:t>Rigorous and impartial public administration</w:t>
            </w:r>
          </w:p>
        </w:tc>
        <w:tc>
          <w:tcPr>
            <w:tcW w:w="4860" w:type="dxa"/>
            <w:tcBorders>
              <w:top w:val="nil"/>
              <w:left w:val="nil"/>
              <w:bottom w:val="nil"/>
              <w:right w:val="nil"/>
            </w:tcBorders>
            <w:shd w:val="clear" w:color="auto" w:fill="auto"/>
            <w:hideMark/>
          </w:tcPr>
          <w:p w14:paraId="0C283025" w14:textId="5F4BD683" w:rsidR="006318EA" w:rsidRPr="000A71C6" w:rsidRDefault="006318EA" w:rsidP="006318EA">
            <w:pPr>
              <w:spacing w:after="0" w:line="240" w:lineRule="auto"/>
              <w:jc w:val="both"/>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Continuous variable. It measures the extent to which public administration abide</w:t>
            </w:r>
            <w:r w:rsidR="008D18A5">
              <w:rPr>
                <w:rFonts w:ascii="Cambria" w:eastAsia="Times New Roman" w:hAnsi="Cambria" w:cs="Calibri"/>
                <w:color w:val="000000"/>
                <w:sz w:val="18"/>
                <w:szCs w:val="18"/>
                <w:lang w:val="en-US" w:eastAsia="pl-PL"/>
              </w:rPr>
              <w:t>s</w:t>
            </w:r>
            <w:r w:rsidRPr="000A71C6">
              <w:rPr>
                <w:rFonts w:ascii="Cambria" w:eastAsia="Times New Roman" w:hAnsi="Cambria" w:cs="Calibri"/>
                <w:color w:val="000000"/>
                <w:sz w:val="18"/>
                <w:szCs w:val="18"/>
                <w:lang w:val="en-US" w:eastAsia="pl-PL"/>
              </w:rPr>
              <w:t xml:space="preserve"> the law and is unbiased. The approximate range is [-2.5; 4]. </w:t>
            </w:r>
          </w:p>
        </w:tc>
        <w:tc>
          <w:tcPr>
            <w:tcW w:w="2000" w:type="dxa"/>
            <w:tcBorders>
              <w:top w:val="nil"/>
              <w:left w:val="nil"/>
              <w:bottom w:val="nil"/>
              <w:right w:val="nil"/>
            </w:tcBorders>
            <w:shd w:val="clear" w:color="auto" w:fill="auto"/>
            <w:hideMark/>
          </w:tcPr>
          <w:p w14:paraId="7CCBC40B"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V-Dem</w:t>
            </w:r>
          </w:p>
        </w:tc>
      </w:tr>
      <w:tr w:rsidR="006318EA" w:rsidRPr="006318EA" w14:paraId="49C12C2E" w14:textId="77777777" w:rsidTr="000A71C6">
        <w:trPr>
          <w:trHeight w:val="844"/>
        </w:trPr>
        <w:tc>
          <w:tcPr>
            <w:tcW w:w="2460" w:type="dxa"/>
            <w:tcBorders>
              <w:top w:val="nil"/>
              <w:left w:val="nil"/>
              <w:bottom w:val="nil"/>
              <w:right w:val="nil"/>
            </w:tcBorders>
            <w:shd w:val="clear" w:color="auto" w:fill="auto"/>
            <w:hideMark/>
          </w:tcPr>
          <w:p w14:paraId="43CA078D"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Government attacks on judiciary</w:t>
            </w:r>
          </w:p>
        </w:tc>
        <w:tc>
          <w:tcPr>
            <w:tcW w:w="4860" w:type="dxa"/>
            <w:tcBorders>
              <w:top w:val="nil"/>
              <w:left w:val="nil"/>
              <w:bottom w:val="nil"/>
              <w:right w:val="nil"/>
            </w:tcBorders>
            <w:shd w:val="clear" w:color="auto" w:fill="auto"/>
            <w:hideMark/>
          </w:tcPr>
          <w:p w14:paraId="3890975F" w14:textId="7B713993" w:rsidR="006318EA" w:rsidRPr="000A71C6" w:rsidRDefault="006318EA" w:rsidP="006318EA">
            <w:pPr>
              <w:spacing w:after="0" w:line="240" w:lineRule="auto"/>
              <w:jc w:val="both"/>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 xml:space="preserve">Continuous variable. It measures </w:t>
            </w:r>
            <w:r w:rsidR="00DA171D">
              <w:rPr>
                <w:rFonts w:ascii="Cambria" w:eastAsia="Times New Roman" w:hAnsi="Cambria" w:cs="Calibri"/>
                <w:color w:val="000000"/>
                <w:sz w:val="18"/>
                <w:szCs w:val="18"/>
                <w:lang w:val="en-US" w:eastAsia="pl-PL"/>
              </w:rPr>
              <w:t>the intensity of governmental attacks on judicial integrity</w:t>
            </w:r>
            <w:r w:rsidRPr="000A71C6">
              <w:rPr>
                <w:rFonts w:ascii="Cambria" w:eastAsia="Times New Roman" w:hAnsi="Cambria" w:cs="Calibri"/>
                <w:color w:val="000000"/>
                <w:sz w:val="18"/>
                <w:szCs w:val="18"/>
                <w:lang w:val="en-US" w:eastAsia="pl-PL"/>
              </w:rPr>
              <w:t xml:space="preserve">. The approximate range is [-3.5; 2.5]. </w:t>
            </w:r>
          </w:p>
        </w:tc>
        <w:tc>
          <w:tcPr>
            <w:tcW w:w="2000" w:type="dxa"/>
            <w:tcBorders>
              <w:top w:val="nil"/>
              <w:left w:val="nil"/>
              <w:bottom w:val="nil"/>
              <w:right w:val="nil"/>
            </w:tcBorders>
            <w:shd w:val="clear" w:color="auto" w:fill="auto"/>
            <w:hideMark/>
          </w:tcPr>
          <w:p w14:paraId="1E0BE79D"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V-Dem</w:t>
            </w:r>
          </w:p>
        </w:tc>
      </w:tr>
      <w:tr w:rsidR="006318EA" w:rsidRPr="006318EA" w14:paraId="14E6837E" w14:textId="77777777" w:rsidTr="000A71C6">
        <w:trPr>
          <w:trHeight w:val="574"/>
        </w:trPr>
        <w:tc>
          <w:tcPr>
            <w:tcW w:w="2460" w:type="dxa"/>
            <w:tcBorders>
              <w:top w:val="nil"/>
              <w:left w:val="nil"/>
              <w:bottom w:val="nil"/>
              <w:right w:val="nil"/>
            </w:tcBorders>
            <w:shd w:val="clear" w:color="auto" w:fill="auto"/>
            <w:hideMark/>
          </w:tcPr>
          <w:p w14:paraId="12C8B8C1"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High court independence</w:t>
            </w:r>
          </w:p>
        </w:tc>
        <w:tc>
          <w:tcPr>
            <w:tcW w:w="4860" w:type="dxa"/>
            <w:tcBorders>
              <w:top w:val="nil"/>
              <w:left w:val="nil"/>
              <w:bottom w:val="nil"/>
              <w:right w:val="nil"/>
            </w:tcBorders>
            <w:shd w:val="clear" w:color="auto" w:fill="auto"/>
            <w:hideMark/>
          </w:tcPr>
          <w:p w14:paraId="39648800" w14:textId="41BAC260" w:rsidR="006318EA" w:rsidRPr="000A71C6" w:rsidRDefault="006318EA" w:rsidP="006318EA">
            <w:pPr>
              <w:spacing w:after="0" w:line="240" w:lineRule="auto"/>
              <w:jc w:val="both"/>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 xml:space="preserve">Continuous variable. It measures the autonomy of judicial decision-making. The approximate range is [-3.5; 3.5]. </w:t>
            </w:r>
          </w:p>
        </w:tc>
        <w:tc>
          <w:tcPr>
            <w:tcW w:w="2000" w:type="dxa"/>
            <w:tcBorders>
              <w:top w:val="nil"/>
              <w:left w:val="nil"/>
              <w:bottom w:val="nil"/>
              <w:right w:val="nil"/>
            </w:tcBorders>
            <w:shd w:val="clear" w:color="auto" w:fill="auto"/>
            <w:hideMark/>
          </w:tcPr>
          <w:p w14:paraId="60C23134"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V-Dem</w:t>
            </w:r>
          </w:p>
        </w:tc>
      </w:tr>
      <w:tr w:rsidR="006318EA" w:rsidRPr="006318EA" w14:paraId="2800C7E5" w14:textId="77777777" w:rsidTr="000A71C6">
        <w:trPr>
          <w:trHeight w:val="985"/>
        </w:trPr>
        <w:tc>
          <w:tcPr>
            <w:tcW w:w="2460" w:type="dxa"/>
            <w:tcBorders>
              <w:top w:val="nil"/>
              <w:left w:val="nil"/>
              <w:bottom w:val="nil"/>
              <w:right w:val="nil"/>
            </w:tcBorders>
            <w:shd w:val="clear" w:color="auto" w:fill="auto"/>
            <w:hideMark/>
          </w:tcPr>
          <w:p w14:paraId="6A4F25F4"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Compliance with high court</w:t>
            </w:r>
          </w:p>
        </w:tc>
        <w:tc>
          <w:tcPr>
            <w:tcW w:w="4860" w:type="dxa"/>
            <w:tcBorders>
              <w:top w:val="nil"/>
              <w:left w:val="nil"/>
              <w:bottom w:val="nil"/>
              <w:right w:val="nil"/>
            </w:tcBorders>
            <w:shd w:val="clear" w:color="auto" w:fill="auto"/>
            <w:hideMark/>
          </w:tcPr>
          <w:p w14:paraId="796FEFC8" w14:textId="3883EB28" w:rsidR="006318EA" w:rsidRPr="000A71C6" w:rsidRDefault="006318EA" w:rsidP="006318EA">
            <w:pPr>
              <w:spacing w:after="0" w:line="240" w:lineRule="auto"/>
              <w:jc w:val="both"/>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Continuous variable. It measures the frequency of situations in which the government complies with important decisions by other</w:t>
            </w:r>
            <w:r w:rsidR="008D18A5">
              <w:rPr>
                <w:rFonts w:ascii="Cambria" w:eastAsia="Times New Roman" w:hAnsi="Cambria" w:cs="Calibri"/>
                <w:color w:val="000000"/>
                <w:sz w:val="18"/>
                <w:szCs w:val="18"/>
                <w:lang w:val="en-US" w:eastAsia="pl-PL"/>
              </w:rPr>
              <w:t xml:space="preserve"> </w:t>
            </w:r>
            <w:r w:rsidRPr="000A71C6">
              <w:rPr>
                <w:rFonts w:ascii="Cambria" w:eastAsia="Times New Roman" w:hAnsi="Cambria" w:cs="Calibri"/>
                <w:color w:val="000000"/>
                <w:sz w:val="18"/>
                <w:szCs w:val="18"/>
                <w:lang w:val="en-US" w:eastAsia="pl-PL"/>
              </w:rPr>
              <w:t xml:space="preserve">courts with which it disagrees. The approximate range is [-3.5; 3.5]. </w:t>
            </w:r>
          </w:p>
        </w:tc>
        <w:tc>
          <w:tcPr>
            <w:tcW w:w="2000" w:type="dxa"/>
            <w:tcBorders>
              <w:top w:val="nil"/>
              <w:left w:val="nil"/>
              <w:bottom w:val="nil"/>
              <w:right w:val="nil"/>
            </w:tcBorders>
            <w:shd w:val="clear" w:color="auto" w:fill="auto"/>
            <w:hideMark/>
          </w:tcPr>
          <w:p w14:paraId="564ECC4F"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V-Dem</w:t>
            </w:r>
          </w:p>
        </w:tc>
      </w:tr>
      <w:tr w:rsidR="006318EA" w:rsidRPr="006318EA" w14:paraId="4692A8A2" w14:textId="77777777" w:rsidTr="000A71C6">
        <w:trPr>
          <w:trHeight w:val="858"/>
        </w:trPr>
        <w:tc>
          <w:tcPr>
            <w:tcW w:w="2460" w:type="dxa"/>
            <w:tcBorders>
              <w:top w:val="nil"/>
              <w:left w:val="nil"/>
              <w:bottom w:val="nil"/>
              <w:right w:val="nil"/>
            </w:tcBorders>
            <w:shd w:val="clear" w:color="auto" w:fill="auto"/>
            <w:hideMark/>
          </w:tcPr>
          <w:p w14:paraId="410163D3" w14:textId="77777777" w:rsidR="006318EA" w:rsidRPr="000A71C6" w:rsidRDefault="006318EA" w:rsidP="006318EA">
            <w:pPr>
              <w:spacing w:after="0" w:line="240" w:lineRule="auto"/>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Additional spending or foregone revenues (% GDP)</w:t>
            </w:r>
          </w:p>
        </w:tc>
        <w:tc>
          <w:tcPr>
            <w:tcW w:w="4860" w:type="dxa"/>
            <w:tcBorders>
              <w:top w:val="nil"/>
              <w:left w:val="nil"/>
              <w:bottom w:val="nil"/>
              <w:right w:val="nil"/>
            </w:tcBorders>
            <w:shd w:val="clear" w:color="auto" w:fill="auto"/>
            <w:hideMark/>
          </w:tcPr>
          <w:p w14:paraId="6D5F6200" w14:textId="77777777" w:rsidR="006318EA" w:rsidRPr="000A71C6" w:rsidRDefault="006318EA" w:rsidP="006318EA">
            <w:pPr>
              <w:spacing w:after="0" w:line="240" w:lineRule="auto"/>
              <w:jc w:val="both"/>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Continuous variable. It represents as the percentage of GDP the fiscal measures governments have announced or taken in response to the COVID-19 pandemic as of December 31, 2020.</w:t>
            </w:r>
          </w:p>
        </w:tc>
        <w:tc>
          <w:tcPr>
            <w:tcW w:w="2000" w:type="dxa"/>
            <w:tcBorders>
              <w:top w:val="nil"/>
              <w:left w:val="nil"/>
              <w:bottom w:val="nil"/>
              <w:right w:val="nil"/>
            </w:tcBorders>
            <w:shd w:val="clear" w:color="auto" w:fill="auto"/>
            <w:hideMark/>
          </w:tcPr>
          <w:p w14:paraId="7F3F9DB8"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IMF Fiscal Monitor</w:t>
            </w:r>
          </w:p>
        </w:tc>
      </w:tr>
      <w:tr w:rsidR="006318EA" w:rsidRPr="006318EA" w14:paraId="3F282EB1" w14:textId="77777777" w:rsidTr="000A71C6">
        <w:trPr>
          <w:trHeight w:val="324"/>
        </w:trPr>
        <w:tc>
          <w:tcPr>
            <w:tcW w:w="2460" w:type="dxa"/>
            <w:tcBorders>
              <w:top w:val="nil"/>
              <w:left w:val="nil"/>
              <w:bottom w:val="nil"/>
              <w:right w:val="nil"/>
            </w:tcBorders>
            <w:shd w:val="clear" w:color="auto" w:fill="auto"/>
            <w:hideMark/>
          </w:tcPr>
          <w:p w14:paraId="035C3462"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Health sector</w:t>
            </w:r>
          </w:p>
        </w:tc>
        <w:tc>
          <w:tcPr>
            <w:tcW w:w="4860" w:type="dxa"/>
            <w:tcBorders>
              <w:top w:val="nil"/>
              <w:left w:val="nil"/>
              <w:bottom w:val="nil"/>
              <w:right w:val="nil"/>
            </w:tcBorders>
            <w:shd w:val="clear" w:color="auto" w:fill="auto"/>
            <w:hideMark/>
          </w:tcPr>
          <w:p w14:paraId="03524BCD" w14:textId="2D5410EC" w:rsidR="006318EA" w:rsidRPr="000A71C6" w:rsidRDefault="006318EA" w:rsidP="006318EA">
            <w:pPr>
              <w:spacing w:after="0" w:line="240" w:lineRule="auto"/>
              <w:jc w:val="both"/>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Additional spending and forgone revenue in the health sector</w:t>
            </w:r>
            <w:r w:rsidR="008D18A5">
              <w:rPr>
                <w:rFonts w:ascii="Cambria" w:eastAsia="Times New Roman" w:hAnsi="Cambria" w:cs="Calibri"/>
                <w:color w:val="000000"/>
                <w:sz w:val="18"/>
                <w:szCs w:val="18"/>
                <w:lang w:val="en-US" w:eastAsia="pl-PL"/>
              </w:rPr>
              <w:t>.</w:t>
            </w:r>
          </w:p>
        </w:tc>
        <w:tc>
          <w:tcPr>
            <w:tcW w:w="2000" w:type="dxa"/>
            <w:tcBorders>
              <w:top w:val="nil"/>
              <w:left w:val="nil"/>
              <w:bottom w:val="nil"/>
              <w:right w:val="nil"/>
            </w:tcBorders>
            <w:shd w:val="clear" w:color="auto" w:fill="auto"/>
            <w:hideMark/>
          </w:tcPr>
          <w:p w14:paraId="0732B3CB"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IMF Fiscal Monitor</w:t>
            </w:r>
          </w:p>
        </w:tc>
      </w:tr>
      <w:tr w:rsidR="006318EA" w:rsidRPr="006318EA" w14:paraId="7ADBBF71" w14:textId="77777777" w:rsidTr="006318EA">
        <w:trPr>
          <w:trHeight w:val="552"/>
        </w:trPr>
        <w:tc>
          <w:tcPr>
            <w:tcW w:w="2460" w:type="dxa"/>
            <w:tcBorders>
              <w:top w:val="nil"/>
              <w:left w:val="nil"/>
              <w:bottom w:val="nil"/>
              <w:right w:val="nil"/>
            </w:tcBorders>
            <w:shd w:val="clear" w:color="auto" w:fill="auto"/>
            <w:hideMark/>
          </w:tcPr>
          <w:p w14:paraId="039412C3"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Non-health sector</w:t>
            </w:r>
          </w:p>
        </w:tc>
        <w:tc>
          <w:tcPr>
            <w:tcW w:w="4860" w:type="dxa"/>
            <w:tcBorders>
              <w:top w:val="nil"/>
              <w:left w:val="nil"/>
              <w:bottom w:val="nil"/>
              <w:right w:val="nil"/>
            </w:tcBorders>
            <w:shd w:val="clear" w:color="auto" w:fill="auto"/>
            <w:hideMark/>
          </w:tcPr>
          <w:p w14:paraId="62A07E8E" w14:textId="329FFF03" w:rsidR="006318EA" w:rsidRPr="000A71C6" w:rsidRDefault="006318EA" w:rsidP="006318EA">
            <w:pPr>
              <w:spacing w:after="0" w:line="240" w:lineRule="auto"/>
              <w:jc w:val="both"/>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Additional spending and forgone revenue in areas other than health</w:t>
            </w:r>
            <w:r w:rsidR="008D18A5">
              <w:rPr>
                <w:rFonts w:ascii="Cambria" w:eastAsia="Times New Roman" w:hAnsi="Cambria" w:cs="Calibri"/>
                <w:color w:val="000000"/>
                <w:sz w:val="18"/>
                <w:szCs w:val="18"/>
                <w:lang w:val="en-US" w:eastAsia="pl-PL"/>
              </w:rPr>
              <w:t>.</w:t>
            </w:r>
          </w:p>
        </w:tc>
        <w:tc>
          <w:tcPr>
            <w:tcW w:w="2000" w:type="dxa"/>
            <w:tcBorders>
              <w:top w:val="nil"/>
              <w:left w:val="nil"/>
              <w:bottom w:val="nil"/>
              <w:right w:val="nil"/>
            </w:tcBorders>
            <w:shd w:val="clear" w:color="auto" w:fill="auto"/>
            <w:hideMark/>
          </w:tcPr>
          <w:p w14:paraId="422404DF"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IMF Fiscal Monitor</w:t>
            </w:r>
          </w:p>
        </w:tc>
      </w:tr>
      <w:tr w:rsidR="006318EA" w:rsidRPr="006318EA" w14:paraId="712CCAED" w14:textId="77777777" w:rsidTr="000A71C6">
        <w:trPr>
          <w:trHeight w:val="922"/>
        </w:trPr>
        <w:tc>
          <w:tcPr>
            <w:tcW w:w="2460" w:type="dxa"/>
            <w:tcBorders>
              <w:top w:val="nil"/>
              <w:left w:val="nil"/>
              <w:bottom w:val="nil"/>
              <w:right w:val="nil"/>
            </w:tcBorders>
            <w:shd w:val="clear" w:color="auto" w:fill="auto"/>
            <w:hideMark/>
          </w:tcPr>
          <w:p w14:paraId="5B4C497C"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Liquidity support</w:t>
            </w:r>
          </w:p>
        </w:tc>
        <w:tc>
          <w:tcPr>
            <w:tcW w:w="4860" w:type="dxa"/>
            <w:tcBorders>
              <w:top w:val="nil"/>
              <w:left w:val="nil"/>
              <w:bottom w:val="nil"/>
              <w:right w:val="nil"/>
            </w:tcBorders>
            <w:shd w:val="clear" w:color="auto" w:fill="auto"/>
            <w:hideMark/>
          </w:tcPr>
          <w:p w14:paraId="18AC0892" w14:textId="77777777" w:rsidR="006318EA" w:rsidRPr="000A71C6" w:rsidRDefault="006318EA" w:rsidP="006318EA">
            <w:pPr>
              <w:spacing w:after="0" w:line="240" w:lineRule="auto"/>
              <w:jc w:val="both"/>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Continuous variable. It measures in the percentage of GDP  the government provision of loans, equity injections, and guarantees on business loans with the aim to reduce the risk of bankruptcies.</w:t>
            </w:r>
          </w:p>
        </w:tc>
        <w:tc>
          <w:tcPr>
            <w:tcW w:w="2000" w:type="dxa"/>
            <w:tcBorders>
              <w:top w:val="nil"/>
              <w:left w:val="nil"/>
              <w:bottom w:val="nil"/>
              <w:right w:val="nil"/>
            </w:tcBorders>
            <w:shd w:val="clear" w:color="auto" w:fill="auto"/>
            <w:hideMark/>
          </w:tcPr>
          <w:p w14:paraId="1AD17972"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IMF Fiscal Monitor</w:t>
            </w:r>
          </w:p>
        </w:tc>
      </w:tr>
      <w:tr w:rsidR="006318EA" w:rsidRPr="006318EA" w14:paraId="1614740C" w14:textId="77777777" w:rsidTr="006318EA">
        <w:trPr>
          <w:trHeight w:val="552"/>
        </w:trPr>
        <w:tc>
          <w:tcPr>
            <w:tcW w:w="2460" w:type="dxa"/>
            <w:tcBorders>
              <w:top w:val="nil"/>
              <w:left w:val="nil"/>
              <w:bottom w:val="nil"/>
              <w:right w:val="nil"/>
            </w:tcBorders>
            <w:shd w:val="clear" w:color="auto" w:fill="auto"/>
            <w:hideMark/>
          </w:tcPr>
          <w:p w14:paraId="5E71CEFF"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Share of world GDP</w:t>
            </w:r>
          </w:p>
        </w:tc>
        <w:tc>
          <w:tcPr>
            <w:tcW w:w="4860" w:type="dxa"/>
            <w:tcBorders>
              <w:top w:val="nil"/>
              <w:left w:val="nil"/>
              <w:bottom w:val="nil"/>
              <w:right w:val="nil"/>
            </w:tcBorders>
            <w:shd w:val="clear" w:color="auto" w:fill="auto"/>
            <w:hideMark/>
          </w:tcPr>
          <w:p w14:paraId="4F1EF1DD" w14:textId="37E1223E" w:rsidR="006318EA" w:rsidRPr="000A71C6" w:rsidRDefault="006318EA" w:rsidP="006318EA">
            <w:pPr>
              <w:spacing w:after="0" w:line="240" w:lineRule="auto"/>
              <w:jc w:val="both"/>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 xml:space="preserve">Continuous variable. It represents the percentage of </w:t>
            </w:r>
            <w:r w:rsidR="008D18A5">
              <w:rPr>
                <w:rFonts w:ascii="Cambria" w:eastAsia="Times New Roman" w:hAnsi="Cambria" w:cs="Calibri"/>
                <w:color w:val="000000"/>
                <w:sz w:val="18"/>
                <w:szCs w:val="18"/>
                <w:lang w:val="en-US" w:eastAsia="pl-PL"/>
              </w:rPr>
              <w:br/>
              <w:t>a</w:t>
            </w:r>
            <w:r w:rsidR="008D18A5" w:rsidRPr="000A71C6">
              <w:rPr>
                <w:rFonts w:ascii="Cambria" w:eastAsia="Times New Roman" w:hAnsi="Cambria" w:cs="Calibri"/>
                <w:color w:val="000000"/>
                <w:sz w:val="18"/>
                <w:szCs w:val="18"/>
                <w:lang w:val="en-US" w:eastAsia="pl-PL"/>
              </w:rPr>
              <w:t xml:space="preserve"> </w:t>
            </w:r>
            <w:r w:rsidRPr="000A71C6">
              <w:rPr>
                <w:rFonts w:ascii="Cambria" w:eastAsia="Times New Roman" w:hAnsi="Cambria" w:cs="Calibri"/>
                <w:color w:val="000000"/>
                <w:sz w:val="18"/>
                <w:szCs w:val="18"/>
                <w:lang w:val="en-US" w:eastAsia="pl-PL"/>
              </w:rPr>
              <w:t>country's GDP of the world GDP.</w:t>
            </w:r>
          </w:p>
        </w:tc>
        <w:tc>
          <w:tcPr>
            <w:tcW w:w="2000" w:type="dxa"/>
            <w:tcBorders>
              <w:top w:val="nil"/>
              <w:left w:val="nil"/>
              <w:bottom w:val="nil"/>
              <w:right w:val="nil"/>
            </w:tcBorders>
            <w:shd w:val="clear" w:color="auto" w:fill="auto"/>
            <w:hideMark/>
          </w:tcPr>
          <w:p w14:paraId="71319455"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World Bank</w:t>
            </w:r>
          </w:p>
        </w:tc>
      </w:tr>
      <w:tr w:rsidR="006318EA" w:rsidRPr="006318EA" w14:paraId="0E1B11D8" w14:textId="77777777" w:rsidTr="006318EA">
        <w:trPr>
          <w:trHeight w:val="552"/>
        </w:trPr>
        <w:tc>
          <w:tcPr>
            <w:tcW w:w="2460" w:type="dxa"/>
            <w:tcBorders>
              <w:top w:val="nil"/>
              <w:left w:val="nil"/>
              <w:bottom w:val="nil"/>
              <w:right w:val="nil"/>
            </w:tcBorders>
            <w:shd w:val="clear" w:color="auto" w:fill="auto"/>
            <w:hideMark/>
          </w:tcPr>
          <w:p w14:paraId="29B4AAE1"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Global Value Chains share</w:t>
            </w:r>
          </w:p>
        </w:tc>
        <w:tc>
          <w:tcPr>
            <w:tcW w:w="4860" w:type="dxa"/>
            <w:tcBorders>
              <w:top w:val="nil"/>
              <w:left w:val="nil"/>
              <w:bottom w:val="nil"/>
              <w:right w:val="nil"/>
            </w:tcBorders>
            <w:shd w:val="clear" w:color="auto" w:fill="auto"/>
            <w:hideMark/>
          </w:tcPr>
          <w:p w14:paraId="130C4E43" w14:textId="77777777" w:rsidR="006318EA" w:rsidRPr="000A71C6" w:rsidRDefault="006318EA" w:rsidP="006318EA">
            <w:pPr>
              <w:spacing w:after="0" w:line="240" w:lineRule="auto"/>
              <w:jc w:val="both"/>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Continuous variable. It measures the share of GVC exports of gross exports.</w:t>
            </w:r>
          </w:p>
        </w:tc>
        <w:tc>
          <w:tcPr>
            <w:tcW w:w="2000" w:type="dxa"/>
            <w:tcBorders>
              <w:top w:val="nil"/>
              <w:left w:val="nil"/>
              <w:bottom w:val="nil"/>
              <w:right w:val="nil"/>
            </w:tcBorders>
            <w:shd w:val="clear" w:color="auto" w:fill="auto"/>
            <w:hideMark/>
          </w:tcPr>
          <w:p w14:paraId="5A230F9E"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World Bank</w:t>
            </w:r>
          </w:p>
        </w:tc>
      </w:tr>
      <w:tr w:rsidR="006318EA" w:rsidRPr="006318EA" w14:paraId="451226BB" w14:textId="77777777" w:rsidTr="000A71C6">
        <w:trPr>
          <w:trHeight w:val="986"/>
        </w:trPr>
        <w:tc>
          <w:tcPr>
            <w:tcW w:w="2460" w:type="dxa"/>
            <w:tcBorders>
              <w:top w:val="nil"/>
              <w:left w:val="nil"/>
              <w:bottom w:val="nil"/>
              <w:right w:val="nil"/>
            </w:tcBorders>
            <w:shd w:val="clear" w:color="auto" w:fill="auto"/>
            <w:hideMark/>
          </w:tcPr>
          <w:p w14:paraId="3F883F18" w14:textId="77777777" w:rsidR="006318EA" w:rsidRPr="000A71C6" w:rsidRDefault="006318EA" w:rsidP="006318EA">
            <w:pPr>
              <w:spacing w:after="0" w:line="240" w:lineRule="auto"/>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Access - Account at a formal fin. inst. (%, age 15+)</w:t>
            </w:r>
          </w:p>
        </w:tc>
        <w:tc>
          <w:tcPr>
            <w:tcW w:w="4860" w:type="dxa"/>
            <w:tcBorders>
              <w:top w:val="nil"/>
              <w:left w:val="nil"/>
              <w:bottom w:val="nil"/>
              <w:right w:val="nil"/>
            </w:tcBorders>
            <w:shd w:val="clear" w:color="auto" w:fill="auto"/>
            <w:hideMark/>
          </w:tcPr>
          <w:p w14:paraId="68E95B53" w14:textId="77777777" w:rsidR="006318EA" w:rsidRPr="000A71C6" w:rsidRDefault="006318EA" w:rsidP="006318EA">
            <w:pPr>
              <w:spacing w:after="0" w:line="240" w:lineRule="auto"/>
              <w:jc w:val="both"/>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val="en-US" w:eastAsia="pl-PL"/>
              </w:rPr>
              <w:t xml:space="preserve">Continuous variable. It represents the percentage of adults with an account at a bank, credit union, another financial institution, or the post office. </w:t>
            </w:r>
            <w:r w:rsidRPr="000A71C6">
              <w:rPr>
                <w:rFonts w:ascii="Cambria" w:eastAsia="Times New Roman" w:hAnsi="Cambria" w:cs="Calibri"/>
                <w:color w:val="000000"/>
                <w:sz w:val="18"/>
                <w:szCs w:val="18"/>
                <w:lang w:eastAsia="pl-PL"/>
              </w:rPr>
              <w:t>It includes adults having a debit card.</w:t>
            </w:r>
          </w:p>
        </w:tc>
        <w:tc>
          <w:tcPr>
            <w:tcW w:w="2000" w:type="dxa"/>
            <w:tcBorders>
              <w:top w:val="nil"/>
              <w:left w:val="nil"/>
              <w:bottom w:val="nil"/>
              <w:right w:val="nil"/>
            </w:tcBorders>
            <w:shd w:val="clear" w:color="auto" w:fill="auto"/>
            <w:hideMark/>
          </w:tcPr>
          <w:p w14:paraId="5B6176A9"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World Bank GFDR</w:t>
            </w:r>
            <w:r w:rsidRPr="000A71C6">
              <w:rPr>
                <w:rFonts w:ascii="Cambria" w:eastAsia="Times New Roman" w:hAnsi="Cambria" w:cs="Calibri"/>
                <w:color w:val="000000"/>
                <w:sz w:val="18"/>
                <w:szCs w:val="18"/>
                <w:vertAlign w:val="superscript"/>
                <w:lang w:eastAsia="pl-PL"/>
              </w:rPr>
              <w:t>&amp;</w:t>
            </w:r>
          </w:p>
        </w:tc>
      </w:tr>
      <w:tr w:rsidR="006318EA" w:rsidRPr="006318EA" w14:paraId="6CA95F1A" w14:textId="77777777" w:rsidTr="000A71C6">
        <w:trPr>
          <w:trHeight w:val="1030"/>
        </w:trPr>
        <w:tc>
          <w:tcPr>
            <w:tcW w:w="2460" w:type="dxa"/>
            <w:tcBorders>
              <w:top w:val="nil"/>
              <w:left w:val="nil"/>
              <w:bottom w:val="nil"/>
              <w:right w:val="nil"/>
            </w:tcBorders>
            <w:shd w:val="clear" w:color="auto" w:fill="auto"/>
            <w:hideMark/>
          </w:tcPr>
          <w:p w14:paraId="6464BF01" w14:textId="77777777" w:rsidR="006318EA" w:rsidRPr="000A71C6" w:rsidRDefault="006318EA" w:rsidP="006318EA">
            <w:pPr>
              <w:spacing w:after="0" w:line="240" w:lineRule="auto"/>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Stability - Fin. institutions - Bank Z score</w:t>
            </w:r>
          </w:p>
        </w:tc>
        <w:tc>
          <w:tcPr>
            <w:tcW w:w="4860" w:type="dxa"/>
            <w:tcBorders>
              <w:top w:val="nil"/>
              <w:left w:val="nil"/>
              <w:bottom w:val="nil"/>
              <w:right w:val="nil"/>
            </w:tcBorders>
            <w:shd w:val="clear" w:color="auto" w:fill="auto"/>
            <w:hideMark/>
          </w:tcPr>
          <w:p w14:paraId="080078DC" w14:textId="52EB6DA7" w:rsidR="006318EA" w:rsidRPr="000A71C6" w:rsidRDefault="006318EA" w:rsidP="006318EA">
            <w:pPr>
              <w:spacing w:after="0" w:line="240" w:lineRule="auto"/>
              <w:jc w:val="both"/>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Continuous variable. It is a sum of return on assets and ratio of equity and assets. The sum is divided by the standard deviation of return on assets. The variable approximates the probability that an economy’s</w:t>
            </w:r>
            <w:r w:rsidR="008D18A5">
              <w:rPr>
                <w:rFonts w:ascii="Cambria" w:eastAsia="Times New Roman" w:hAnsi="Cambria" w:cs="Calibri"/>
                <w:color w:val="000000"/>
                <w:sz w:val="18"/>
                <w:szCs w:val="18"/>
                <w:lang w:val="en-US" w:eastAsia="pl-PL"/>
              </w:rPr>
              <w:t xml:space="preserve"> </w:t>
            </w:r>
            <w:r w:rsidRPr="000A71C6">
              <w:rPr>
                <w:rFonts w:ascii="Cambria" w:eastAsia="Times New Roman" w:hAnsi="Cambria" w:cs="Calibri"/>
                <w:color w:val="000000"/>
                <w:sz w:val="18"/>
                <w:szCs w:val="18"/>
                <w:lang w:val="en-US" w:eastAsia="pl-PL"/>
              </w:rPr>
              <w:t>banking system defaults.</w:t>
            </w:r>
          </w:p>
        </w:tc>
        <w:tc>
          <w:tcPr>
            <w:tcW w:w="2000" w:type="dxa"/>
            <w:tcBorders>
              <w:top w:val="nil"/>
              <w:left w:val="nil"/>
              <w:bottom w:val="nil"/>
              <w:right w:val="nil"/>
            </w:tcBorders>
            <w:shd w:val="clear" w:color="auto" w:fill="auto"/>
            <w:hideMark/>
          </w:tcPr>
          <w:p w14:paraId="15294E31"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World Bank GFDR</w:t>
            </w:r>
            <w:r w:rsidRPr="000A71C6">
              <w:rPr>
                <w:rFonts w:ascii="Cambria" w:eastAsia="Times New Roman" w:hAnsi="Cambria" w:cs="Calibri"/>
                <w:color w:val="000000"/>
                <w:sz w:val="18"/>
                <w:szCs w:val="18"/>
                <w:vertAlign w:val="superscript"/>
                <w:lang w:eastAsia="pl-PL"/>
              </w:rPr>
              <w:t>&amp;</w:t>
            </w:r>
          </w:p>
        </w:tc>
      </w:tr>
      <w:tr w:rsidR="006318EA" w:rsidRPr="006318EA" w14:paraId="1F2E4EDB" w14:textId="77777777" w:rsidTr="006318EA">
        <w:trPr>
          <w:trHeight w:val="828"/>
        </w:trPr>
        <w:tc>
          <w:tcPr>
            <w:tcW w:w="2460" w:type="dxa"/>
            <w:tcBorders>
              <w:top w:val="nil"/>
              <w:left w:val="nil"/>
              <w:bottom w:val="nil"/>
              <w:right w:val="nil"/>
            </w:tcBorders>
            <w:shd w:val="clear" w:color="auto" w:fill="auto"/>
            <w:hideMark/>
          </w:tcPr>
          <w:p w14:paraId="38B25637" w14:textId="77777777" w:rsidR="006318EA" w:rsidRPr="000A71C6" w:rsidRDefault="006318EA" w:rsidP="006318EA">
            <w:pPr>
              <w:spacing w:after="0" w:line="240" w:lineRule="auto"/>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Depth - Stock market capitalization to GDP (%)</w:t>
            </w:r>
          </w:p>
        </w:tc>
        <w:tc>
          <w:tcPr>
            <w:tcW w:w="4860" w:type="dxa"/>
            <w:tcBorders>
              <w:top w:val="nil"/>
              <w:left w:val="nil"/>
              <w:bottom w:val="nil"/>
              <w:right w:val="nil"/>
            </w:tcBorders>
            <w:shd w:val="clear" w:color="auto" w:fill="auto"/>
            <w:hideMark/>
          </w:tcPr>
          <w:p w14:paraId="2CA259DE" w14:textId="77777777" w:rsidR="006318EA" w:rsidRPr="000A71C6" w:rsidRDefault="006318EA" w:rsidP="006318EA">
            <w:pPr>
              <w:spacing w:after="0" w:line="240" w:lineRule="auto"/>
              <w:jc w:val="both"/>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lang w:val="en-US" w:eastAsia="pl-PL"/>
              </w:rPr>
              <w:t>Continuous variable. It measures the capitalization of all equity markets as a percentage of GDP.</w:t>
            </w:r>
          </w:p>
        </w:tc>
        <w:tc>
          <w:tcPr>
            <w:tcW w:w="2000" w:type="dxa"/>
            <w:tcBorders>
              <w:top w:val="nil"/>
              <w:left w:val="nil"/>
              <w:bottom w:val="nil"/>
              <w:right w:val="nil"/>
            </w:tcBorders>
            <w:shd w:val="clear" w:color="auto" w:fill="auto"/>
            <w:hideMark/>
          </w:tcPr>
          <w:p w14:paraId="6B5E63FA" w14:textId="77777777" w:rsidR="006318EA" w:rsidRPr="000A71C6" w:rsidRDefault="006318EA" w:rsidP="006318EA">
            <w:pPr>
              <w:spacing w:after="0" w:line="240" w:lineRule="auto"/>
              <w:rPr>
                <w:rFonts w:ascii="Cambria" w:eastAsia="Times New Roman" w:hAnsi="Cambria" w:cs="Calibri"/>
                <w:color w:val="000000"/>
                <w:sz w:val="18"/>
                <w:szCs w:val="18"/>
                <w:lang w:eastAsia="pl-PL"/>
              </w:rPr>
            </w:pPr>
            <w:r w:rsidRPr="000A71C6">
              <w:rPr>
                <w:rFonts w:ascii="Cambria" w:eastAsia="Times New Roman" w:hAnsi="Cambria" w:cs="Calibri"/>
                <w:color w:val="000000"/>
                <w:sz w:val="18"/>
                <w:szCs w:val="18"/>
                <w:lang w:eastAsia="pl-PL"/>
              </w:rPr>
              <w:t>World Bank GFDR</w:t>
            </w:r>
            <w:r w:rsidRPr="000A71C6">
              <w:rPr>
                <w:rFonts w:ascii="Cambria" w:eastAsia="Times New Roman" w:hAnsi="Cambria" w:cs="Calibri"/>
                <w:color w:val="000000"/>
                <w:sz w:val="18"/>
                <w:szCs w:val="18"/>
                <w:vertAlign w:val="superscript"/>
                <w:lang w:eastAsia="pl-PL"/>
              </w:rPr>
              <w:t>&amp;</w:t>
            </w:r>
          </w:p>
        </w:tc>
      </w:tr>
      <w:tr w:rsidR="006318EA" w:rsidRPr="006318EA" w14:paraId="552EE24C" w14:textId="77777777" w:rsidTr="006318EA">
        <w:trPr>
          <w:trHeight w:val="288"/>
        </w:trPr>
        <w:tc>
          <w:tcPr>
            <w:tcW w:w="2460" w:type="dxa"/>
            <w:tcBorders>
              <w:top w:val="nil"/>
              <w:left w:val="nil"/>
              <w:bottom w:val="nil"/>
              <w:right w:val="nil"/>
            </w:tcBorders>
            <w:shd w:val="clear" w:color="auto" w:fill="auto"/>
            <w:vAlign w:val="bottom"/>
            <w:hideMark/>
          </w:tcPr>
          <w:p w14:paraId="4E93E3BA" w14:textId="77777777" w:rsidR="006318EA" w:rsidRPr="006318EA" w:rsidRDefault="006318EA" w:rsidP="006318EA">
            <w:pPr>
              <w:spacing w:after="0" w:line="240" w:lineRule="auto"/>
              <w:rPr>
                <w:rFonts w:ascii="Cambria" w:eastAsia="Times New Roman" w:hAnsi="Cambria" w:cs="Calibri"/>
                <w:color w:val="000000"/>
                <w:sz w:val="20"/>
                <w:szCs w:val="20"/>
                <w:lang w:eastAsia="pl-PL"/>
              </w:rPr>
            </w:pPr>
          </w:p>
        </w:tc>
        <w:tc>
          <w:tcPr>
            <w:tcW w:w="4860" w:type="dxa"/>
            <w:tcBorders>
              <w:top w:val="nil"/>
              <w:left w:val="nil"/>
              <w:bottom w:val="nil"/>
              <w:right w:val="nil"/>
            </w:tcBorders>
            <w:shd w:val="clear" w:color="auto" w:fill="auto"/>
            <w:vAlign w:val="bottom"/>
            <w:hideMark/>
          </w:tcPr>
          <w:p w14:paraId="1A942AF1" w14:textId="77777777" w:rsidR="006318EA" w:rsidRPr="006318EA" w:rsidRDefault="006318EA" w:rsidP="006318EA">
            <w:pPr>
              <w:spacing w:after="0" w:line="240" w:lineRule="auto"/>
              <w:rPr>
                <w:rFonts w:ascii="Times New Roman" w:eastAsia="Times New Roman" w:hAnsi="Times New Roman" w:cs="Times New Roman"/>
                <w:sz w:val="20"/>
                <w:szCs w:val="20"/>
                <w:lang w:eastAsia="pl-PL"/>
              </w:rPr>
            </w:pPr>
          </w:p>
        </w:tc>
        <w:tc>
          <w:tcPr>
            <w:tcW w:w="2000" w:type="dxa"/>
            <w:tcBorders>
              <w:top w:val="nil"/>
              <w:left w:val="nil"/>
              <w:bottom w:val="nil"/>
              <w:right w:val="nil"/>
            </w:tcBorders>
            <w:shd w:val="clear" w:color="auto" w:fill="auto"/>
            <w:noWrap/>
            <w:vAlign w:val="bottom"/>
            <w:hideMark/>
          </w:tcPr>
          <w:p w14:paraId="41402742" w14:textId="77777777" w:rsidR="006318EA" w:rsidRPr="006318EA" w:rsidRDefault="006318EA" w:rsidP="006318EA">
            <w:pPr>
              <w:spacing w:after="0" w:line="240" w:lineRule="auto"/>
              <w:rPr>
                <w:rFonts w:ascii="Times New Roman" w:eastAsia="Times New Roman" w:hAnsi="Times New Roman" w:cs="Times New Roman"/>
                <w:sz w:val="20"/>
                <w:szCs w:val="20"/>
                <w:lang w:eastAsia="pl-PL"/>
              </w:rPr>
            </w:pPr>
          </w:p>
        </w:tc>
      </w:tr>
      <w:tr w:rsidR="006318EA" w:rsidRPr="00181F3B" w14:paraId="288CA97C" w14:textId="77777777" w:rsidTr="006318EA">
        <w:trPr>
          <w:trHeight w:val="288"/>
        </w:trPr>
        <w:tc>
          <w:tcPr>
            <w:tcW w:w="9320" w:type="dxa"/>
            <w:gridSpan w:val="3"/>
            <w:tcBorders>
              <w:top w:val="nil"/>
              <w:left w:val="nil"/>
              <w:bottom w:val="nil"/>
              <w:right w:val="nil"/>
            </w:tcBorders>
            <w:shd w:val="clear" w:color="auto" w:fill="auto"/>
            <w:vAlign w:val="bottom"/>
            <w:hideMark/>
          </w:tcPr>
          <w:p w14:paraId="02AC56DA" w14:textId="77777777" w:rsidR="006318EA" w:rsidRPr="000A71C6" w:rsidRDefault="006318EA" w:rsidP="006318EA">
            <w:pPr>
              <w:spacing w:after="0" w:line="240" w:lineRule="auto"/>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vertAlign w:val="superscript"/>
                <w:lang w:val="en-US" w:eastAsia="pl-PL"/>
              </w:rPr>
              <w:t>#</w:t>
            </w:r>
            <w:r w:rsidRPr="000A71C6">
              <w:rPr>
                <w:rFonts w:ascii="Cambria" w:eastAsia="Times New Roman" w:hAnsi="Cambria" w:cs="Calibri"/>
                <w:color w:val="000000"/>
                <w:sz w:val="18"/>
                <w:szCs w:val="18"/>
                <w:lang w:val="en-US" w:eastAsia="pl-PL"/>
              </w:rPr>
              <w:t xml:space="preserve"> Data on GDP from the World Bank were supplemented with excess mortality published by the World Health Organisation.</w:t>
            </w:r>
          </w:p>
        </w:tc>
      </w:tr>
      <w:tr w:rsidR="006318EA" w:rsidRPr="00181F3B" w14:paraId="65435E3A" w14:textId="77777777" w:rsidTr="006318EA">
        <w:trPr>
          <w:trHeight w:val="288"/>
        </w:trPr>
        <w:tc>
          <w:tcPr>
            <w:tcW w:w="9320" w:type="dxa"/>
            <w:gridSpan w:val="3"/>
            <w:tcBorders>
              <w:top w:val="nil"/>
              <w:left w:val="nil"/>
              <w:bottom w:val="nil"/>
              <w:right w:val="nil"/>
            </w:tcBorders>
            <w:shd w:val="clear" w:color="auto" w:fill="auto"/>
            <w:noWrap/>
            <w:vAlign w:val="bottom"/>
            <w:hideMark/>
          </w:tcPr>
          <w:p w14:paraId="374ECE0B" w14:textId="77777777" w:rsidR="006318EA" w:rsidRPr="000A71C6" w:rsidRDefault="006318EA" w:rsidP="006318EA">
            <w:pPr>
              <w:spacing w:after="0" w:line="240" w:lineRule="auto"/>
              <w:rPr>
                <w:rFonts w:ascii="Cambria" w:eastAsia="Times New Roman" w:hAnsi="Cambria" w:cs="Calibri"/>
                <w:color w:val="000000"/>
                <w:sz w:val="18"/>
                <w:szCs w:val="18"/>
                <w:lang w:val="en-US" w:eastAsia="pl-PL"/>
              </w:rPr>
            </w:pPr>
            <w:r w:rsidRPr="000A71C6">
              <w:rPr>
                <w:rFonts w:ascii="Cambria" w:eastAsia="Times New Roman" w:hAnsi="Cambria" w:cs="Calibri"/>
                <w:color w:val="000000"/>
                <w:sz w:val="18"/>
                <w:szCs w:val="18"/>
                <w:vertAlign w:val="superscript"/>
                <w:lang w:val="en-US" w:eastAsia="pl-PL"/>
              </w:rPr>
              <w:t>&amp;</w:t>
            </w:r>
            <w:r w:rsidRPr="000A71C6">
              <w:rPr>
                <w:rFonts w:ascii="Cambria" w:eastAsia="Times New Roman" w:hAnsi="Cambria" w:cs="Calibri"/>
                <w:color w:val="000000"/>
                <w:sz w:val="18"/>
                <w:szCs w:val="18"/>
                <w:lang w:val="en-US" w:eastAsia="pl-PL"/>
              </w:rPr>
              <w:t xml:space="preserve"> GFDR stands for Global Fiscal Development Report published by the World Bank.</w:t>
            </w:r>
          </w:p>
        </w:tc>
      </w:tr>
    </w:tbl>
    <w:p w14:paraId="68541815" w14:textId="77777777" w:rsidR="00C66621" w:rsidRDefault="00C66621" w:rsidP="00C66621">
      <w:pPr>
        <w:rPr>
          <w:lang w:val="en-US"/>
        </w:rPr>
      </w:pPr>
    </w:p>
    <w:p w14:paraId="1383BF82" w14:textId="77777777" w:rsidR="00C66621" w:rsidRDefault="00C66621">
      <w:pPr>
        <w:spacing w:after="0" w:line="240" w:lineRule="auto"/>
        <w:rPr>
          <w:lang w:val="en-US"/>
        </w:rPr>
        <w:sectPr w:rsidR="00C66621" w:rsidSect="008F3186">
          <w:headerReference w:type="even" r:id="rId8"/>
          <w:headerReference w:type="default" r:id="rId9"/>
          <w:footerReference w:type="even" r:id="rId10"/>
          <w:footerReference w:type="default" r:id="rId11"/>
          <w:headerReference w:type="first" r:id="rId12"/>
          <w:footerReference w:type="first" r:id="rId13"/>
          <w:pgSz w:w="11900" w:h="16840"/>
          <w:pgMar w:top="1418" w:right="1418" w:bottom="1418" w:left="1418" w:header="709" w:footer="709" w:gutter="0"/>
          <w:cols w:space="708"/>
          <w:docGrid w:linePitch="360"/>
        </w:sectPr>
      </w:pPr>
    </w:p>
    <w:p w14:paraId="2516FD6C" w14:textId="6BBEB39E" w:rsidR="00F32FFE" w:rsidRPr="007D3F4D" w:rsidRDefault="00F32FFE" w:rsidP="00F32FFE">
      <w:pPr>
        <w:spacing w:after="0" w:line="276" w:lineRule="auto"/>
        <w:jc w:val="both"/>
        <w:rPr>
          <w:rFonts w:ascii="Cambria" w:eastAsia="Arial" w:hAnsi="Cambria" w:cs="Arial"/>
          <w:iCs/>
          <w:lang w:val="en-US" w:eastAsia="pl-PL"/>
        </w:rPr>
      </w:pPr>
      <w:bookmarkStart w:id="1" w:name="_Hlk161701463"/>
      <w:r w:rsidRPr="007D3F4D">
        <w:rPr>
          <w:rFonts w:ascii="Cambria" w:eastAsia="Arial" w:hAnsi="Cambria" w:cs="Arial"/>
          <w:iCs/>
          <w:sz w:val="20"/>
          <w:szCs w:val="20"/>
          <w:lang w:val="en-US" w:eastAsia="pl-PL"/>
        </w:rPr>
        <w:lastRenderedPageBreak/>
        <w:t>Table A</w:t>
      </w:r>
      <w:r w:rsidR="006318EA">
        <w:rPr>
          <w:rFonts w:ascii="Cambria" w:eastAsia="Arial" w:hAnsi="Cambria" w:cs="Arial"/>
          <w:iCs/>
          <w:sz w:val="20"/>
          <w:szCs w:val="20"/>
          <w:lang w:val="en-US" w:eastAsia="pl-PL"/>
        </w:rPr>
        <w:t>2</w:t>
      </w:r>
      <w:r w:rsidRPr="007D3F4D">
        <w:rPr>
          <w:rFonts w:ascii="Cambria" w:eastAsia="Arial" w:hAnsi="Cambria" w:cs="Arial"/>
          <w:iCs/>
          <w:sz w:val="20"/>
          <w:szCs w:val="20"/>
          <w:lang w:val="en-US" w:eastAsia="pl-PL"/>
        </w:rPr>
        <w:t xml:space="preserve">. </w:t>
      </w:r>
      <w:r w:rsidRPr="007D3F4D">
        <w:rPr>
          <w:rFonts w:ascii="Cambria" w:eastAsia="Arial" w:hAnsi="Cambria" w:cs="Arial"/>
          <w:color w:val="000000"/>
          <w:kern w:val="2"/>
          <w:sz w:val="20"/>
          <w:szCs w:val="20"/>
          <w:lang w:val="en-GB" w:eastAsia="pl-PL"/>
          <w14:ligatures w14:val="standardContextual"/>
        </w:rPr>
        <w:t>Models for misery</w:t>
      </w:r>
      <w:r w:rsidRPr="007D3F4D">
        <w:rPr>
          <w:rFonts w:ascii="Cambria" w:eastAsia="Arial" w:hAnsi="Cambria" w:cs="Arial"/>
          <w:color w:val="000000"/>
          <w:kern w:val="2"/>
          <w:sz w:val="20"/>
          <w:lang w:val="en-GB" w:eastAsia="pl-PL"/>
          <w14:ligatures w14:val="standardContextual"/>
        </w:rPr>
        <w:t xml:space="preserve"> index based on standardized excess mortality and standardized GDP growth rate</w:t>
      </w:r>
    </w:p>
    <w:bookmarkEnd w:id="1"/>
    <w:p w14:paraId="7E04EDE0"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w:t>
      </w:r>
    </w:p>
    <w:p w14:paraId="1E269BD2"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                                        (1)            (2)             (3)             (4)             (5)             (6)             (7)    </w:t>
      </w:r>
    </w:p>
    <w:p w14:paraId="4A347B10"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                                       b/se            b/se            b/se            b/se            b/se            b/se            b/se   </w:t>
      </w:r>
    </w:p>
    <w:p w14:paraId="5A62025B"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w:t>
      </w:r>
    </w:p>
    <w:p w14:paraId="7D014C53"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GDP per capita USD'000               -0.013                          -0.021**        -0.017*         -0.110*          0.135          -0.012   </w:t>
      </w:r>
    </w:p>
    <w:p w14:paraId="35DA023E"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                                     (0.01)                          (0.01)          (0.01)          (0.06)          (0.09)          (0.01)   </w:t>
      </w:r>
    </w:p>
    <w:p w14:paraId="0794C231"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Urban population                      0.027***        0.025***        0.026***        0.027***        0.301***        0.022*          0.022***</w:t>
      </w:r>
    </w:p>
    <w:p w14:paraId="70EA9815"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                                     (0.01)          (0.01)          (0.01)          (0.01)          (0.05)          (0.01)          (0.01)   </w:t>
      </w:r>
    </w:p>
    <w:p w14:paraId="72D94600"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Population density                    0.000                                                           0.002***       -0.001           0.000***</w:t>
      </w:r>
    </w:p>
    <w:p w14:paraId="145F6F41"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                                     (0.00)                                                          (0.00)          (0.00)          (0.00)   </w:t>
      </w:r>
    </w:p>
    <w:p w14:paraId="2C3BD0D4"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Additional spending or               -0.042                          -0.036          -0.029          -0.536*         -0.064                   </w:t>
      </w:r>
    </w:p>
    <w:p w14:paraId="0DC7220C"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   foregone revenues                 (0.04)                          (0.03)          (0.03)          (0.29)          (0.07)                   </w:t>
      </w:r>
    </w:p>
    <w:p w14:paraId="2B71CF59"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Liquidity support                     0.053***        0.042**         0.043**         0.045**                                                 </w:t>
      </w:r>
    </w:p>
    <w:p w14:paraId="482C4A85"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                                     (0.02)          (0.02)          (0.02)          (0.02)                                                   </w:t>
      </w:r>
    </w:p>
    <w:p w14:paraId="6633AB34"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Ideology                             -0.142          -0.186*         -0.207*         -0.218**                         0.018          -0.213*  </w:t>
      </w:r>
    </w:p>
    <w:p w14:paraId="673BD064"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                                     (0.12)          (0.10)          (0.11)          (0.11)                          (0.17)          (0.11)   </w:t>
      </w:r>
    </w:p>
    <w:p w14:paraId="7CB678BF"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Executive respects constitution      -0.075                                                                                                   </w:t>
      </w:r>
    </w:p>
    <w:p w14:paraId="7F433137"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                                     (0.23)                                                                                                   </w:t>
      </w:r>
    </w:p>
    <w:p w14:paraId="4FC418AB"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Relative power of the HOS            -0.006                                                                                                   </w:t>
      </w:r>
    </w:p>
    <w:p w14:paraId="30F3448B"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                                     (0.31)                                                                                                   </w:t>
      </w:r>
    </w:p>
    <w:p w14:paraId="7F995BF6"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Transparent laws with                -0.145                                                                                                   </w:t>
      </w:r>
    </w:p>
    <w:p w14:paraId="3969F9E8"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   predictable enforcement           (0.19)                                                                                                   </w:t>
      </w:r>
    </w:p>
    <w:p w14:paraId="31A517C4"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Rigorous and impartial                0.025                                                                                          -0.216   </w:t>
      </w:r>
    </w:p>
    <w:p w14:paraId="258D95EB"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   Public administration             (0.18)                                                                                          (0.15)   </w:t>
      </w:r>
    </w:p>
    <w:p w14:paraId="43BD186F"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Government attacks on judiciary      -0.212*         -0.162*         -0.249**        -0.225**        -2.219***       -0.301**        -0.160   </w:t>
      </w:r>
    </w:p>
    <w:p w14:paraId="485F3FC7"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                                     (0.11)          (0.09)          (0.10)          (0.10)          (0.74)          (0.15)          (0.10)   </w:t>
      </w:r>
    </w:p>
    <w:p w14:paraId="091E8CE3"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High court independence               0.178                                                                                                   </w:t>
      </w:r>
    </w:p>
    <w:p w14:paraId="740FA0E6"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                                     (0.18)                                                                                                   </w:t>
      </w:r>
    </w:p>
    <w:p w14:paraId="169C9FDA"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Compliance with high court            0.169                                                                                                   </w:t>
      </w:r>
    </w:p>
    <w:p w14:paraId="11AD3142"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                                     (0.19)                                                                                                   </w:t>
      </w:r>
    </w:p>
    <w:p w14:paraId="3C477A42"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Populism Index                       -0.730                          -0.562          -0.509                          -0.966                   </w:t>
      </w:r>
    </w:p>
    <w:p w14:paraId="1D2A022E"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                                     (0.54)                          (0.51)          (0.50)                          (0.62)                   </w:t>
      </w:r>
    </w:p>
    <w:p w14:paraId="6FA26E22"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WGI Rule of law                      -0.365          -0.537***                                                                                </w:t>
      </w:r>
    </w:p>
    <w:p w14:paraId="4567FCDF"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                                     (0.35)          (0.17)                                                                                   </w:t>
      </w:r>
    </w:p>
    <w:p w14:paraId="415CCDDB"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WGI Gov Effectiveness                                                 0.015                                                                   </w:t>
      </w:r>
    </w:p>
    <w:p w14:paraId="2052120B"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                                                                     (0.26)                                                                   </w:t>
      </w:r>
    </w:p>
    <w:p w14:paraId="078AEE6A"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WGI Ctrl Corruption                                                                  -0.158                                                   </w:t>
      </w:r>
    </w:p>
    <w:p w14:paraId="77E917BF"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                                                                                     (0.22)                                                   </w:t>
      </w:r>
    </w:p>
    <w:p w14:paraId="4440DFEA"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Constant                             -0.831          -1.273***       -0.643          -0.833          -2.217          -0.625          -0.525   </w:t>
      </w:r>
    </w:p>
    <w:p w14:paraId="07DAF2A5"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                                     (0.54)          (0.41)          (0.52)          (0.51)          (2.95)          (0.66)          (0.46)   </w:t>
      </w:r>
    </w:p>
    <w:p w14:paraId="759B6739"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w:t>
      </w:r>
    </w:p>
    <w:p w14:paraId="65D3FA41"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F                                     2.740           6.139           4.565           4.656           9.490           5.099           3.788   </w:t>
      </w:r>
    </w:p>
    <w:p w14:paraId="103475E5"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R2                                    0.363           0.265           0.316           0.320           0.257           0.389           0.245   </w:t>
      </w:r>
    </w:p>
    <w:p w14:paraId="479B8358"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Adjusted R2                           0.231           0.222           0.247           0.252           0.230           0.313           0.180   </w:t>
      </w:r>
    </w:p>
    <w:p w14:paraId="340AA6CE"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xml:space="preserve">N                                    88.000          91.000          88.000          88.000         143.000          64.000          77.000   </w:t>
      </w:r>
    </w:p>
    <w:p w14:paraId="17ADEC87"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w:t>
      </w:r>
    </w:p>
    <w:p w14:paraId="0657B9A8" w14:textId="77777777" w:rsidR="00F32FFE" w:rsidRPr="007D3F4D" w:rsidRDefault="00F32FFE" w:rsidP="007D3F4D">
      <w:pPr>
        <w:pStyle w:val="NoSpacing"/>
        <w:rPr>
          <w:rFonts w:ascii="Courier New" w:hAnsi="Courier New" w:cs="Courier New"/>
          <w:sz w:val="16"/>
          <w:szCs w:val="16"/>
          <w:lang w:val="en-US" w:eastAsia="pl-PL"/>
        </w:rPr>
      </w:pPr>
      <w:r w:rsidRPr="007D3F4D">
        <w:rPr>
          <w:rFonts w:ascii="Courier New" w:hAnsi="Courier New" w:cs="Courier New"/>
          <w:sz w:val="16"/>
          <w:szCs w:val="16"/>
          <w:lang w:val="en-US" w:eastAsia="pl-PL"/>
        </w:rPr>
        <w:t>* p&lt;0.10, ** p&lt;0.05, *** p&lt;0.010</w:t>
      </w:r>
    </w:p>
    <w:p w14:paraId="0A34BC73" w14:textId="77777777" w:rsidR="009A126B" w:rsidRDefault="009A126B" w:rsidP="009A126B">
      <w:pPr>
        <w:rPr>
          <w:lang w:val="en-US"/>
        </w:rPr>
      </w:pPr>
    </w:p>
    <w:p w14:paraId="20F0EF2F" w14:textId="1B811B9C" w:rsidR="00F32FFE" w:rsidRPr="007D3F4D" w:rsidRDefault="00F32FFE" w:rsidP="007D3F4D">
      <w:pPr>
        <w:spacing w:after="0" w:line="276" w:lineRule="auto"/>
        <w:jc w:val="both"/>
        <w:rPr>
          <w:rFonts w:ascii="Cambria" w:eastAsia="Arial" w:hAnsi="Cambria" w:cs="Arial"/>
          <w:iCs/>
          <w:sz w:val="20"/>
          <w:szCs w:val="20"/>
          <w:lang w:val="en-US" w:eastAsia="pl-PL"/>
        </w:rPr>
      </w:pPr>
      <w:r w:rsidRPr="007D3F4D">
        <w:rPr>
          <w:rFonts w:ascii="Cambria" w:eastAsia="Arial" w:hAnsi="Cambria" w:cs="Arial"/>
          <w:iCs/>
          <w:sz w:val="20"/>
          <w:szCs w:val="20"/>
          <w:lang w:val="en-US" w:eastAsia="pl-PL"/>
        </w:rPr>
        <w:lastRenderedPageBreak/>
        <w:t xml:space="preserve">Table </w:t>
      </w:r>
      <w:r w:rsidR="009466A7" w:rsidRPr="007D3F4D">
        <w:rPr>
          <w:rFonts w:ascii="Cambria" w:eastAsia="Arial" w:hAnsi="Cambria" w:cs="Arial"/>
          <w:iCs/>
          <w:sz w:val="20"/>
          <w:szCs w:val="20"/>
          <w:lang w:val="en-US" w:eastAsia="pl-PL"/>
        </w:rPr>
        <w:t>A</w:t>
      </w:r>
      <w:r w:rsidR="009466A7">
        <w:rPr>
          <w:rFonts w:ascii="Cambria" w:eastAsia="Arial" w:hAnsi="Cambria" w:cs="Arial"/>
          <w:iCs/>
          <w:sz w:val="20"/>
          <w:szCs w:val="20"/>
          <w:lang w:val="en-US" w:eastAsia="pl-PL"/>
        </w:rPr>
        <w:t>3</w:t>
      </w:r>
      <w:r w:rsidRPr="007D3F4D">
        <w:rPr>
          <w:rFonts w:ascii="Cambria" w:eastAsia="Arial" w:hAnsi="Cambria" w:cs="Arial"/>
          <w:iCs/>
          <w:sz w:val="20"/>
          <w:szCs w:val="20"/>
          <w:lang w:val="en-US" w:eastAsia="pl-PL"/>
        </w:rPr>
        <w:t>. Models for misery index based on standardized excess mortality and standardized GDP unemployment rate</w:t>
      </w:r>
    </w:p>
    <w:p w14:paraId="5614ABD9"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w:t>
      </w:r>
    </w:p>
    <w:p w14:paraId="72119280"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 xml:space="preserve">                                        (1)             (2)             (3)             (4)             (5)             (6)             (7)   </w:t>
      </w:r>
    </w:p>
    <w:p w14:paraId="272E1D35"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 xml:space="preserve">                                       b/se            b/se            b/se            b/se            b/se            b/se            b/se   </w:t>
      </w:r>
    </w:p>
    <w:p w14:paraId="2F233287"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w:t>
      </w:r>
    </w:p>
    <w:p w14:paraId="74562853"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 xml:space="preserve">GDP per capita USD'000                0.005           0.007           0.008*          0.003           0.044           0.039           0.011   </w:t>
      </w:r>
    </w:p>
    <w:p w14:paraId="2855FCB4"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 xml:space="preserve">                                    (0.010)         (0.005)         (0.004)         (0.003)         (0.029)         (0.028)         (0.020)   </w:t>
      </w:r>
    </w:p>
    <w:p w14:paraId="05CC454F"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 xml:space="preserve">Urban population                      0.015**         0.006*                                          0.008           0.005          -0.006   </w:t>
      </w:r>
    </w:p>
    <w:p w14:paraId="088B98DB"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 xml:space="preserve">                                    (0.007)         (0.003)                                         (0.019)         (0.019)         (0.016)   </w:t>
      </w:r>
    </w:p>
    <w:p w14:paraId="6E73C307" w14:textId="3C32241D" w:rsidR="00F32FFE" w:rsidRPr="007D3F4D" w:rsidRDefault="003D56AF" w:rsidP="007D3F4D">
      <w:pPr>
        <w:pStyle w:val="NoSpacing"/>
        <w:rPr>
          <w:rFonts w:ascii="Courier New" w:hAnsi="Courier New" w:cs="Courier New"/>
          <w:sz w:val="16"/>
          <w:szCs w:val="16"/>
          <w:lang w:val="en-US"/>
        </w:rPr>
      </w:pPr>
      <w:r>
        <w:rPr>
          <w:rFonts w:ascii="Courier New" w:hAnsi="Courier New" w:cs="Courier New"/>
          <w:sz w:val="16"/>
          <w:szCs w:val="16"/>
          <w:lang w:val="en-US"/>
        </w:rPr>
        <w:t>P</w:t>
      </w:r>
      <w:r w:rsidR="00F32FFE" w:rsidRPr="007D3F4D">
        <w:rPr>
          <w:rFonts w:ascii="Courier New" w:hAnsi="Courier New" w:cs="Courier New"/>
          <w:sz w:val="16"/>
          <w:szCs w:val="16"/>
          <w:lang w:val="en-US"/>
        </w:rPr>
        <w:t>op</w:t>
      </w:r>
      <w:r>
        <w:rPr>
          <w:rFonts w:ascii="Courier New" w:hAnsi="Courier New" w:cs="Courier New"/>
          <w:sz w:val="16"/>
          <w:szCs w:val="16"/>
          <w:lang w:val="en-US"/>
        </w:rPr>
        <w:t xml:space="preserve">ulation </w:t>
      </w:r>
      <w:r w:rsidR="00F32FFE" w:rsidRPr="007D3F4D">
        <w:rPr>
          <w:rFonts w:ascii="Courier New" w:hAnsi="Courier New" w:cs="Courier New"/>
          <w:sz w:val="16"/>
          <w:szCs w:val="16"/>
          <w:lang w:val="en-US"/>
        </w:rPr>
        <w:t xml:space="preserve">density                  </w:t>
      </w:r>
      <w:r>
        <w:rPr>
          <w:rFonts w:ascii="Courier New" w:hAnsi="Courier New" w:cs="Courier New"/>
          <w:sz w:val="16"/>
          <w:szCs w:val="16"/>
          <w:lang w:val="en-US"/>
        </w:rPr>
        <w:t xml:space="preserve"> </w:t>
      </w:r>
      <w:r w:rsidR="00F32FFE" w:rsidRPr="007D3F4D">
        <w:rPr>
          <w:rFonts w:ascii="Courier New" w:hAnsi="Courier New" w:cs="Courier New"/>
          <w:sz w:val="16"/>
          <w:szCs w:val="16"/>
          <w:lang w:val="en-US"/>
        </w:rPr>
        <w:t xml:space="preserve">-0.000           0.000*          0.000*          0.000*         -0.000                                   </w:t>
      </w:r>
    </w:p>
    <w:p w14:paraId="6A0DC998"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 xml:space="preserve">                                    (0.000)         (0.000)         (0.000)         (0.000)         (0.000)                                   </w:t>
      </w:r>
    </w:p>
    <w:p w14:paraId="2DFBB558" w14:textId="4048986E"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 xml:space="preserve">Additional spending or </w:t>
      </w:r>
      <w:r w:rsidR="003D56AF">
        <w:rPr>
          <w:rFonts w:ascii="Courier New" w:hAnsi="Courier New" w:cs="Courier New"/>
          <w:sz w:val="16"/>
          <w:szCs w:val="16"/>
          <w:lang w:val="en-US"/>
        </w:rPr>
        <w:t xml:space="preserve">      </w:t>
      </w:r>
      <w:r w:rsidRPr="007D3F4D">
        <w:rPr>
          <w:rFonts w:ascii="Courier New" w:hAnsi="Courier New" w:cs="Courier New"/>
          <w:sz w:val="16"/>
          <w:szCs w:val="16"/>
          <w:lang w:val="en-US"/>
        </w:rPr>
        <w:t xml:space="preserve">         0.004          -0.023          -0.015          -0.023           0.033           0.014                   </w:t>
      </w:r>
    </w:p>
    <w:p w14:paraId="2C68C4BD" w14:textId="0B632491"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 xml:space="preserve">   </w:t>
      </w:r>
      <w:r w:rsidR="003D56AF">
        <w:rPr>
          <w:rFonts w:ascii="Courier New" w:hAnsi="Courier New" w:cs="Courier New"/>
          <w:sz w:val="16"/>
          <w:szCs w:val="16"/>
          <w:lang w:val="en-US"/>
        </w:rPr>
        <w:t>foregone revenues</w:t>
      </w:r>
      <w:r w:rsidRPr="007D3F4D">
        <w:rPr>
          <w:rFonts w:ascii="Courier New" w:hAnsi="Courier New" w:cs="Courier New"/>
          <w:sz w:val="16"/>
          <w:szCs w:val="16"/>
          <w:lang w:val="en-US"/>
        </w:rPr>
        <w:t xml:space="preserve">                (0.039)         (0.019)         (0.018)         (0.018)         (0.083)         (0.080)                   </w:t>
      </w:r>
    </w:p>
    <w:p w14:paraId="4A506359"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 xml:space="preserve">Ideology                             -0.008           0.080                                          -0.255          -0.275                   </w:t>
      </w:r>
    </w:p>
    <w:p w14:paraId="09001B43"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 xml:space="preserve">                                    (0.107)         (0.051)                                         (0.211)         (0.210)                   </w:t>
      </w:r>
    </w:p>
    <w:p w14:paraId="64228938"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Relative power of the HOS             0.241          -0.233          -0.206          -0.156           1.093           1.210*          1.902***</w:t>
      </w:r>
    </w:p>
    <w:p w14:paraId="1BF705CF"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 xml:space="preserve">                                    (0.297)         (0.143)         (0.136)         (0.133)         (0.674)         (0.661)         (0.503)   </w:t>
      </w:r>
    </w:p>
    <w:p w14:paraId="6EA68F38"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 xml:space="preserve">Populism Index                        0.233           0.044                                           1.153           1.233           1.458   </w:t>
      </w:r>
    </w:p>
    <w:p w14:paraId="06D139F4"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 xml:space="preserve">                                    (0.496)         (0.233)                                         (1.016)         (1.011)         (0.948)   </w:t>
      </w:r>
    </w:p>
    <w:p w14:paraId="23A8FA9E"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 xml:space="preserve">WGI Rule of law                      -0.328          -0.160          -0.161                          -1.101*         -0.974                   </w:t>
      </w:r>
    </w:p>
    <w:p w14:paraId="24A342FC"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 xml:space="preserve">                                    (0.251)         (0.113)         (0.103)                         (0.640)         (0.625)                   </w:t>
      </w:r>
    </w:p>
    <w:p w14:paraId="264D913E"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 xml:space="preserve">Constant                             -0.736          -0.343          -0.088           0.011          -0.373          -0.182           0.736   </w:t>
      </w:r>
    </w:p>
    <w:p w14:paraId="08C9CD3F"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 xml:space="preserve">                                    (0.517)         (0.237)         (0.149)         (0.136)         (1.309)         (1.291)         (0.978)   </w:t>
      </w:r>
    </w:p>
    <w:p w14:paraId="40D39592"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w:t>
      </w:r>
    </w:p>
    <w:p w14:paraId="101DD7E9"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 xml:space="preserve">F                                     1.025           1.723           1.705           1.496           2.410           2.635           4.576   </w:t>
      </w:r>
    </w:p>
    <w:p w14:paraId="63F0BF43"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 xml:space="preserve">R2                                    0.061           0.140           0.084           0.060           0.369           0.352           0.319   </w:t>
      </w:r>
    </w:p>
    <w:p w14:paraId="25E66155"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 xml:space="preserve">Adjusted R2                           0.001           0.059           0.035           0.020           0.216           0.218           0.250   </w:t>
      </w:r>
    </w:p>
    <w:p w14:paraId="1230B440"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 xml:space="preserve">N                                   136.000          94.000          99.000          99.000          42.000          42.000          44.000   </w:t>
      </w:r>
    </w:p>
    <w:p w14:paraId="717FC1D4"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w:t>
      </w:r>
    </w:p>
    <w:p w14:paraId="4D3BE643" w14:textId="77777777" w:rsidR="00F32FFE" w:rsidRPr="007D3F4D" w:rsidRDefault="00F32FFE" w:rsidP="007D3F4D">
      <w:pPr>
        <w:pStyle w:val="NoSpacing"/>
        <w:rPr>
          <w:rFonts w:ascii="Courier New" w:hAnsi="Courier New" w:cs="Courier New"/>
          <w:sz w:val="16"/>
          <w:szCs w:val="16"/>
          <w:lang w:val="en-US"/>
        </w:rPr>
      </w:pPr>
      <w:r w:rsidRPr="007D3F4D">
        <w:rPr>
          <w:rFonts w:ascii="Courier New" w:hAnsi="Courier New" w:cs="Courier New"/>
          <w:sz w:val="16"/>
          <w:szCs w:val="16"/>
          <w:lang w:val="en-US"/>
        </w:rPr>
        <w:t>* p&lt;0.10, ** p&lt;0.05, *** p&lt;0.010</w:t>
      </w:r>
    </w:p>
    <w:p w14:paraId="27E4140B" w14:textId="77777777" w:rsidR="00F32FFE" w:rsidRPr="007D3F4D" w:rsidRDefault="00F32FFE" w:rsidP="007D3F4D">
      <w:pPr>
        <w:rPr>
          <w:lang w:val="en-US"/>
        </w:rPr>
      </w:pPr>
    </w:p>
    <w:sectPr w:rsidR="00F32FFE" w:rsidRPr="007D3F4D" w:rsidSect="008F3186">
      <w:pgSz w:w="16840" w:h="11900"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CA7F97" w14:textId="77777777" w:rsidR="00013043" w:rsidRDefault="00013043">
      <w:pPr>
        <w:spacing w:after="0" w:line="240" w:lineRule="auto"/>
      </w:pPr>
      <w:r>
        <w:separator/>
      </w:r>
    </w:p>
  </w:endnote>
  <w:endnote w:type="continuationSeparator" w:id="0">
    <w:p w14:paraId="44685F10" w14:textId="77777777" w:rsidR="00013043" w:rsidRDefault="0001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atha">
    <w:altName w:val="Leelawadee UI Semilight"/>
    <w:panose1 w:val="02000400000000000000"/>
    <w:charset w:val="01"/>
    <w:family w:val="roman"/>
    <w:notTrueType/>
    <w:pitch w:val="variable"/>
    <w:sig w:usb0="0004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48885819"/>
      <w:docPartObj>
        <w:docPartGallery w:val="Page Numbers (Bottom of Page)"/>
        <w:docPartUnique/>
      </w:docPartObj>
    </w:sdtPr>
    <w:sdtEndPr>
      <w:rPr>
        <w:rStyle w:val="PageNumber"/>
      </w:rPr>
    </w:sdtEndPr>
    <w:sdtContent>
      <w:p w14:paraId="4840EA79" w14:textId="77777777" w:rsidR="009437DA" w:rsidRDefault="009437DA" w:rsidP="00743C0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6FF2C7" w14:textId="77777777" w:rsidR="009437DA" w:rsidRDefault="009437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Fonts w:ascii="Cambria" w:hAnsi="Cambria"/>
      </w:rPr>
      <w:id w:val="1759943667"/>
      <w:docPartObj>
        <w:docPartGallery w:val="Page Numbers (Bottom of Page)"/>
        <w:docPartUnique/>
      </w:docPartObj>
    </w:sdtPr>
    <w:sdtEndPr>
      <w:rPr>
        <w:rStyle w:val="PageNumber"/>
      </w:rPr>
    </w:sdtEndPr>
    <w:sdtContent>
      <w:p w14:paraId="05E7A032" w14:textId="77777777" w:rsidR="009437DA" w:rsidRPr="00E2112A" w:rsidRDefault="009437DA" w:rsidP="00743C00">
        <w:pPr>
          <w:pStyle w:val="Footer"/>
          <w:framePr w:wrap="none" w:vAnchor="text" w:hAnchor="page" w:x="5874" w:yAlign="top"/>
          <w:jc w:val="center"/>
          <w:rPr>
            <w:rStyle w:val="PageNumber"/>
            <w:rFonts w:ascii="Cambria" w:hAnsi="Cambria"/>
          </w:rPr>
        </w:pPr>
        <w:r w:rsidRPr="00E2112A">
          <w:rPr>
            <w:rStyle w:val="PageNumber"/>
            <w:rFonts w:ascii="Cambria" w:hAnsi="Cambria"/>
          </w:rPr>
          <w:fldChar w:fldCharType="begin"/>
        </w:r>
        <w:r w:rsidRPr="00E2112A">
          <w:rPr>
            <w:rStyle w:val="PageNumber"/>
            <w:rFonts w:ascii="Cambria" w:hAnsi="Cambria"/>
          </w:rPr>
          <w:instrText xml:space="preserve"> PAGE </w:instrText>
        </w:r>
        <w:r w:rsidRPr="00E2112A">
          <w:rPr>
            <w:rStyle w:val="PageNumber"/>
            <w:rFonts w:ascii="Cambria" w:hAnsi="Cambria"/>
          </w:rPr>
          <w:fldChar w:fldCharType="separate"/>
        </w:r>
        <w:r w:rsidR="006509E7">
          <w:rPr>
            <w:rStyle w:val="PageNumber"/>
            <w:rFonts w:ascii="Cambria" w:hAnsi="Cambria"/>
            <w:noProof/>
          </w:rPr>
          <w:t>4</w:t>
        </w:r>
        <w:r w:rsidRPr="00E2112A">
          <w:rPr>
            <w:rStyle w:val="PageNumber"/>
            <w:rFonts w:ascii="Cambria" w:hAnsi="Cambria"/>
          </w:rPr>
          <w:fldChar w:fldCharType="end"/>
        </w:r>
      </w:p>
    </w:sdtContent>
  </w:sdt>
  <w:p w14:paraId="21F962A7" w14:textId="77777777" w:rsidR="009437DA" w:rsidRDefault="009437D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F4B18" w14:textId="77777777" w:rsidR="009437DA" w:rsidRDefault="009437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E34A3" w14:textId="77777777" w:rsidR="00013043" w:rsidRDefault="00013043">
      <w:pPr>
        <w:spacing w:after="0" w:line="240" w:lineRule="auto"/>
      </w:pPr>
      <w:r>
        <w:separator/>
      </w:r>
    </w:p>
  </w:footnote>
  <w:footnote w:type="continuationSeparator" w:id="0">
    <w:p w14:paraId="046A6044" w14:textId="77777777" w:rsidR="00013043" w:rsidRDefault="000130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0B21B" w14:textId="77777777" w:rsidR="009437DA" w:rsidRDefault="009437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27FAC" w14:textId="77777777" w:rsidR="009437DA" w:rsidRDefault="009437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87219" w14:textId="77777777" w:rsidR="009437DA" w:rsidRDefault="009437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555D3"/>
    <w:multiLevelType w:val="multilevel"/>
    <w:tmpl w:val="BB14A21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641A1D"/>
    <w:multiLevelType w:val="multilevel"/>
    <w:tmpl w:val="BB14A21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5A28B5"/>
    <w:multiLevelType w:val="multilevel"/>
    <w:tmpl w:val="BB14A21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B97220"/>
    <w:multiLevelType w:val="multilevel"/>
    <w:tmpl w:val="BB14A21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310609"/>
    <w:multiLevelType w:val="multilevel"/>
    <w:tmpl w:val="0415001F"/>
    <w:lvl w:ilvl="0">
      <w:start w:val="1"/>
      <w:numFmt w:val="decimal"/>
      <w:lvlText w:val="%1."/>
      <w:lvlJc w:val="left"/>
      <w:pPr>
        <w:ind w:left="2771"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724095"/>
    <w:multiLevelType w:val="multilevel"/>
    <w:tmpl w:val="191C987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8C464E0"/>
    <w:multiLevelType w:val="multilevel"/>
    <w:tmpl w:val="BB14A21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DCB447B"/>
    <w:multiLevelType w:val="multilevel"/>
    <w:tmpl w:val="D884DF7E"/>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DD24F39"/>
    <w:multiLevelType w:val="multilevel"/>
    <w:tmpl w:val="191C987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440137F"/>
    <w:multiLevelType w:val="multilevel"/>
    <w:tmpl w:val="0415001F"/>
    <w:lvl w:ilvl="0">
      <w:start w:val="1"/>
      <w:numFmt w:val="decimal"/>
      <w:lvlText w:val="%1."/>
      <w:lvlJc w:val="left"/>
      <w:pPr>
        <w:ind w:left="2771"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487244A"/>
    <w:multiLevelType w:val="hybridMultilevel"/>
    <w:tmpl w:val="F44CCBB0"/>
    <w:lvl w:ilvl="0" w:tplc="FA1E0B8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65F006F"/>
    <w:multiLevelType w:val="multilevel"/>
    <w:tmpl w:val="191C987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A0F37AA"/>
    <w:multiLevelType w:val="multilevel"/>
    <w:tmpl w:val="191C987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1B9493D"/>
    <w:multiLevelType w:val="multilevel"/>
    <w:tmpl w:val="191C987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1F114DD"/>
    <w:multiLevelType w:val="multilevel"/>
    <w:tmpl w:val="BB14A21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22D1DD5"/>
    <w:multiLevelType w:val="multilevel"/>
    <w:tmpl w:val="191C987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4DC2B14"/>
    <w:multiLevelType w:val="multilevel"/>
    <w:tmpl w:val="D884DF7E"/>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97A485D"/>
    <w:multiLevelType w:val="multilevel"/>
    <w:tmpl w:val="BB14A21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25E521F"/>
    <w:multiLevelType w:val="multilevel"/>
    <w:tmpl w:val="191C987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A097ED8"/>
    <w:multiLevelType w:val="multilevel"/>
    <w:tmpl w:val="0415001F"/>
    <w:lvl w:ilvl="0">
      <w:start w:val="1"/>
      <w:numFmt w:val="decimal"/>
      <w:lvlText w:val="%1."/>
      <w:lvlJc w:val="left"/>
      <w:pPr>
        <w:ind w:left="2771"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6"/>
  </w:num>
  <w:num w:numId="3">
    <w:abstractNumId w:val="3"/>
  </w:num>
  <w:num w:numId="4">
    <w:abstractNumId w:val="14"/>
  </w:num>
  <w:num w:numId="5">
    <w:abstractNumId w:val="1"/>
  </w:num>
  <w:num w:numId="6">
    <w:abstractNumId w:val="2"/>
  </w:num>
  <w:num w:numId="7">
    <w:abstractNumId w:val="17"/>
  </w:num>
  <w:num w:numId="8">
    <w:abstractNumId w:val="0"/>
  </w:num>
  <w:num w:numId="9">
    <w:abstractNumId w:val="12"/>
  </w:num>
  <w:num w:numId="10">
    <w:abstractNumId w:val="11"/>
  </w:num>
  <w:num w:numId="11">
    <w:abstractNumId w:val="8"/>
  </w:num>
  <w:num w:numId="12">
    <w:abstractNumId w:val="18"/>
  </w:num>
  <w:num w:numId="13">
    <w:abstractNumId w:val="5"/>
  </w:num>
  <w:num w:numId="14">
    <w:abstractNumId w:val="10"/>
  </w:num>
  <w:num w:numId="15">
    <w:abstractNumId w:val="13"/>
  </w:num>
  <w:num w:numId="16">
    <w:abstractNumId w:val="7"/>
  </w:num>
  <w:num w:numId="17">
    <w:abstractNumId w:val="16"/>
  </w:num>
  <w:num w:numId="18">
    <w:abstractNumId w:val="9"/>
  </w:num>
  <w:num w:numId="19">
    <w:abstractNumId w:val="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CC"/>
    <w:rsid w:val="00006C44"/>
    <w:rsid w:val="00011C78"/>
    <w:rsid w:val="00013043"/>
    <w:rsid w:val="000220BB"/>
    <w:rsid w:val="00024337"/>
    <w:rsid w:val="0004308D"/>
    <w:rsid w:val="0004386E"/>
    <w:rsid w:val="000519F4"/>
    <w:rsid w:val="00051AFF"/>
    <w:rsid w:val="000523D9"/>
    <w:rsid w:val="00053F59"/>
    <w:rsid w:val="00065330"/>
    <w:rsid w:val="00071F51"/>
    <w:rsid w:val="000800D2"/>
    <w:rsid w:val="00082A3D"/>
    <w:rsid w:val="00092B99"/>
    <w:rsid w:val="00092C05"/>
    <w:rsid w:val="00092E3A"/>
    <w:rsid w:val="000946CE"/>
    <w:rsid w:val="00094E0B"/>
    <w:rsid w:val="0009797C"/>
    <w:rsid w:val="000A09CF"/>
    <w:rsid w:val="000A1F76"/>
    <w:rsid w:val="000A507F"/>
    <w:rsid w:val="000A71C6"/>
    <w:rsid w:val="000B38A1"/>
    <w:rsid w:val="000B39E5"/>
    <w:rsid w:val="000B3D0B"/>
    <w:rsid w:val="000B640A"/>
    <w:rsid w:val="000B6B1A"/>
    <w:rsid w:val="000C073B"/>
    <w:rsid w:val="000C0864"/>
    <w:rsid w:val="000C5243"/>
    <w:rsid w:val="000D18DC"/>
    <w:rsid w:val="000D5C72"/>
    <w:rsid w:val="000D7985"/>
    <w:rsid w:val="000E016A"/>
    <w:rsid w:val="000E397E"/>
    <w:rsid w:val="000E50F6"/>
    <w:rsid w:val="000F7ABF"/>
    <w:rsid w:val="00101892"/>
    <w:rsid w:val="001049FF"/>
    <w:rsid w:val="00107771"/>
    <w:rsid w:val="00112096"/>
    <w:rsid w:val="001129EA"/>
    <w:rsid w:val="0011321B"/>
    <w:rsid w:val="00120FB4"/>
    <w:rsid w:val="00121707"/>
    <w:rsid w:val="001224CC"/>
    <w:rsid w:val="00127C26"/>
    <w:rsid w:val="00133073"/>
    <w:rsid w:val="00133E82"/>
    <w:rsid w:val="001412B4"/>
    <w:rsid w:val="001434A5"/>
    <w:rsid w:val="00144D27"/>
    <w:rsid w:val="00147C6F"/>
    <w:rsid w:val="00150647"/>
    <w:rsid w:val="00151D8C"/>
    <w:rsid w:val="00153C58"/>
    <w:rsid w:val="00154C53"/>
    <w:rsid w:val="0015578A"/>
    <w:rsid w:val="00156B94"/>
    <w:rsid w:val="00160019"/>
    <w:rsid w:val="001637D5"/>
    <w:rsid w:val="0017159D"/>
    <w:rsid w:val="00181360"/>
    <w:rsid w:val="00181F3B"/>
    <w:rsid w:val="00182DD0"/>
    <w:rsid w:val="00183418"/>
    <w:rsid w:val="0018615A"/>
    <w:rsid w:val="001910B4"/>
    <w:rsid w:val="00192DBA"/>
    <w:rsid w:val="00194ECD"/>
    <w:rsid w:val="0019722D"/>
    <w:rsid w:val="001A3E11"/>
    <w:rsid w:val="001A6830"/>
    <w:rsid w:val="001A7911"/>
    <w:rsid w:val="001B20BB"/>
    <w:rsid w:val="001B2B73"/>
    <w:rsid w:val="001B39EE"/>
    <w:rsid w:val="001B5EF4"/>
    <w:rsid w:val="001D03CC"/>
    <w:rsid w:val="001D1138"/>
    <w:rsid w:val="001D6692"/>
    <w:rsid w:val="001D6A8B"/>
    <w:rsid w:val="001D738D"/>
    <w:rsid w:val="001E10BA"/>
    <w:rsid w:val="001E2AAE"/>
    <w:rsid w:val="001E2FDC"/>
    <w:rsid w:val="001E3285"/>
    <w:rsid w:val="001E6173"/>
    <w:rsid w:val="001F06B2"/>
    <w:rsid w:val="001F256D"/>
    <w:rsid w:val="001F551A"/>
    <w:rsid w:val="00202D27"/>
    <w:rsid w:val="00206B61"/>
    <w:rsid w:val="002104B5"/>
    <w:rsid w:val="00224060"/>
    <w:rsid w:val="00230552"/>
    <w:rsid w:val="00230D9B"/>
    <w:rsid w:val="00235AB6"/>
    <w:rsid w:val="00235B3A"/>
    <w:rsid w:val="00242B9A"/>
    <w:rsid w:val="00247C6F"/>
    <w:rsid w:val="00253E80"/>
    <w:rsid w:val="00254A18"/>
    <w:rsid w:val="00255133"/>
    <w:rsid w:val="00255969"/>
    <w:rsid w:val="002617A4"/>
    <w:rsid w:val="00272CA4"/>
    <w:rsid w:val="0027391D"/>
    <w:rsid w:val="00276A9D"/>
    <w:rsid w:val="00276C1E"/>
    <w:rsid w:val="0028273E"/>
    <w:rsid w:val="00293501"/>
    <w:rsid w:val="002944D8"/>
    <w:rsid w:val="002A1AB4"/>
    <w:rsid w:val="002A4A42"/>
    <w:rsid w:val="002A6D68"/>
    <w:rsid w:val="002B01E2"/>
    <w:rsid w:val="002B38E8"/>
    <w:rsid w:val="002B45C8"/>
    <w:rsid w:val="002C0E52"/>
    <w:rsid w:val="002C5DEA"/>
    <w:rsid w:val="002C67E3"/>
    <w:rsid w:val="002D7EA6"/>
    <w:rsid w:val="002E2767"/>
    <w:rsid w:val="002E7D37"/>
    <w:rsid w:val="002F1C59"/>
    <w:rsid w:val="002F2914"/>
    <w:rsid w:val="002F5D08"/>
    <w:rsid w:val="002F6810"/>
    <w:rsid w:val="002F7414"/>
    <w:rsid w:val="002F7B31"/>
    <w:rsid w:val="003049C9"/>
    <w:rsid w:val="0030703A"/>
    <w:rsid w:val="0031528A"/>
    <w:rsid w:val="00316DED"/>
    <w:rsid w:val="003176FD"/>
    <w:rsid w:val="003178E5"/>
    <w:rsid w:val="00327DBF"/>
    <w:rsid w:val="003312E5"/>
    <w:rsid w:val="00331C6A"/>
    <w:rsid w:val="00332051"/>
    <w:rsid w:val="003333B5"/>
    <w:rsid w:val="00336D1B"/>
    <w:rsid w:val="0034023A"/>
    <w:rsid w:val="00344CFD"/>
    <w:rsid w:val="00354742"/>
    <w:rsid w:val="0037014E"/>
    <w:rsid w:val="00372ECC"/>
    <w:rsid w:val="00373C69"/>
    <w:rsid w:val="0037621A"/>
    <w:rsid w:val="00376EC0"/>
    <w:rsid w:val="003816AC"/>
    <w:rsid w:val="00382AFC"/>
    <w:rsid w:val="003855E8"/>
    <w:rsid w:val="003859A5"/>
    <w:rsid w:val="003878FC"/>
    <w:rsid w:val="00390699"/>
    <w:rsid w:val="00391FA1"/>
    <w:rsid w:val="003925D1"/>
    <w:rsid w:val="00396A4D"/>
    <w:rsid w:val="00397758"/>
    <w:rsid w:val="003A39AA"/>
    <w:rsid w:val="003A3B2D"/>
    <w:rsid w:val="003A45E3"/>
    <w:rsid w:val="003A555E"/>
    <w:rsid w:val="003B1CB9"/>
    <w:rsid w:val="003B4C1C"/>
    <w:rsid w:val="003C0AB4"/>
    <w:rsid w:val="003C0E6B"/>
    <w:rsid w:val="003C26DE"/>
    <w:rsid w:val="003C7EAE"/>
    <w:rsid w:val="003D56AF"/>
    <w:rsid w:val="003D6D87"/>
    <w:rsid w:val="003E0EB1"/>
    <w:rsid w:val="003E3D89"/>
    <w:rsid w:val="003E4FB3"/>
    <w:rsid w:val="003E7F6F"/>
    <w:rsid w:val="003F023D"/>
    <w:rsid w:val="004041EE"/>
    <w:rsid w:val="00404A32"/>
    <w:rsid w:val="00406575"/>
    <w:rsid w:val="004134E3"/>
    <w:rsid w:val="00430226"/>
    <w:rsid w:val="004312BD"/>
    <w:rsid w:val="00432D51"/>
    <w:rsid w:val="00432EA5"/>
    <w:rsid w:val="00433DC4"/>
    <w:rsid w:val="00436D2E"/>
    <w:rsid w:val="00440483"/>
    <w:rsid w:val="00443FA7"/>
    <w:rsid w:val="004509A0"/>
    <w:rsid w:val="00453E2D"/>
    <w:rsid w:val="00456126"/>
    <w:rsid w:val="0046065E"/>
    <w:rsid w:val="00460A87"/>
    <w:rsid w:val="0046450F"/>
    <w:rsid w:val="00467257"/>
    <w:rsid w:val="00470142"/>
    <w:rsid w:val="004746F6"/>
    <w:rsid w:val="00475AD6"/>
    <w:rsid w:val="004774A0"/>
    <w:rsid w:val="0049179A"/>
    <w:rsid w:val="00494A55"/>
    <w:rsid w:val="00496B29"/>
    <w:rsid w:val="004A2088"/>
    <w:rsid w:val="004A2D29"/>
    <w:rsid w:val="004A3C6D"/>
    <w:rsid w:val="004B415C"/>
    <w:rsid w:val="004C0065"/>
    <w:rsid w:val="004C1DBC"/>
    <w:rsid w:val="004C4CE5"/>
    <w:rsid w:val="004C4D04"/>
    <w:rsid w:val="004C7C7D"/>
    <w:rsid w:val="004D17C8"/>
    <w:rsid w:val="004D4029"/>
    <w:rsid w:val="004D6B1A"/>
    <w:rsid w:val="004E0D5E"/>
    <w:rsid w:val="004E2A01"/>
    <w:rsid w:val="004F3EF8"/>
    <w:rsid w:val="004F41DC"/>
    <w:rsid w:val="004F7DED"/>
    <w:rsid w:val="005000F8"/>
    <w:rsid w:val="0050560E"/>
    <w:rsid w:val="00511CDC"/>
    <w:rsid w:val="00524A2F"/>
    <w:rsid w:val="00524B32"/>
    <w:rsid w:val="005266AC"/>
    <w:rsid w:val="00530ED5"/>
    <w:rsid w:val="00534411"/>
    <w:rsid w:val="00534B6E"/>
    <w:rsid w:val="00537E2F"/>
    <w:rsid w:val="00554A05"/>
    <w:rsid w:val="00556A97"/>
    <w:rsid w:val="00560B43"/>
    <w:rsid w:val="005610F8"/>
    <w:rsid w:val="00561CDF"/>
    <w:rsid w:val="00564646"/>
    <w:rsid w:val="005749C8"/>
    <w:rsid w:val="00575871"/>
    <w:rsid w:val="00577521"/>
    <w:rsid w:val="00582723"/>
    <w:rsid w:val="00583781"/>
    <w:rsid w:val="00596635"/>
    <w:rsid w:val="00596E35"/>
    <w:rsid w:val="005A26F9"/>
    <w:rsid w:val="005B0894"/>
    <w:rsid w:val="005B0E4A"/>
    <w:rsid w:val="005C5988"/>
    <w:rsid w:val="005D0880"/>
    <w:rsid w:val="005D230D"/>
    <w:rsid w:val="005D3CC9"/>
    <w:rsid w:val="005E1376"/>
    <w:rsid w:val="005E1BE5"/>
    <w:rsid w:val="005E6AF8"/>
    <w:rsid w:val="005E6E43"/>
    <w:rsid w:val="005F3C0D"/>
    <w:rsid w:val="005F604D"/>
    <w:rsid w:val="0060302B"/>
    <w:rsid w:val="00610540"/>
    <w:rsid w:val="00614A5F"/>
    <w:rsid w:val="006160C1"/>
    <w:rsid w:val="00616EB1"/>
    <w:rsid w:val="006175DC"/>
    <w:rsid w:val="006226BB"/>
    <w:rsid w:val="00623A7A"/>
    <w:rsid w:val="006318EA"/>
    <w:rsid w:val="00635E6D"/>
    <w:rsid w:val="006361C0"/>
    <w:rsid w:val="00637238"/>
    <w:rsid w:val="00637B54"/>
    <w:rsid w:val="00637C42"/>
    <w:rsid w:val="00642ECC"/>
    <w:rsid w:val="006479D2"/>
    <w:rsid w:val="006509E7"/>
    <w:rsid w:val="006520F9"/>
    <w:rsid w:val="00652848"/>
    <w:rsid w:val="006654C5"/>
    <w:rsid w:val="006717DD"/>
    <w:rsid w:val="0067333E"/>
    <w:rsid w:val="00677D2A"/>
    <w:rsid w:val="00683DCA"/>
    <w:rsid w:val="00685F17"/>
    <w:rsid w:val="00696BC1"/>
    <w:rsid w:val="006A1C4F"/>
    <w:rsid w:val="006A43CF"/>
    <w:rsid w:val="006A4656"/>
    <w:rsid w:val="006B2D72"/>
    <w:rsid w:val="006B597C"/>
    <w:rsid w:val="006B5A72"/>
    <w:rsid w:val="006B5C65"/>
    <w:rsid w:val="006B6AE7"/>
    <w:rsid w:val="006B6D78"/>
    <w:rsid w:val="006B79A5"/>
    <w:rsid w:val="006B7B86"/>
    <w:rsid w:val="006C0B50"/>
    <w:rsid w:val="006C16DB"/>
    <w:rsid w:val="006C43F7"/>
    <w:rsid w:val="006D083C"/>
    <w:rsid w:val="006D22DA"/>
    <w:rsid w:val="006D2677"/>
    <w:rsid w:val="006E0B5C"/>
    <w:rsid w:val="006E1AC2"/>
    <w:rsid w:val="006F70BE"/>
    <w:rsid w:val="00702C32"/>
    <w:rsid w:val="007044A1"/>
    <w:rsid w:val="00706006"/>
    <w:rsid w:val="007107E8"/>
    <w:rsid w:val="00722099"/>
    <w:rsid w:val="007263DA"/>
    <w:rsid w:val="007270C6"/>
    <w:rsid w:val="00731043"/>
    <w:rsid w:val="007351DE"/>
    <w:rsid w:val="00743C00"/>
    <w:rsid w:val="00743D22"/>
    <w:rsid w:val="0074627B"/>
    <w:rsid w:val="00752C9D"/>
    <w:rsid w:val="00757921"/>
    <w:rsid w:val="007611F1"/>
    <w:rsid w:val="00761865"/>
    <w:rsid w:val="00764255"/>
    <w:rsid w:val="00766A6B"/>
    <w:rsid w:val="0078128C"/>
    <w:rsid w:val="00781484"/>
    <w:rsid w:val="0078385C"/>
    <w:rsid w:val="007912D4"/>
    <w:rsid w:val="007925EE"/>
    <w:rsid w:val="0079559E"/>
    <w:rsid w:val="007956FC"/>
    <w:rsid w:val="007A1D59"/>
    <w:rsid w:val="007A2D40"/>
    <w:rsid w:val="007A3565"/>
    <w:rsid w:val="007B235B"/>
    <w:rsid w:val="007B76E8"/>
    <w:rsid w:val="007C0AA0"/>
    <w:rsid w:val="007C1B87"/>
    <w:rsid w:val="007C3C5F"/>
    <w:rsid w:val="007C3FA5"/>
    <w:rsid w:val="007C4C33"/>
    <w:rsid w:val="007C7262"/>
    <w:rsid w:val="007D3F4D"/>
    <w:rsid w:val="007E6B21"/>
    <w:rsid w:val="007F0633"/>
    <w:rsid w:val="007F22F6"/>
    <w:rsid w:val="00813A75"/>
    <w:rsid w:val="00813B6D"/>
    <w:rsid w:val="008169C5"/>
    <w:rsid w:val="00825165"/>
    <w:rsid w:val="00827EB2"/>
    <w:rsid w:val="00831C57"/>
    <w:rsid w:val="00832343"/>
    <w:rsid w:val="0083715E"/>
    <w:rsid w:val="00840FEF"/>
    <w:rsid w:val="008526F7"/>
    <w:rsid w:val="00864923"/>
    <w:rsid w:val="00865BA9"/>
    <w:rsid w:val="00894CD0"/>
    <w:rsid w:val="00895674"/>
    <w:rsid w:val="00895C23"/>
    <w:rsid w:val="00895D32"/>
    <w:rsid w:val="008A08E7"/>
    <w:rsid w:val="008A0AB5"/>
    <w:rsid w:val="008B235B"/>
    <w:rsid w:val="008B4242"/>
    <w:rsid w:val="008B5680"/>
    <w:rsid w:val="008C0155"/>
    <w:rsid w:val="008C12B4"/>
    <w:rsid w:val="008C3CA5"/>
    <w:rsid w:val="008C3E50"/>
    <w:rsid w:val="008C7A8F"/>
    <w:rsid w:val="008D0394"/>
    <w:rsid w:val="008D18A5"/>
    <w:rsid w:val="008D4F32"/>
    <w:rsid w:val="008D5A87"/>
    <w:rsid w:val="008E7C04"/>
    <w:rsid w:val="008F23A3"/>
    <w:rsid w:val="008F3186"/>
    <w:rsid w:val="008F361A"/>
    <w:rsid w:val="00901BB2"/>
    <w:rsid w:val="00902E3F"/>
    <w:rsid w:val="00906CA6"/>
    <w:rsid w:val="00920E02"/>
    <w:rsid w:val="00926919"/>
    <w:rsid w:val="009332ED"/>
    <w:rsid w:val="009334C3"/>
    <w:rsid w:val="0093507D"/>
    <w:rsid w:val="0094030E"/>
    <w:rsid w:val="0094284B"/>
    <w:rsid w:val="009437DA"/>
    <w:rsid w:val="00943D05"/>
    <w:rsid w:val="009466A7"/>
    <w:rsid w:val="00951566"/>
    <w:rsid w:val="009539BD"/>
    <w:rsid w:val="009541F5"/>
    <w:rsid w:val="009557C9"/>
    <w:rsid w:val="009632F8"/>
    <w:rsid w:val="009640FD"/>
    <w:rsid w:val="0096794D"/>
    <w:rsid w:val="00967C69"/>
    <w:rsid w:val="00986121"/>
    <w:rsid w:val="009870B5"/>
    <w:rsid w:val="00987CBB"/>
    <w:rsid w:val="00990D69"/>
    <w:rsid w:val="00991FA1"/>
    <w:rsid w:val="0099381E"/>
    <w:rsid w:val="009943B8"/>
    <w:rsid w:val="00995A26"/>
    <w:rsid w:val="00996DF2"/>
    <w:rsid w:val="009A126B"/>
    <w:rsid w:val="009A6144"/>
    <w:rsid w:val="009B0330"/>
    <w:rsid w:val="009B06EB"/>
    <w:rsid w:val="009B06F5"/>
    <w:rsid w:val="009B2270"/>
    <w:rsid w:val="009B3E0C"/>
    <w:rsid w:val="009C139D"/>
    <w:rsid w:val="009E136A"/>
    <w:rsid w:val="009E6EC5"/>
    <w:rsid w:val="009F020C"/>
    <w:rsid w:val="009F044B"/>
    <w:rsid w:val="009F1F6B"/>
    <w:rsid w:val="009F363C"/>
    <w:rsid w:val="009F4D50"/>
    <w:rsid w:val="00A003F1"/>
    <w:rsid w:val="00A03505"/>
    <w:rsid w:val="00A07FA3"/>
    <w:rsid w:val="00A10F73"/>
    <w:rsid w:val="00A16A6F"/>
    <w:rsid w:val="00A17EC8"/>
    <w:rsid w:val="00A25AF8"/>
    <w:rsid w:val="00A30672"/>
    <w:rsid w:val="00A40E38"/>
    <w:rsid w:val="00A52889"/>
    <w:rsid w:val="00A63C95"/>
    <w:rsid w:val="00A63FFA"/>
    <w:rsid w:val="00A66335"/>
    <w:rsid w:val="00A777C5"/>
    <w:rsid w:val="00A972C7"/>
    <w:rsid w:val="00A97F9E"/>
    <w:rsid w:val="00AA24D8"/>
    <w:rsid w:val="00AA643E"/>
    <w:rsid w:val="00AA7064"/>
    <w:rsid w:val="00AB0B6B"/>
    <w:rsid w:val="00AB380E"/>
    <w:rsid w:val="00AB39FD"/>
    <w:rsid w:val="00AC3841"/>
    <w:rsid w:val="00AD2086"/>
    <w:rsid w:val="00AD2D69"/>
    <w:rsid w:val="00AD71D3"/>
    <w:rsid w:val="00AE60B9"/>
    <w:rsid w:val="00AE7B96"/>
    <w:rsid w:val="00AF58FB"/>
    <w:rsid w:val="00AF6224"/>
    <w:rsid w:val="00B0773D"/>
    <w:rsid w:val="00B07E07"/>
    <w:rsid w:val="00B10957"/>
    <w:rsid w:val="00B1480C"/>
    <w:rsid w:val="00B31AA1"/>
    <w:rsid w:val="00B33413"/>
    <w:rsid w:val="00B34D8A"/>
    <w:rsid w:val="00B35697"/>
    <w:rsid w:val="00B479C0"/>
    <w:rsid w:val="00B52437"/>
    <w:rsid w:val="00B5400B"/>
    <w:rsid w:val="00B55DC2"/>
    <w:rsid w:val="00B63FD8"/>
    <w:rsid w:val="00B6472C"/>
    <w:rsid w:val="00B6496E"/>
    <w:rsid w:val="00B65BA3"/>
    <w:rsid w:val="00B67B27"/>
    <w:rsid w:val="00B67F9C"/>
    <w:rsid w:val="00B71EC5"/>
    <w:rsid w:val="00B867E4"/>
    <w:rsid w:val="00B948CC"/>
    <w:rsid w:val="00B97729"/>
    <w:rsid w:val="00BA3A05"/>
    <w:rsid w:val="00BA40C3"/>
    <w:rsid w:val="00BA77C1"/>
    <w:rsid w:val="00BB0374"/>
    <w:rsid w:val="00BB2640"/>
    <w:rsid w:val="00BB596C"/>
    <w:rsid w:val="00BC1380"/>
    <w:rsid w:val="00BC3249"/>
    <w:rsid w:val="00BC6E4C"/>
    <w:rsid w:val="00BD156F"/>
    <w:rsid w:val="00BD388F"/>
    <w:rsid w:val="00BD6329"/>
    <w:rsid w:val="00BE01D8"/>
    <w:rsid w:val="00BE283F"/>
    <w:rsid w:val="00BE319E"/>
    <w:rsid w:val="00BE33FA"/>
    <w:rsid w:val="00BE4417"/>
    <w:rsid w:val="00BF27F8"/>
    <w:rsid w:val="00BF5F61"/>
    <w:rsid w:val="00BF70E1"/>
    <w:rsid w:val="00C01E9B"/>
    <w:rsid w:val="00C05179"/>
    <w:rsid w:val="00C06EF9"/>
    <w:rsid w:val="00C15439"/>
    <w:rsid w:val="00C25832"/>
    <w:rsid w:val="00C3174B"/>
    <w:rsid w:val="00C3267E"/>
    <w:rsid w:val="00C449A5"/>
    <w:rsid w:val="00C45B44"/>
    <w:rsid w:val="00C50862"/>
    <w:rsid w:val="00C529EF"/>
    <w:rsid w:val="00C53BAD"/>
    <w:rsid w:val="00C617AE"/>
    <w:rsid w:val="00C66621"/>
    <w:rsid w:val="00C67988"/>
    <w:rsid w:val="00C75B02"/>
    <w:rsid w:val="00C75D07"/>
    <w:rsid w:val="00C93A4A"/>
    <w:rsid w:val="00C93E1C"/>
    <w:rsid w:val="00CA138F"/>
    <w:rsid w:val="00CA5311"/>
    <w:rsid w:val="00CA6CBF"/>
    <w:rsid w:val="00CB232C"/>
    <w:rsid w:val="00CC0E80"/>
    <w:rsid w:val="00CD5696"/>
    <w:rsid w:val="00CE0D6C"/>
    <w:rsid w:val="00CE43D1"/>
    <w:rsid w:val="00CF21D3"/>
    <w:rsid w:val="00CF5AAF"/>
    <w:rsid w:val="00CF6DF0"/>
    <w:rsid w:val="00D06CFE"/>
    <w:rsid w:val="00D356C0"/>
    <w:rsid w:val="00D37495"/>
    <w:rsid w:val="00D439E5"/>
    <w:rsid w:val="00D462C8"/>
    <w:rsid w:val="00D50AF4"/>
    <w:rsid w:val="00D50E60"/>
    <w:rsid w:val="00D53B96"/>
    <w:rsid w:val="00D541C6"/>
    <w:rsid w:val="00D602D2"/>
    <w:rsid w:val="00D61C2D"/>
    <w:rsid w:val="00D652D4"/>
    <w:rsid w:val="00D652E5"/>
    <w:rsid w:val="00D6683E"/>
    <w:rsid w:val="00D752CC"/>
    <w:rsid w:val="00D81419"/>
    <w:rsid w:val="00D845D6"/>
    <w:rsid w:val="00DA171D"/>
    <w:rsid w:val="00DA5035"/>
    <w:rsid w:val="00DA5732"/>
    <w:rsid w:val="00DA7A1E"/>
    <w:rsid w:val="00DB62F3"/>
    <w:rsid w:val="00DC6C80"/>
    <w:rsid w:val="00DD3BE8"/>
    <w:rsid w:val="00DD5E18"/>
    <w:rsid w:val="00DE06CE"/>
    <w:rsid w:val="00DF1671"/>
    <w:rsid w:val="00DF22DE"/>
    <w:rsid w:val="00DF4A48"/>
    <w:rsid w:val="00DF59FD"/>
    <w:rsid w:val="00DF6CC0"/>
    <w:rsid w:val="00DF7429"/>
    <w:rsid w:val="00E008BE"/>
    <w:rsid w:val="00E126DD"/>
    <w:rsid w:val="00E20598"/>
    <w:rsid w:val="00E2093A"/>
    <w:rsid w:val="00E2098E"/>
    <w:rsid w:val="00E32B06"/>
    <w:rsid w:val="00E3692C"/>
    <w:rsid w:val="00E37927"/>
    <w:rsid w:val="00E60442"/>
    <w:rsid w:val="00E70472"/>
    <w:rsid w:val="00E725E7"/>
    <w:rsid w:val="00E83773"/>
    <w:rsid w:val="00E83A37"/>
    <w:rsid w:val="00EA32A1"/>
    <w:rsid w:val="00EA48D7"/>
    <w:rsid w:val="00EB3F0F"/>
    <w:rsid w:val="00ED2831"/>
    <w:rsid w:val="00ED4F2D"/>
    <w:rsid w:val="00EE1D05"/>
    <w:rsid w:val="00EE33B1"/>
    <w:rsid w:val="00EE5499"/>
    <w:rsid w:val="00EF371C"/>
    <w:rsid w:val="00F063B5"/>
    <w:rsid w:val="00F0766A"/>
    <w:rsid w:val="00F1578D"/>
    <w:rsid w:val="00F174D5"/>
    <w:rsid w:val="00F21144"/>
    <w:rsid w:val="00F22962"/>
    <w:rsid w:val="00F3170B"/>
    <w:rsid w:val="00F32FFE"/>
    <w:rsid w:val="00F341DF"/>
    <w:rsid w:val="00F37837"/>
    <w:rsid w:val="00F42B84"/>
    <w:rsid w:val="00F57933"/>
    <w:rsid w:val="00F6720F"/>
    <w:rsid w:val="00F67906"/>
    <w:rsid w:val="00F76C61"/>
    <w:rsid w:val="00F8183A"/>
    <w:rsid w:val="00F82BA2"/>
    <w:rsid w:val="00F949BD"/>
    <w:rsid w:val="00F94F75"/>
    <w:rsid w:val="00F95AFD"/>
    <w:rsid w:val="00FA040C"/>
    <w:rsid w:val="00FA2269"/>
    <w:rsid w:val="00FA510F"/>
    <w:rsid w:val="00FC7BF8"/>
    <w:rsid w:val="00FC7D69"/>
    <w:rsid w:val="00FD2AFA"/>
    <w:rsid w:val="00FE15EA"/>
    <w:rsid w:val="00FE4330"/>
    <w:rsid w:val="00FE6ABA"/>
    <w:rsid w:val="00FF0757"/>
    <w:rsid w:val="00FF0C44"/>
  </w:rsids>
  <m:mathPr>
    <m:mathFont m:val="Cambria Math"/>
    <m:brkBin m:val="before"/>
    <m:brkBinSub m:val="--"/>
    <m:smallFrac m:val="0"/>
    <m:dispDef/>
    <m:lMargin m:val="0"/>
    <m:rMargin m:val="0"/>
    <m:defJc m:val="centerGroup"/>
    <m:wrapIndent m:val="1440"/>
    <m:intLim m:val="subSup"/>
    <m:naryLim m:val="undOvr"/>
  </m:mathPr>
  <w:themeFontLang w:val="pl-PL"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820F1"/>
  <w15:chartTrackingRefBased/>
  <w15:docId w15:val="{4CA8FF03-D97C-E347-BC3A-5DCAB183F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837"/>
    <w:pPr>
      <w:spacing w:after="160" w:line="259" w:lineRule="auto"/>
    </w:pPr>
    <w:rPr>
      <w:sz w:val="22"/>
      <w:szCs w:val="22"/>
    </w:rPr>
  </w:style>
  <w:style w:type="paragraph" w:styleId="Heading1">
    <w:name w:val="heading 1"/>
    <w:basedOn w:val="Normal"/>
    <w:next w:val="Normal"/>
    <w:link w:val="Heading1Char"/>
    <w:uiPriority w:val="9"/>
    <w:qFormat/>
    <w:rsid w:val="00FF07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3E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next w:val="Normal"/>
    <w:rsid w:val="00B948CC"/>
    <w:pPr>
      <w:pBdr>
        <w:top w:val="nil"/>
        <w:left w:val="nil"/>
        <w:bottom w:val="nil"/>
        <w:right w:val="nil"/>
        <w:between w:val="nil"/>
        <w:bar w:val="nil"/>
      </w:pBdr>
      <w:spacing w:after="120" w:line="360" w:lineRule="auto"/>
    </w:pPr>
    <w:rPr>
      <w:rFonts w:ascii="Times New Roman" w:eastAsia="Arial Unicode MS" w:hAnsi="Times New Roman" w:cs="Arial Unicode MS"/>
      <w:b/>
      <w:bCs/>
      <w:color w:val="000000"/>
      <w:sz w:val="28"/>
      <w:szCs w:val="28"/>
      <w:u w:color="000000"/>
      <w:bdr w:val="nil"/>
      <w:lang w:val="en-US" w:eastAsia="pl-PL"/>
    </w:rPr>
  </w:style>
  <w:style w:type="paragraph" w:customStyle="1" w:styleId="Abstract">
    <w:name w:val="Abstract"/>
    <w:next w:val="Keywords"/>
    <w:rsid w:val="00B948CC"/>
    <w:pPr>
      <w:pBdr>
        <w:top w:val="nil"/>
        <w:left w:val="nil"/>
        <w:bottom w:val="nil"/>
        <w:right w:val="nil"/>
        <w:between w:val="nil"/>
        <w:bar w:val="nil"/>
      </w:pBdr>
      <w:spacing w:before="360" w:after="300" w:line="360" w:lineRule="auto"/>
      <w:ind w:left="720" w:right="567"/>
    </w:pPr>
    <w:rPr>
      <w:rFonts w:ascii="Times New Roman" w:eastAsia="Arial Unicode MS" w:hAnsi="Times New Roman" w:cs="Arial Unicode MS"/>
      <w:color w:val="000000"/>
      <w:sz w:val="22"/>
      <w:szCs w:val="22"/>
      <w:u w:color="000000"/>
      <w:bdr w:val="nil"/>
      <w:lang w:val="en-US" w:eastAsia="pl-PL"/>
    </w:rPr>
  </w:style>
  <w:style w:type="paragraph" w:customStyle="1" w:styleId="Keywords">
    <w:name w:val="Keywords"/>
    <w:next w:val="Normal"/>
    <w:rsid w:val="00B948CC"/>
    <w:pPr>
      <w:pBdr>
        <w:top w:val="nil"/>
        <w:left w:val="nil"/>
        <w:bottom w:val="nil"/>
        <w:right w:val="nil"/>
        <w:between w:val="nil"/>
        <w:bar w:val="nil"/>
      </w:pBdr>
      <w:spacing w:before="240" w:after="240" w:line="360" w:lineRule="auto"/>
      <w:ind w:left="720" w:right="567"/>
    </w:pPr>
    <w:rPr>
      <w:rFonts w:ascii="Times New Roman" w:eastAsia="Arial Unicode MS" w:hAnsi="Times New Roman" w:cs="Arial Unicode MS"/>
      <w:color w:val="000000"/>
      <w:sz w:val="22"/>
      <w:szCs w:val="22"/>
      <w:u w:color="000000"/>
      <w:bdr w:val="nil"/>
      <w:lang w:val="en-US" w:eastAsia="pl-PL"/>
    </w:rPr>
  </w:style>
  <w:style w:type="paragraph" w:styleId="Footer">
    <w:name w:val="footer"/>
    <w:basedOn w:val="Normal"/>
    <w:link w:val="FooterChar"/>
    <w:uiPriority w:val="99"/>
    <w:unhideWhenUsed/>
    <w:rsid w:val="00F37837"/>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7837"/>
    <w:rPr>
      <w:sz w:val="22"/>
      <w:szCs w:val="22"/>
    </w:rPr>
  </w:style>
  <w:style w:type="character" w:styleId="PageNumber">
    <w:name w:val="page number"/>
    <w:basedOn w:val="DefaultParagraphFont"/>
    <w:uiPriority w:val="99"/>
    <w:semiHidden/>
    <w:unhideWhenUsed/>
    <w:rsid w:val="00F37837"/>
  </w:style>
  <w:style w:type="paragraph" w:styleId="ListParagraph">
    <w:name w:val="List Paragraph"/>
    <w:basedOn w:val="Normal"/>
    <w:uiPriority w:val="34"/>
    <w:qFormat/>
    <w:rsid w:val="00CD5696"/>
    <w:pPr>
      <w:ind w:left="720"/>
      <w:contextualSpacing/>
    </w:pPr>
  </w:style>
  <w:style w:type="paragraph" w:styleId="BalloonText">
    <w:name w:val="Balloon Text"/>
    <w:basedOn w:val="Normal"/>
    <w:link w:val="BalloonTextChar"/>
    <w:uiPriority w:val="99"/>
    <w:semiHidden/>
    <w:unhideWhenUsed/>
    <w:rsid w:val="00CD569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D5696"/>
    <w:rPr>
      <w:rFonts w:ascii="Times New Roman" w:hAnsi="Times New Roman" w:cs="Times New Roman"/>
      <w:sz w:val="18"/>
      <w:szCs w:val="18"/>
    </w:rPr>
  </w:style>
  <w:style w:type="character" w:styleId="Hyperlink">
    <w:name w:val="Hyperlink"/>
    <w:basedOn w:val="DefaultParagraphFont"/>
    <w:uiPriority w:val="99"/>
    <w:unhideWhenUsed/>
    <w:rsid w:val="00743C00"/>
    <w:rPr>
      <w:color w:val="0563C1" w:themeColor="hyperlink"/>
      <w:u w:val="single"/>
    </w:rPr>
  </w:style>
  <w:style w:type="character" w:customStyle="1" w:styleId="UnresolvedMention">
    <w:name w:val="Unresolved Mention"/>
    <w:basedOn w:val="DefaultParagraphFont"/>
    <w:uiPriority w:val="99"/>
    <w:semiHidden/>
    <w:unhideWhenUsed/>
    <w:rsid w:val="00743C00"/>
    <w:rPr>
      <w:color w:val="605E5C"/>
      <w:shd w:val="clear" w:color="auto" w:fill="E1DFDD"/>
    </w:rPr>
  </w:style>
  <w:style w:type="paragraph" w:styleId="Header">
    <w:name w:val="header"/>
    <w:basedOn w:val="Normal"/>
    <w:link w:val="HeaderChar"/>
    <w:uiPriority w:val="99"/>
    <w:unhideWhenUsed/>
    <w:rsid w:val="00743C00"/>
    <w:pPr>
      <w:tabs>
        <w:tab w:val="center" w:pos="4536"/>
        <w:tab w:val="right" w:pos="9072"/>
      </w:tabs>
      <w:spacing w:after="0" w:line="240" w:lineRule="auto"/>
    </w:pPr>
  </w:style>
  <w:style w:type="character" w:customStyle="1" w:styleId="HeaderChar">
    <w:name w:val="Header Char"/>
    <w:basedOn w:val="DefaultParagraphFont"/>
    <w:link w:val="Header"/>
    <w:uiPriority w:val="99"/>
    <w:rsid w:val="00743C00"/>
    <w:rPr>
      <w:sz w:val="22"/>
      <w:szCs w:val="22"/>
    </w:rPr>
  </w:style>
  <w:style w:type="character" w:styleId="FollowedHyperlink">
    <w:name w:val="FollowedHyperlink"/>
    <w:basedOn w:val="DefaultParagraphFont"/>
    <w:uiPriority w:val="99"/>
    <w:semiHidden/>
    <w:unhideWhenUsed/>
    <w:rsid w:val="00743C00"/>
    <w:rPr>
      <w:color w:val="954F72" w:themeColor="followedHyperlink"/>
      <w:u w:val="single"/>
    </w:rPr>
  </w:style>
  <w:style w:type="character" w:styleId="CommentReference">
    <w:name w:val="annotation reference"/>
    <w:basedOn w:val="DefaultParagraphFont"/>
    <w:uiPriority w:val="99"/>
    <w:semiHidden/>
    <w:unhideWhenUsed/>
    <w:rsid w:val="00951566"/>
    <w:rPr>
      <w:sz w:val="16"/>
      <w:szCs w:val="16"/>
    </w:rPr>
  </w:style>
  <w:style w:type="paragraph" w:styleId="CommentText">
    <w:name w:val="annotation text"/>
    <w:basedOn w:val="Normal"/>
    <w:link w:val="CommentTextChar"/>
    <w:uiPriority w:val="99"/>
    <w:semiHidden/>
    <w:unhideWhenUsed/>
    <w:rsid w:val="00951566"/>
    <w:pPr>
      <w:spacing w:line="240" w:lineRule="auto"/>
    </w:pPr>
    <w:rPr>
      <w:sz w:val="20"/>
      <w:szCs w:val="20"/>
    </w:rPr>
  </w:style>
  <w:style w:type="character" w:customStyle="1" w:styleId="CommentTextChar">
    <w:name w:val="Comment Text Char"/>
    <w:basedOn w:val="DefaultParagraphFont"/>
    <w:link w:val="CommentText"/>
    <w:uiPriority w:val="99"/>
    <w:semiHidden/>
    <w:rsid w:val="00951566"/>
    <w:rPr>
      <w:sz w:val="20"/>
      <w:szCs w:val="20"/>
    </w:rPr>
  </w:style>
  <w:style w:type="paragraph" w:styleId="CommentSubject">
    <w:name w:val="annotation subject"/>
    <w:basedOn w:val="CommentText"/>
    <w:next w:val="CommentText"/>
    <w:link w:val="CommentSubjectChar"/>
    <w:uiPriority w:val="99"/>
    <w:semiHidden/>
    <w:unhideWhenUsed/>
    <w:rsid w:val="00951566"/>
    <w:rPr>
      <w:b/>
      <w:bCs/>
    </w:rPr>
  </w:style>
  <w:style w:type="character" w:customStyle="1" w:styleId="CommentSubjectChar">
    <w:name w:val="Comment Subject Char"/>
    <w:basedOn w:val="CommentTextChar"/>
    <w:link w:val="CommentSubject"/>
    <w:uiPriority w:val="99"/>
    <w:semiHidden/>
    <w:rsid w:val="00951566"/>
    <w:rPr>
      <w:b/>
      <w:bCs/>
      <w:sz w:val="20"/>
      <w:szCs w:val="20"/>
    </w:rPr>
  </w:style>
  <w:style w:type="paragraph" w:styleId="FootnoteText">
    <w:name w:val="footnote text"/>
    <w:basedOn w:val="Normal"/>
    <w:link w:val="FootnoteTextChar"/>
    <w:uiPriority w:val="99"/>
    <w:unhideWhenUsed/>
    <w:rsid w:val="006226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26BB"/>
    <w:rPr>
      <w:sz w:val="20"/>
      <w:szCs w:val="20"/>
    </w:rPr>
  </w:style>
  <w:style w:type="character" w:styleId="FootnoteReference">
    <w:name w:val="footnote reference"/>
    <w:basedOn w:val="DefaultParagraphFont"/>
    <w:uiPriority w:val="99"/>
    <w:semiHidden/>
    <w:unhideWhenUsed/>
    <w:rsid w:val="006226BB"/>
    <w:rPr>
      <w:vertAlign w:val="superscript"/>
    </w:rPr>
  </w:style>
  <w:style w:type="character" w:styleId="PlaceholderText">
    <w:name w:val="Placeholder Text"/>
    <w:basedOn w:val="DefaultParagraphFont"/>
    <w:uiPriority w:val="99"/>
    <w:semiHidden/>
    <w:rsid w:val="00637B54"/>
    <w:rPr>
      <w:color w:val="808080"/>
    </w:rPr>
  </w:style>
  <w:style w:type="paragraph" w:styleId="Revision">
    <w:name w:val="Revision"/>
    <w:hidden/>
    <w:uiPriority w:val="99"/>
    <w:semiHidden/>
    <w:rsid w:val="00316DED"/>
    <w:rPr>
      <w:sz w:val="22"/>
      <w:szCs w:val="22"/>
    </w:rPr>
  </w:style>
  <w:style w:type="numbering" w:customStyle="1" w:styleId="Bezlisty1">
    <w:name w:val="Bez listy1"/>
    <w:next w:val="NoList"/>
    <w:uiPriority w:val="99"/>
    <w:semiHidden/>
    <w:unhideWhenUsed/>
    <w:rsid w:val="002C0E52"/>
  </w:style>
  <w:style w:type="character" w:customStyle="1" w:styleId="Heading1Char">
    <w:name w:val="Heading 1 Char"/>
    <w:basedOn w:val="DefaultParagraphFont"/>
    <w:link w:val="Heading1"/>
    <w:uiPriority w:val="9"/>
    <w:rsid w:val="00FF075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C3E50"/>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F32FF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0838">
      <w:bodyDiv w:val="1"/>
      <w:marLeft w:val="0"/>
      <w:marRight w:val="0"/>
      <w:marTop w:val="0"/>
      <w:marBottom w:val="0"/>
      <w:divBdr>
        <w:top w:val="none" w:sz="0" w:space="0" w:color="auto"/>
        <w:left w:val="none" w:sz="0" w:space="0" w:color="auto"/>
        <w:bottom w:val="none" w:sz="0" w:space="0" w:color="auto"/>
        <w:right w:val="none" w:sz="0" w:space="0" w:color="auto"/>
      </w:divBdr>
    </w:div>
    <w:div w:id="30307615">
      <w:bodyDiv w:val="1"/>
      <w:marLeft w:val="0"/>
      <w:marRight w:val="0"/>
      <w:marTop w:val="0"/>
      <w:marBottom w:val="0"/>
      <w:divBdr>
        <w:top w:val="none" w:sz="0" w:space="0" w:color="auto"/>
        <w:left w:val="none" w:sz="0" w:space="0" w:color="auto"/>
        <w:bottom w:val="none" w:sz="0" w:space="0" w:color="auto"/>
        <w:right w:val="none" w:sz="0" w:space="0" w:color="auto"/>
      </w:divBdr>
    </w:div>
    <w:div w:id="190067898">
      <w:bodyDiv w:val="1"/>
      <w:marLeft w:val="0"/>
      <w:marRight w:val="0"/>
      <w:marTop w:val="0"/>
      <w:marBottom w:val="0"/>
      <w:divBdr>
        <w:top w:val="none" w:sz="0" w:space="0" w:color="auto"/>
        <w:left w:val="none" w:sz="0" w:space="0" w:color="auto"/>
        <w:bottom w:val="none" w:sz="0" w:space="0" w:color="auto"/>
        <w:right w:val="none" w:sz="0" w:space="0" w:color="auto"/>
      </w:divBdr>
    </w:div>
    <w:div w:id="480317141">
      <w:bodyDiv w:val="1"/>
      <w:marLeft w:val="0"/>
      <w:marRight w:val="0"/>
      <w:marTop w:val="0"/>
      <w:marBottom w:val="0"/>
      <w:divBdr>
        <w:top w:val="none" w:sz="0" w:space="0" w:color="auto"/>
        <w:left w:val="none" w:sz="0" w:space="0" w:color="auto"/>
        <w:bottom w:val="none" w:sz="0" w:space="0" w:color="auto"/>
        <w:right w:val="none" w:sz="0" w:space="0" w:color="auto"/>
      </w:divBdr>
    </w:div>
    <w:div w:id="878933767">
      <w:bodyDiv w:val="1"/>
      <w:marLeft w:val="0"/>
      <w:marRight w:val="0"/>
      <w:marTop w:val="0"/>
      <w:marBottom w:val="0"/>
      <w:divBdr>
        <w:top w:val="none" w:sz="0" w:space="0" w:color="auto"/>
        <w:left w:val="none" w:sz="0" w:space="0" w:color="auto"/>
        <w:bottom w:val="none" w:sz="0" w:space="0" w:color="auto"/>
        <w:right w:val="none" w:sz="0" w:space="0" w:color="auto"/>
      </w:divBdr>
    </w:div>
    <w:div w:id="1092898154">
      <w:bodyDiv w:val="1"/>
      <w:marLeft w:val="0"/>
      <w:marRight w:val="0"/>
      <w:marTop w:val="0"/>
      <w:marBottom w:val="0"/>
      <w:divBdr>
        <w:top w:val="none" w:sz="0" w:space="0" w:color="auto"/>
        <w:left w:val="none" w:sz="0" w:space="0" w:color="auto"/>
        <w:bottom w:val="none" w:sz="0" w:space="0" w:color="auto"/>
        <w:right w:val="none" w:sz="0" w:space="0" w:color="auto"/>
      </w:divBdr>
    </w:div>
    <w:div w:id="1237016754">
      <w:bodyDiv w:val="1"/>
      <w:marLeft w:val="0"/>
      <w:marRight w:val="0"/>
      <w:marTop w:val="0"/>
      <w:marBottom w:val="0"/>
      <w:divBdr>
        <w:top w:val="none" w:sz="0" w:space="0" w:color="auto"/>
        <w:left w:val="none" w:sz="0" w:space="0" w:color="auto"/>
        <w:bottom w:val="none" w:sz="0" w:space="0" w:color="auto"/>
        <w:right w:val="none" w:sz="0" w:space="0" w:color="auto"/>
      </w:divBdr>
    </w:div>
    <w:div w:id="1280382117">
      <w:bodyDiv w:val="1"/>
      <w:marLeft w:val="0"/>
      <w:marRight w:val="0"/>
      <w:marTop w:val="0"/>
      <w:marBottom w:val="0"/>
      <w:divBdr>
        <w:top w:val="none" w:sz="0" w:space="0" w:color="auto"/>
        <w:left w:val="none" w:sz="0" w:space="0" w:color="auto"/>
        <w:bottom w:val="none" w:sz="0" w:space="0" w:color="auto"/>
        <w:right w:val="none" w:sz="0" w:space="0" w:color="auto"/>
      </w:divBdr>
    </w:div>
    <w:div w:id="1500581969">
      <w:bodyDiv w:val="1"/>
      <w:marLeft w:val="0"/>
      <w:marRight w:val="0"/>
      <w:marTop w:val="0"/>
      <w:marBottom w:val="0"/>
      <w:divBdr>
        <w:top w:val="none" w:sz="0" w:space="0" w:color="auto"/>
        <w:left w:val="none" w:sz="0" w:space="0" w:color="auto"/>
        <w:bottom w:val="none" w:sz="0" w:space="0" w:color="auto"/>
        <w:right w:val="none" w:sz="0" w:space="0" w:color="auto"/>
      </w:divBdr>
    </w:div>
    <w:div w:id="1555047606">
      <w:bodyDiv w:val="1"/>
      <w:marLeft w:val="0"/>
      <w:marRight w:val="0"/>
      <w:marTop w:val="0"/>
      <w:marBottom w:val="0"/>
      <w:divBdr>
        <w:top w:val="none" w:sz="0" w:space="0" w:color="auto"/>
        <w:left w:val="none" w:sz="0" w:space="0" w:color="auto"/>
        <w:bottom w:val="none" w:sz="0" w:space="0" w:color="auto"/>
        <w:right w:val="none" w:sz="0" w:space="0" w:color="auto"/>
      </w:divBdr>
    </w:div>
    <w:div w:id="179643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2F374-29DD-4D18-8772-24B9FB8D4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1276</Words>
  <Characters>15039</Characters>
  <Application>Microsoft Office Word</Application>
  <DocSecurity>0</DocSecurity>
  <Lines>125</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Rafal</dc:creator>
  <cp:keywords/>
  <dc:description/>
  <cp:lastModifiedBy>Selvi G.</cp:lastModifiedBy>
  <cp:revision>4</cp:revision>
  <cp:lastPrinted>2024-03-21T18:14:00Z</cp:lastPrinted>
  <dcterms:created xsi:type="dcterms:W3CDTF">2024-03-21T18:14:00Z</dcterms:created>
  <dcterms:modified xsi:type="dcterms:W3CDTF">2024-04-16T06:27:00Z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028fe483c5f06a672de1f8d4c5b4f3d3d832b3116a0e00e733c5543c171fca06</vt:lpwstr>
  </property>
</Properties>
</file>