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756C2" w14:textId="305079A4" w:rsidR="00A32456" w:rsidRPr="002712E4" w:rsidRDefault="00A32456" w:rsidP="00A32456">
      <w:pPr>
        <w:rPr>
          <w:rFonts w:ascii="Times New Roman" w:hAnsi="Times New Roman" w:cs="Times New Roman"/>
        </w:rPr>
      </w:pPr>
      <w:r w:rsidRPr="002712E4">
        <w:rPr>
          <w:rFonts w:ascii="Times New Roman" w:hAnsi="Times New Roman" w:cs="Times New Roman"/>
          <w:b/>
          <w:bCs/>
        </w:rPr>
        <w:t>Supplementary Table S1. Operationalisation of the SHARE-adapted Frailty Phenotype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7"/>
        <w:gridCol w:w="1354"/>
        <w:gridCol w:w="6517"/>
      </w:tblGrid>
      <w:tr w:rsidR="00A32456" w:rsidRPr="002712E4" w14:paraId="39678E30" w14:textId="77777777" w:rsidTr="001E3DC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580F57" w14:textId="77777777" w:rsidR="00A32456" w:rsidRPr="002712E4" w:rsidRDefault="00A32456" w:rsidP="001E3D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12E4">
              <w:rPr>
                <w:rFonts w:ascii="Times New Roman" w:hAnsi="Times New Roman" w:cs="Times New Roman"/>
                <w:b/>
                <w:bCs/>
              </w:rPr>
              <w:t>Component</w:t>
            </w:r>
          </w:p>
        </w:tc>
        <w:tc>
          <w:tcPr>
            <w:tcW w:w="0" w:type="auto"/>
            <w:vAlign w:val="center"/>
            <w:hideMark/>
          </w:tcPr>
          <w:p w14:paraId="0C5165A9" w14:textId="77777777" w:rsidR="00A32456" w:rsidRPr="002712E4" w:rsidRDefault="00A32456" w:rsidP="001E3D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12E4">
              <w:rPr>
                <w:rFonts w:ascii="Times New Roman" w:hAnsi="Times New Roman" w:cs="Times New Roman"/>
                <w:b/>
                <w:bCs/>
              </w:rPr>
              <w:t>SHARE item(s)</w:t>
            </w:r>
          </w:p>
        </w:tc>
        <w:tc>
          <w:tcPr>
            <w:tcW w:w="0" w:type="auto"/>
            <w:vAlign w:val="center"/>
            <w:hideMark/>
          </w:tcPr>
          <w:p w14:paraId="29B5AAD6" w14:textId="77777777" w:rsidR="00A32456" w:rsidRPr="002712E4" w:rsidRDefault="00A32456" w:rsidP="001E3D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12E4">
              <w:rPr>
                <w:rFonts w:ascii="Times New Roman" w:hAnsi="Times New Roman" w:cs="Times New Roman"/>
                <w:b/>
                <w:bCs/>
              </w:rPr>
              <w:t>Operationalisation</w:t>
            </w:r>
          </w:p>
        </w:tc>
      </w:tr>
      <w:tr w:rsidR="00A32456" w:rsidRPr="002712E4" w14:paraId="50AF78BC" w14:textId="77777777" w:rsidTr="001E3D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C694FD" w14:textId="77777777" w:rsidR="00A32456" w:rsidRPr="002712E4" w:rsidRDefault="00A32456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Muscle weakness</w:t>
            </w:r>
          </w:p>
        </w:tc>
        <w:tc>
          <w:tcPr>
            <w:tcW w:w="0" w:type="auto"/>
            <w:vAlign w:val="center"/>
            <w:hideMark/>
          </w:tcPr>
          <w:p w14:paraId="614E87AC" w14:textId="77777777" w:rsidR="00A32456" w:rsidRPr="002712E4" w:rsidRDefault="00A32456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GS001</w:t>
            </w:r>
          </w:p>
        </w:tc>
        <w:tc>
          <w:tcPr>
            <w:tcW w:w="0" w:type="auto"/>
            <w:vAlign w:val="center"/>
            <w:hideMark/>
          </w:tcPr>
          <w:p w14:paraId="1CB7C28E" w14:textId="77777777" w:rsidR="00A32456" w:rsidRPr="002712E4" w:rsidRDefault="00A32456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Grip strength below the sex- and BMI-specific 20th percentile threshold</w:t>
            </w:r>
          </w:p>
        </w:tc>
      </w:tr>
      <w:tr w:rsidR="00A32456" w:rsidRPr="002712E4" w14:paraId="067B49A9" w14:textId="77777777" w:rsidTr="001E3D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B79225" w14:textId="77777777" w:rsidR="00A32456" w:rsidRPr="002712E4" w:rsidRDefault="00A32456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Exhaustion</w:t>
            </w:r>
          </w:p>
        </w:tc>
        <w:tc>
          <w:tcPr>
            <w:tcW w:w="0" w:type="auto"/>
            <w:vAlign w:val="center"/>
            <w:hideMark/>
          </w:tcPr>
          <w:p w14:paraId="7B6E8B13" w14:textId="77777777" w:rsidR="00A32456" w:rsidRPr="002712E4" w:rsidRDefault="00A32456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MH13</w:t>
            </w:r>
          </w:p>
        </w:tc>
        <w:tc>
          <w:tcPr>
            <w:tcW w:w="0" w:type="auto"/>
            <w:vAlign w:val="center"/>
            <w:hideMark/>
          </w:tcPr>
          <w:p w14:paraId="5ADA5EFF" w14:textId="77777777" w:rsidR="00A32456" w:rsidRPr="002712E4" w:rsidRDefault="00A32456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Self-reported poor endurance or low energy during the past month</w:t>
            </w:r>
          </w:p>
        </w:tc>
      </w:tr>
      <w:tr w:rsidR="00A32456" w:rsidRPr="002712E4" w14:paraId="1AEE3CC4" w14:textId="77777777" w:rsidTr="001E3D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596E3" w14:textId="77777777" w:rsidR="00A32456" w:rsidRPr="002712E4" w:rsidRDefault="00A32456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Unintentional weight loss</w:t>
            </w:r>
          </w:p>
        </w:tc>
        <w:tc>
          <w:tcPr>
            <w:tcW w:w="0" w:type="auto"/>
            <w:vAlign w:val="center"/>
            <w:hideMark/>
          </w:tcPr>
          <w:p w14:paraId="313A48AD" w14:textId="77777777" w:rsidR="00A32456" w:rsidRPr="002712E4" w:rsidRDefault="00A32456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MH11, MH12</w:t>
            </w:r>
          </w:p>
        </w:tc>
        <w:tc>
          <w:tcPr>
            <w:tcW w:w="0" w:type="auto"/>
            <w:vAlign w:val="center"/>
            <w:hideMark/>
          </w:tcPr>
          <w:p w14:paraId="2402CFE5" w14:textId="77777777" w:rsidR="00A32456" w:rsidRPr="002712E4" w:rsidRDefault="00A32456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Self-reported loss of appetite or weight loss exceeding 5% of body weight over the preceding 12 months</w:t>
            </w:r>
          </w:p>
        </w:tc>
      </w:tr>
      <w:tr w:rsidR="00A32456" w:rsidRPr="002712E4" w14:paraId="0ACEC366" w14:textId="77777777" w:rsidTr="001E3D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9DE400" w14:textId="77777777" w:rsidR="00A32456" w:rsidRPr="002712E4" w:rsidRDefault="00A32456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Slowness</w:t>
            </w:r>
          </w:p>
        </w:tc>
        <w:tc>
          <w:tcPr>
            <w:tcW w:w="0" w:type="auto"/>
            <w:vAlign w:val="center"/>
            <w:hideMark/>
          </w:tcPr>
          <w:p w14:paraId="0440A1B4" w14:textId="77777777" w:rsidR="00A32456" w:rsidRPr="002712E4" w:rsidRDefault="00A32456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PH048d1, PH048d5</w:t>
            </w:r>
          </w:p>
        </w:tc>
        <w:tc>
          <w:tcPr>
            <w:tcW w:w="0" w:type="auto"/>
            <w:vAlign w:val="center"/>
            <w:hideMark/>
          </w:tcPr>
          <w:p w14:paraId="3E8837BA" w14:textId="77777777" w:rsidR="00A32456" w:rsidRPr="002712E4" w:rsidRDefault="00A32456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Self-reported difficulty walking 100 metres or climbing one flight of stairs without resting; affirmative response to either item sufficient</w:t>
            </w:r>
          </w:p>
        </w:tc>
      </w:tr>
      <w:tr w:rsidR="00A32456" w:rsidRPr="002712E4" w14:paraId="64F41938" w14:textId="77777777" w:rsidTr="001E3D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2AD7F4" w14:textId="77777777" w:rsidR="00A32456" w:rsidRPr="002712E4" w:rsidRDefault="00A32456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Low physical activity</w:t>
            </w:r>
          </w:p>
        </w:tc>
        <w:tc>
          <w:tcPr>
            <w:tcW w:w="0" w:type="auto"/>
            <w:vAlign w:val="center"/>
            <w:hideMark/>
          </w:tcPr>
          <w:p w14:paraId="3BAB7273" w14:textId="77777777" w:rsidR="00A32456" w:rsidRPr="002712E4" w:rsidRDefault="00A32456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BR016</w:t>
            </w:r>
          </w:p>
        </w:tc>
        <w:tc>
          <w:tcPr>
            <w:tcW w:w="0" w:type="auto"/>
            <w:vAlign w:val="center"/>
            <w:hideMark/>
          </w:tcPr>
          <w:p w14:paraId="3B527234" w14:textId="77777777" w:rsidR="00A32456" w:rsidRPr="002712E4" w:rsidRDefault="00A32456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Reporting rarely or never engaging in low- or moderate-intensity physical activities</w:t>
            </w:r>
          </w:p>
        </w:tc>
      </w:tr>
    </w:tbl>
    <w:p w14:paraId="03785B81" w14:textId="77777777" w:rsidR="00A32456" w:rsidRPr="002712E4" w:rsidRDefault="00A32456" w:rsidP="00A32456">
      <w:pPr>
        <w:rPr>
          <w:rFonts w:ascii="Times New Roman" w:hAnsi="Times New Roman" w:cs="Times New Roman"/>
        </w:rPr>
      </w:pPr>
      <w:r w:rsidRPr="002712E4">
        <w:rPr>
          <w:rFonts w:ascii="Times New Roman" w:hAnsi="Times New Roman" w:cs="Times New Roman"/>
          <w:i/>
          <w:iCs/>
        </w:rPr>
        <w:t>Note: Each fulfilled criterion is assigned a score of one point. Individuals are classified as non-frail (score = 0), pre-frail (score = 1–2), or frail (score ≥ 3), following Fried et al. (2001) and Santos-Eggimann et al. (2009).</w:t>
      </w:r>
    </w:p>
    <w:p w14:paraId="23BC3198" w14:textId="2937F894" w:rsidR="009D6F4D" w:rsidRPr="002712E4" w:rsidRDefault="009D6F4D">
      <w:pPr>
        <w:rPr>
          <w:rFonts w:ascii="Times New Roman" w:hAnsi="Times New Roman" w:cs="Times New Roman"/>
          <w:b/>
          <w:bCs/>
        </w:rPr>
      </w:pPr>
      <w:r w:rsidRPr="002712E4">
        <w:rPr>
          <w:rFonts w:ascii="Times New Roman" w:hAnsi="Times New Roman" w:cs="Times New Roman"/>
          <w:b/>
          <w:bCs/>
        </w:rPr>
        <w:br w:type="page"/>
      </w:r>
    </w:p>
    <w:p w14:paraId="63481A82" w14:textId="77777777" w:rsidR="00A32456" w:rsidRPr="002712E4" w:rsidRDefault="00A32456" w:rsidP="003D26F1">
      <w:pPr>
        <w:rPr>
          <w:rFonts w:ascii="Times New Roman" w:hAnsi="Times New Roman" w:cs="Times New Roman"/>
          <w:b/>
          <w:bCs/>
        </w:rPr>
      </w:pPr>
    </w:p>
    <w:p w14:paraId="7A7A490E" w14:textId="24258308" w:rsidR="003D26F1" w:rsidRPr="002712E4" w:rsidRDefault="003D26F1" w:rsidP="003D26F1">
      <w:pPr>
        <w:rPr>
          <w:rFonts w:ascii="Times New Roman" w:hAnsi="Times New Roman" w:cs="Times New Roman"/>
        </w:rPr>
      </w:pPr>
      <w:r w:rsidRPr="002712E4">
        <w:rPr>
          <w:rFonts w:ascii="Times New Roman" w:hAnsi="Times New Roman" w:cs="Times New Roman"/>
          <w:b/>
          <w:bCs/>
        </w:rPr>
        <w:t>Supplementary Table S</w:t>
      </w:r>
      <w:r w:rsidR="00A32456" w:rsidRPr="002712E4">
        <w:rPr>
          <w:rFonts w:ascii="Times New Roman" w:hAnsi="Times New Roman" w:cs="Times New Roman"/>
          <w:b/>
          <w:bCs/>
        </w:rPr>
        <w:t>2</w:t>
      </w:r>
      <w:r w:rsidRPr="002712E4">
        <w:rPr>
          <w:rFonts w:ascii="Times New Roman" w:hAnsi="Times New Roman" w:cs="Times New Roman"/>
          <w:b/>
          <w:bCs/>
        </w:rPr>
        <w:t>. Operationalisation of covariates: variable codes, response scales, and classification criteria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9"/>
        <w:gridCol w:w="1893"/>
        <w:gridCol w:w="1812"/>
        <w:gridCol w:w="4674"/>
      </w:tblGrid>
      <w:tr w:rsidR="003D26F1" w:rsidRPr="002712E4" w14:paraId="39AB7E19" w14:textId="77777777" w:rsidTr="001E3DC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051A51B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12E4">
              <w:rPr>
                <w:rFonts w:ascii="Times New Roman" w:hAnsi="Times New Roman" w:cs="Times New Roman"/>
                <w:b/>
                <w:bCs/>
              </w:rPr>
              <w:t>Covariate</w:t>
            </w:r>
          </w:p>
        </w:tc>
        <w:tc>
          <w:tcPr>
            <w:tcW w:w="0" w:type="auto"/>
            <w:vAlign w:val="center"/>
            <w:hideMark/>
          </w:tcPr>
          <w:p w14:paraId="1737E2F0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12E4">
              <w:rPr>
                <w:rFonts w:ascii="Times New Roman" w:hAnsi="Times New Roman" w:cs="Times New Roman"/>
                <w:b/>
                <w:bCs/>
              </w:rPr>
              <w:t>SHARE item(s)</w:t>
            </w:r>
          </w:p>
        </w:tc>
        <w:tc>
          <w:tcPr>
            <w:tcW w:w="0" w:type="auto"/>
            <w:vAlign w:val="center"/>
            <w:hideMark/>
          </w:tcPr>
          <w:p w14:paraId="5609DAC4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12E4">
              <w:rPr>
                <w:rFonts w:ascii="Times New Roman" w:hAnsi="Times New Roman" w:cs="Times New Roman"/>
                <w:b/>
                <w:bCs/>
              </w:rPr>
              <w:t>Response scale</w:t>
            </w:r>
          </w:p>
        </w:tc>
        <w:tc>
          <w:tcPr>
            <w:tcW w:w="0" w:type="auto"/>
            <w:vAlign w:val="center"/>
            <w:hideMark/>
          </w:tcPr>
          <w:p w14:paraId="531A7947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12E4">
              <w:rPr>
                <w:rFonts w:ascii="Times New Roman" w:hAnsi="Times New Roman" w:cs="Times New Roman"/>
                <w:b/>
                <w:bCs/>
              </w:rPr>
              <w:t>Operationalisation</w:t>
            </w:r>
          </w:p>
        </w:tc>
      </w:tr>
      <w:tr w:rsidR="003D26F1" w:rsidRPr="002712E4" w14:paraId="7DF08209" w14:textId="77777777" w:rsidTr="001E3D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114EBE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Age group</w:t>
            </w:r>
          </w:p>
        </w:tc>
        <w:tc>
          <w:tcPr>
            <w:tcW w:w="0" w:type="auto"/>
            <w:vAlign w:val="center"/>
            <w:hideMark/>
          </w:tcPr>
          <w:p w14:paraId="4A067157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age2015</w:t>
            </w:r>
          </w:p>
        </w:tc>
        <w:tc>
          <w:tcPr>
            <w:tcW w:w="0" w:type="auto"/>
            <w:vAlign w:val="center"/>
            <w:hideMark/>
          </w:tcPr>
          <w:p w14:paraId="7436F7C9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Continuous (years)</w:t>
            </w:r>
          </w:p>
        </w:tc>
        <w:tc>
          <w:tcPr>
            <w:tcW w:w="0" w:type="auto"/>
            <w:vAlign w:val="center"/>
            <w:hideMark/>
          </w:tcPr>
          <w:p w14:paraId="7BCCE169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Dichotomised: 50–74 years (reference) vs. 75 years and older</w:t>
            </w:r>
          </w:p>
        </w:tc>
      </w:tr>
      <w:tr w:rsidR="003D26F1" w:rsidRPr="002712E4" w14:paraId="79E0E0DB" w14:textId="77777777" w:rsidTr="001E3D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B98E15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0" w:type="auto"/>
            <w:vAlign w:val="center"/>
            <w:hideMark/>
          </w:tcPr>
          <w:p w14:paraId="7F8C6403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0" w:type="auto"/>
            <w:vAlign w:val="center"/>
            <w:hideMark/>
          </w:tcPr>
          <w:p w14:paraId="47E5C39F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Binary</w:t>
            </w:r>
          </w:p>
        </w:tc>
        <w:tc>
          <w:tcPr>
            <w:tcW w:w="0" w:type="auto"/>
            <w:vAlign w:val="center"/>
            <w:hideMark/>
          </w:tcPr>
          <w:p w14:paraId="548E8067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0 = man (reference); 1 = woman</w:t>
            </w:r>
          </w:p>
        </w:tc>
      </w:tr>
      <w:tr w:rsidR="003D26F1" w:rsidRPr="002712E4" w14:paraId="6C3F62D6" w14:textId="77777777" w:rsidTr="001E3D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F31E9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Geographic macro-region</w:t>
            </w:r>
          </w:p>
        </w:tc>
        <w:tc>
          <w:tcPr>
            <w:tcW w:w="0" w:type="auto"/>
            <w:vAlign w:val="center"/>
            <w:hideMark/>
          </w:tcPr>
          <w:p w14:paraId="1ECA9755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country</w:t>
            </w:r>
          </w:p>
        </w:tc>
        <w:tc>
          <w:tcPr>
            <w:tcW w:w="0" w:type="auto"/>
            <w:vAlign w:val="center"/>
            <w:hideMark/>
          </w:tcPr>
          <w:p w14:paraId="5D1C49A1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Categorical</w:t>
            </w:r>
          </w:p>
        </w:tc>
        <w:tc>
          <w:tcPr>
            <w:tcW w:w="0" w:type="auto"/>
            <w:vAlign w:val="center"/>
            <w:hideMark/>
          </w:tcPr>
          <w:p w14:paraId="214196B5" w14:textId="123401D9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Northern-Continental Europe; Eastern Europe; Mediterranean Europe</w:t>
            </w:r>
            <w:r w:rsidR="00F00247" w:rsidRPr="002712E4">
              <w:rPr>
                <w:rFonts w:ascii="Times New Roman" w:hAnsi="Times New Roman" w:cs="Times New Roman"/>
              </w:rPr>
              <w:t xml:space="preserve"> (reference: Mediterranean Europe)</w:t>
            </w:r>
          </w:p>
        </w:tc>
      </w:tr>
      <w:tr w:rsidR="003D26F1" w:rsidRPr="002712E4" w14:paraId="3DE737D8" w14:textId="77777777" w:rsidTr="001E3D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BF97B6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Chronic conditions</w:t>
            </w:r>
          </w:p>
        </w:tc>
        <w:tc>
          <w:tcPr>
            <w:tcW w:w="0" w:type="auto"/>
            <w:vAlign w:val="center"/>
            <w:hideMark/>
          </w:tcPr>
          <w:p w14:paraId="0F2C1795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chronicw6 (</w:t>
            </w:r>
            <w:proofErr w:type="spellStart"/>
            <w:r w:rsidRPr="002712E4">
              <w:rPr>
                <w:rFonts w:ascii="Times New Roman" w:hAnsi="Times New Roman" w:cs="Times New Roman"/>
              </w:rPr>
              <w:t>gv_health</w:t>
            </w:r>
            <w:proofErr w:type="spellEnd"/>
            <w:r w:rsidRPr="002712E4">
              <w:rPr>
                <w:rFonts w:ascii="Times New Roman" w:hAnsi="Times New Roman" w:cs="Times New Roman"/>
              </w:rPr>
              <w:t xml:space="preserve"> module)</w:t>
            </w:r>
          </w:p>
        </w:tc>
        <w:tc>
          <w:tcPr>
            <w:tcW w:w="0" w:type="auto"/>
            <w:vAlign w:val="center"/>
            <w:hideMark/>
          </w:tcPr>
          <w:p w14:paraId="29916946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Binary (presence of each condition)</w:t>
            </w:r>
          </w:p>
        </w:tc>
        <w:tc>
          <w:tcPr>
            <w:tcW w:w="0" w:type="auto"/>
            <w:vAlign w:val="center"/>
            <w:hideMark/>
          </w:tcPr>
          <w:p w14:paraId="4A807A78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0 = no chronic conditions; 1 = at least one chronic condition. Conditions included: heart attack or coronary heart disease, stroke, high blood pressure, diabetes, chronic lung disease, cancer or malignant tumour, arthritis or osteoarthritis, osteoporosis, stomach or duodenal ulcer</w:t>
            </w:r>
          </w:p>
        </w:tc>
      </w:tr>
      <w:tr w:rsidR="003D26F1" w:rsidRPr="002712E4" w14:paraId="593E3747" w14:textId="77777777" w:rsidTr="001E3D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5622AC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Perceived loneliness</w:t>
            </w:r>
          </w:p>
        </w:tc>
        <w:tc>
          <w:tcPr>
            <w:tcW w:w="0" w:type="auto"/>
            <w:vAlign w:val="center"/>
            <w:hideMark/>
          </w:tcPr>
          <w:p w14:paraId="057D0C16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MH034, MH035, MH036 (mental health module)</w:t>
            </w:r>
          </w:p>
        </w:tc>
        <w:tc>
          <w:tcPr>
            <w:tcW w:w="0" w:type="auto"/>
            <w:vAlign w:val="center"/>
            <w:hideMark/>
          </w:tcPr>
          <w:p w14:paraId="2945552D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Three-point scale per item: 1 = often, 2 = sometimes, 3 = hardly ever or never</w:t>
            </w:r>
          </w:p>
        </w:tc>
        <w:tc>
          <w:tcPr>
            <w:tcW w:w="0" w:type="auto"/>
            <w:vAlign w:val="center"/>
            <w:hideMark/>
          </w:tcPr>
          <w:p w14:paraId="63E16721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Items summed to produce a score ranging from 3 to 9. Individuals scoring 3–6 classified as lonely (=1); scoring 7–9 as not lonely (=0). Based on the three-item UCLA Loneliness Scale adapted for SHARE (</w:t>
            </w:r>
            <w:proofErr w:type="spellStart"/>
            <w:r w:rsidRPr="002712E4">
              <w:rPr>
                <w:rFonts w:ascii="Times New Roman" w:hAnsi="Times New Roman" w:cs="Times New Roman"/>
              </w:rPr>
              <w:t>Jarach</w:t>
            </w:r>
            <w:proofErr w:type="spellEnd"/>
            <w:r w:rsidRPr="002712E4">
              <w:rPr>
                <w:rFonts w:ascii="Times New Roman" w:hAnsi="Times New Roman" w:cs="Times New Roman"/>
              </w:rPr>
              <w:t xml:space="preserve"> et al., 2021)</w:t>
            </w:r>
          </w:p>
        </w:tc>
      </w:tr>
      <w:tr w:rsidR="003D26F1" w:rsidRPr="002712E4" w14:paraId="76BBB872" w14:textId="77777777" w:rsidTr="001E3D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DB73E9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Financial difficulties</w:t>
            </w:r>
          </w:p>
        </w:tc>
        <w:tc>
          <w:tcPr>
            <w:tcW w:w="0" w:type="auto"/>
            <w:vAlign w:val="center"/>
            <w:hideMark/>
          </w:tcPr>
          <w:p w14:paraId="77FA98AB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CO007 (</w:t>
            </w:r>
            <w:proofErr w:type="spellStart"/>
            <w:r w:rsidRPr="002712E4">
              <w:rPr>
                <w:rFonts w:ascii="Times New Roman" w:hAnsi="Times New Roman" w:cs="Times New Roman"/>
              </w:rPr>
              <w:t>gv_imputations</w:t>
            </w:r>
            <w:proofErr w:type="spellEnd"/>
            <w:r w:rsidRPr="002712E4">
              <w:rPr>
                <w:rFonts w:ascii="Times New Roman" w:hAnsi="Times New Roman" w:cs="Times New Roman"/>
              </w:rPr>
              <w:t xml:space="preserve"> module, variable </w:t>
            </w:r>
            <w:proofErr w:type="spellStart"/>
            <w:r w:rsidRPr="002712E4">
              <w:rPr>
                <w:rFonts w:ascii="Times New Roman" w:hAnsi="Times New Roman" w:cs="Times New Roman"/>
              </w:rPr>
              <w:t>fdistress</w:t>
            </w:r>
            <w:proofErr w:type="spellEnd"/>
            <w:r w:rsidRPr="002712E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3BFCEF5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Six-point scale: 1 = with great difficulty, 6 = very easily</w:t>
            </w:r>
          </w:p>
        </w:tc>
        <w:tc>
          <w:tcPr>
            <w:tcW w:w="0" w:type="auto"/>
            <w:vAlign w:val="center"/>
            <w:hideMark/>
          </w:tcPr>
          <w:p w14:paraId="50736A24" w14:textId="77777777" w:rsidR="003D26F1" w:rsidRPr="002712E4" w:rsidRDefault="003D26F1" w:rsidP="001E3DC0">
            <w:pPr>
              <w:jc w:val="center"/>
              <w:rPr>
                <w:rFonts w:ascii="Times New Roman" w:hAnsi="Times New Roman" w:cs="Times New Roman"/>
              </w:rPr>
            </w:pPr>
            <w:r w:rsidRPr="002712E4">
              <w:rPr>
                <w:rFonts w:ascii="Times New Roman" w:hAnsi="Times New Roman" w:cs="Times New Roman"/>
              </w:rPr>
              <w:t>Categories 1–2 ("with great difficulty" or "with some difficulty") classified as experiencing financial difficulties (=1); categories 3–6 classified as not experiencing financial difficulties (=0). Imputed version used to reduce item non-response</w:t>
            </w:r>
          </w:p>
        </w:tc>
      </w:tr>
    </w:tbl>
    <w:p w14:paraId="1A9FF7A9" w14:textId="588DEB58" w:rsidR="003D26F1" w:rsidRPr="002712E4" w:rsidRDefault="003D26F1" w:rsidP="003D26F1">
      <w:pPr>
        <w:rPr>
          <w:rFonts w:ascii="Times New Roman" w:hAnsi="Times New Roman" w:cs="Times New Roman"/>
        </w:rPr>
      </w:pPr>
    </w:p>
    <w:p w14:paraId="78672AE1" w14:textId="77777777" w:rsidR="003D26F1" w:rsidRPr="002712E4" w:rsidRDefault="003D26F1" w:rsidP="003D26F1">
      <w:pPr>
        <w:rPr>
          <w:rFonts w:ascii="Times New Roman" w:hAnsi="Times New Roman" w:cs="Times New Roman"/>
        </w:rPr>
      </w:pPr>
    </w:p>
    <w:p w14:paraId="7235F13A" w14:textId="77777777" w:rsidR="003D26F1" w:rsidRPr="002712E4" w:rsidRDefault="003D26F1" w:rsidP="003D26F1">
      <w:pPr>
        <w:rPr>
          <w:rFonts w:ascii="Times New Roman" w:hAnsi="Times New Roman" w:cs="Times New Roman"/>
        </w:rPr>
      </w:pPr>
    </w:p>
    <w:p w14:paraId="78047B11" w14:textId="77777777" w:rsidR="003D26F1" w:rsidRPr="002712E4" w:rsidRDefault="003D26F1" w:rsidP="003D26F1">
      <w:pPr>
        <w:rPr>
          <w:rFonts w:ascii="Times New Roman" w:hAnsi="Times New Roman" w:cs="Times New Roman"/>
        </w:rPr>
      </w:pPr>
    </w:p>
    <w:p w14:paraId="0EEDDDC7" w14:textId="77777777" w:rsidR="003D26F1" w:rsidRPr="002712E4" w:rsidRDefault="003D26F1" w:rsidP="003D26F1">
      <w:pPr>
        <w:rPr>
          <w:rFonts w:ascii="Times New Roman" w:hAnsi="Times New Roman" w:cs="Times New Roman"/>
        </w:rPr>
      </w:pPr>
    </w:p>
    <w:p w14:paraId="021DC38B" w14:textId="77777777" w:rsidR="003D26F1" w:rsidRPr="002712E4" w:rsidRDefault="003D26F1" w:rsidP="003D26F1">
      <w:pPr>
        <w:rPr>
          <w:rFonts w:ascii="Times New Roman" w:hAnsi="Times New Roman" w:cs="Times New Roman"/>
        </w:rPr>
      </w:pPr>
    </w:p>
    <w:p w14:paraId="0F5AACA9" w14:textId="77777777" w:rsidR="003D26F1" w:rsidRPr="002712E4" w:rsidRDefault="003D26F1" w:rsidP="003D26F1">
      <w:pPr>
        <w:rPr>
          <w:rFonts w:ascii="Times New Roman" w:hAnsi="Times New Roman" w:cs="Times New Roman"/>
        </w:rPr>
      </w:pPr>
    </w:p>
    <w:p w14:paraId="720F1FA9" w14:textId="77777777" w:rsidR="003D26F1" w:rsidRPr="002712E4" w:rsidRDefault="003D26F1" w:rsidP="003D26F1">
      <w:pPr>
        <w:rPr>
          <w:rFonts w:ascii="Times New Roman" w:hAnsi="Times New Roman" w:cs="Times New Roman"/>
        </w:rPr>
      </w:pPr>
    </w:p>
    <w:p w14:paraId="0060C621" w14:textId="77777777" w:rsidR="003D26F1" w:rsidRPr="002712E4" w:rsidRDefault="003D26F1" w:rsidP="003D26F1">
      <w:pPr>
        <w:rPr>
          <w:rFonts w:ascii="Times New Roman" w:hAnsi="Times New Roman" w:cs="Times New Roman"/>
        </w:rPr>
      </w:pPr>
    </w:p>
    <w:p w14:paraId="0429D0B2" w14:textId="77777777" w:rsidR="003D26F1" w:rsidRPr="002712E4" w:rsidRDefault="003D26F1" w:rsidP="003D26F1">
      <w:pPr>
        <w:rPr>
          <w:rFonts w:ascii="Times New Roman" w:hAnsi="Times New Roman" w:cs="Times New Roman"/>
        </w:rPr>
      </w:pPr>
    </w:p>
    <w:p w14:paraId="2582B58D" w14:textId="77777777" w:rsidR="003D26F1" w:rsidRPr="002712E4" w:rsidRDefault="003D26F1" w:rsidP="003D26F1">
      <w:pPr>
        <w:rPr>
          <w:rFonts w:ascii="Times New Roman" w:hAnsi="Times New Roman" w:cs="Times New Roman"/>
        </w:rPr>
      </w:pPr>
    </w:p>
    <w:p w14:paraId="7E32B745" w14:textId="77777777" w:rsidR="003D26F1" w:rsidRPr="002712E4" w:rsidRDefault="003D26F1" w:rsidP="003D26F1">
      <w:pPr>
        <w:rPr>
          <w:rFonts w:ascii="Times New Roman" w:hAnsi="Times New Roman" w:cs="Times New Roman"/>
        </w:rPr>
      </w:pPr>
    </w:p>
    <w:p w14:paraId="49D58D55" w14:textId="77777777" w:rsidR="00A11B08" w:rsidRPr="00421434" w:rsidRDefault="00A11B08" w:rsidP="00A11B08">
      <w:pPr>
        <w:jc w:val="both"/>
        <w:rPr>
          <w:rFonts w:ascii="Times New Roman" w:hAnsi="Times New Roman" w:cs="Times New Roman"/>
          <w:b/>
          <w:bCs/>
        </w:rPr>
      </w:pPr>
      <w:r w:rsidRPr="00421434">
        <w:rPr>
          <w:rFonts w:ascii="Times New Roman" w:hAnsi="Times New Roman" w:cs="Times New Roman"/>
          <w:b/>
          <w:bCs/>
        </w:rPr>
        <w:lastRenderedPageBreak/>
        <w:t>Supplementary Figure S1. MCA biplot of European countries and contextual indicators.</w:t>
      </w:r>
    </w:p>
    <w:p w14:paraId="25B1ADAD" w14:textId="781DBA1C" w:rsidR="00A11B08" w:rsidRDefault="00406A3E" w:rsidP="00A11B08">
      <w:pPr>
        <w:jc w:val="both"/>
        <w:rPr>
          <w:rFonts w:ascii="Times New Roman" w:hAnsi="Times New Roman" w:cs="Times New Roman"/>
        </w:rPr>
      </w:pPr>
      <w:r w:rsidRPr="00406A3E">
        <w:rPr>
          <w:rFonts w:ascii="Times New Roman" w:hAnsi="Times New Roman" w:cs="Times New Roman"/>
        </w:rPr>
        <w:t xml:space="preserve">Multiple Correspondence Analysis conducted on five country-level indicators drawn from Eurostat, each categorised into tertiles: unmet healthcare needs, educational attainment, total health expenditure as a percentage of GDP, healthy life expectancy at age 65, and life expectancy at birth. Country identifiers were included as supplementary variables and projected onto the factorial plane post-hoc without influencing the construction of the dimensions. The first two dimensions account for 51.6% and 20.4% of total inertia respectively (cumulative: 71.9%). </w:t>
      </w:r>
    </w:p>
    <w:p w14:paraId="10820422" w14:textId="4F03EC6C" w:rsidR="00A11B08" w:rsidRDefault="00406A3E" w:rsidP="00A11B08">
      <w:pPr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491D52E" wp14:editId="49AC3FC5">
            <wp:extent cx="5663679" cy="3653155"/>
            <wp:effectExtent l="0" t="0" r="0" b="4445"/>
            <wp:docPr id="117708694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841" cy="3660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678C67" w14:textId="77777777" w:rsidR="00E3736D" w:rsidRDefault="00E3736D" w:rsidP="00E3736D">
      <w:pPr>
        <w:jc w:val="both"/>
        <w:rPr>
          <w:rFonts w:ascii="Times New Roman" w:hAnsi="Times New Roman" w:cs="Times New Roman"/>
        </w:rPr>
      </w:pPr>
      <w:r w:rsidRPr="00406A3E">
        <w:rPr>
          <w:rFonts w:ascii="Times New Roman" w:hAnsi="Times New Roman" w:cs="Times New Roman"/>
        </w:rPr>
        <w:t xml:space="preserve">Active category labels: </w:t>
      </w:r>
      <w:proofErr w:type="spellStart"/>
      <w:r w:rsidRPr="00406A3E">
        <w:rPr>
          <w:rFonts w:ascii="Times New Roman" w:hAnsi="Times New Roman" w:cs="Times New Roman"/>
        </w:rPr>
        <w:t>Unmet_low</w:t>
      </w:r>
      <w:proofErr w:type="spellEnd"/>
      <w:r w:rsidRPr="00406A3E">
        <w:rPr>
          <w:rFonts w:ascii="Times New Roman" w:hAnsi="Times New Roman" w:cs="Times New Roman"/>
        </w:rPr>
        <w:t xml:space="preserve">/mid/high = tertiles of self-reported unmet need for medical examination and care; </w:t>
      </w:r>
      <w:proofErr w:type="spellStart"/>
      <w:r w:rsidRPr="00406A3E">
        <w:rPr>
          <w:rFonts w:ascii="Times New Roman" w:hAnsi="Times New Roman" w:cs="Times New Roman"/>
        </w:rPr>
        <w:t>Edu_low</w:t>
      </w:r>
      <w:proofErr w:type="spellEnd"/>
      <w:r w:rsidRPr="00406A3E">
        <w:rPr>
          <w:rFonts w:ascii="Times New Roman" w:hAnsi="Times New Roman" w:cs="Times New Roman"/>
        </w:rPr>
        <w:t xml:space="preserve">/mid/high = tertiles of the percentage of the population with less than primary, primary, or lower secondary education; </w:t>
      </w:r>
      <w:proofErr w:type="spellStart"/>
      <w:r w:rsidRPr="00406A3E">
        <w:rPr>
          <w:rFonts w:ascii="Times New Roman" w:hAnsi="Times New Roman" w:cs="Times New Roman"/>
        </w:rPr>
        <w:t>Health_exp_low</w:t>
      </w:r>
      <w:proofErr w:type="spellEnd"/>
      <w:r w:rsidRPr="00406A3E">
        <w:rPr>
          <w:rFonts w:ascii="Times New Roman" w:hAnsi="Times New Roman" w:cs="Times New Roman"/>
        </w:rPr>
        <w:t xml:space="preserve">/mid/high = tertiles of total health expenditure as a percentage of GDP; HLY65_low/mid/high = tertiles of healthy life expectancy at age 65; </w:t>
      </w:r>
      <w:proofErr w:type="spellStart"/>
      <w:r w:rsidRPr="00406A3E">
        <w:rPr>
          <w:rFonts w:ascii="Times New Roman" w:hAnsi="Times New Roman" w:cs="Times New Roman"/>
        </w:rPr>
        <w:t>Life_exp_low</w:t>
      </w:r>
      <w:proofErr w:type="spellEnd"/>
      <w:r w:rsidRPr="00406A3E">
        <w:rPr>
          <w:rFonts w:ascii="Times New Roman" w:hAnsi="Times New Roman" w:cs="Times New Roman"/>
        </w:rPr>
        <w:t>/mid/high = tertiles of life expectancy at birth.</w:t>
      </w:r>
    </w:p>
    <w:p w14:paraId="05D1243B" w14:textId="77777777" w:rsidR="00E3736D" w:rsidRPr="003D26F1" w:rsidRDefault="00E3736D" w:rsidP="00A11B08">
      <w:pPr>
        <w:jc w:val="both"/>
        <w:rPr>
          <w:rFonts w:ascii="Times New Roman" w:hAnsi="Times New Roman" w:cs="Times New Roman"/>
        </w:rPr>
      </w:pPr>
    </w:p>
    <w:sectPr w:rsidR="00E3736D" w:rsidRPr="003D26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BC4"/>
    <w:rsid w:val="0012772B"/>
    <w:rsid w:val="001E3DC0"/>
    <w:rsid w:val="002712E4"/>
    <w:rsid w:val="00341C48"/>
    <w:rsid w:val="003D26F1"/>
    <w:rsid w:val="00406A3E"/>
    <w:rsid w:val="00421434"/>
    <w:rsid w:val="006B5F72"/>
    <w:rsid w:val="0080703A"/>
    <w:rsid w:val="009D49F9"/>
    <w:rsid w:val="009D6F4D"/>
    <w:rsid w:val="00A11B08"/>
    <w:rsid w:val="00A32456"/>
    <w:rsid w:val="00A96917"/>
    <w:rsid w:val="00B12BFE"/>
    <w:rsid w:val="00CD692B"/>
    <w:rsid w:val="00CF4F12"/>
    <w:rsid w:val="00D12594"/>
    <w:rsid w:val="00DA4368"/>
    <w:rsid w:val="00DE4C98"/>
    <w:rsid w:val="00E11D4A"/>
    <w:rsid w:val="00E20E81"/>
    <w:rsid w:val="00E3736D"/>
    <w:rsid w:val="00E70BC4"/>
    <w:rsid w:val="00F0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B0A7B"/>
  <w15:chartTrackingRefBased/>
  <w15:docId w15:val="{1DC2EA52-2B2D-4CA3-93D5-1167E0B9F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70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70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70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70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70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70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70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70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70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70BC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70BC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70BC4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70BC4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70BC4"/>
    <w:rPr>
      <w:rFonts w:eastAsiaTheme="majorEastAsia" w:cstheme="majorBidi"/>
      <w:color w:val="0F4761" w:themeColor="accent1" w:themeShade="BF"/>
      <w:lang w:val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70BC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70BC4"/>
    <w:rPr>
      <w:rFonts w:eastAsiaTheme="majorEastAsia" w:cstheme="majorBidi"/>
      <w:color w:val="595959" w:themeColor="text1" w:themeTint="A6"/>
      <w:lang w:val="en-GB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70BC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70BC4"/>
    <w:rPr>
      <w:rFonts w:eastAsiaTheme="majorEastAsia" w:cstheme="majorBidi"/>
      <w:color w:val="272727" w:themeColor="text1" w:themeTint="D8"/>
      <w:lang w:val="en-GB"/>
    </w:rPr>
  </w:style>
  <w:style w:type="paragraph" w:styleId="Titolo">
    <w:name w:val="Title"/>
    <w:basedOn w:val="Normale"/>
    <w:next w:val="Normale"/>
    <w:link w:val="TitoloCarattere"/>
    <w:uiPriority w:val="10"/>
    <w:qFormat/>
    <w:rsid w:val="00E70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70BC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70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70BC4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70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70BC4"/>
    <w:rPr>
      <w:i/>
      <w:iCs/>
      <w:color w:val="404040" w:themeColor="text1" w:themeTint="BF"/>
      <w:lang w:val="en-GB"/>
    </w:rPr>
  </w:style>
  <w:style w:type="paragraph" w:styleId="Paragrafoelenco">
    <w:name w:val="List Paragraph"/>
    <w:basedOn w:val="Normale"/>
    <w:uiPriority w:val="34"/>
    <w:qFormat/>
    <w:rsid w:val="00E70BC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70BC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70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70BC4"/>
    <w:rPr>
      <w:i/>
      <w:iCs/>
      <w:color w:val="0F4761" w:themeColor="accent1" w:themeShade="BF"/>
      <w:lang w:val="en-GB"/>
    </w:rPr>
  </w:style>
  <w:style w:type="character" w:styleId="Riferimentointenso">
    <w:name w:val="Intense Reference"/>
    <w:basedOn w:val="Carpredefinitoparagrafo"/>
    <w:uiPriority w:val="32"/>
    <w:qFormat/>
    <w:rsid w:val="00E70B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AGOSTINO STAVOLO</dc:creator>
  <cp:keywords/>
  <dc:description/>
  <cp:lastModifiedBy>AGOSTINO STAVOLO</cp:lastModifiedBy>
  <cp:revision>14</cp:revision>
  <dcterms:created xsi:type="dcterms:W3CDTF">2026-04-27T07:56:00Z</dcterms:created>
  <dcterms:modified xsi:type="dcterms:W3CDTF">2026-06-15T07:38:00Z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2026-04-27T08:20:43Z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82afdaf0-3b82-4ca4-aef9-9bb3546a321a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