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9898A" w14:textId="597E60C2" w:rsidR="0035494A" w:rsidRDefault="00F54E1B" w:rsidP="0035494A">
      <w:pPr>
        <w:spacing w:line="480" w:lineRule="auto"/>
        <w:jc w:val="center"/>
        <w:rPr>
          <w:rFonts w:ascii="Times New Roman" w:hAnsi="Times New Roman" w:cs="Times New Roman"/>
          <w:b/>
          <w:bCs/>
          <w:iCs/>
          <w:color w:val="000000" w:themeColor="text1"/>
          <w:szCs w:val="20"/>
          <w:lang w:val="en-US"/>
        </w:rPr>
      </w:pPr>
      <w:r w:rsidRPr="0035494A">
        <w:rPr>
          <w:rFonts w:ascii="Times New Roman" w:hAnsi="Times New Roman" w:cs="Times New Roman"/>
          <w:b/>
          <w:lang w:val="en-US"/>
        </w:rPr>
        <w:t>Supplementary material</w:t>
      </w:r>
      <w:r>
        <w:rPr>
          <w:rFonts w:ascii="Times New Roman" w:hAnsi="Times New Roman" w:cs="Times New Roman"/>
          <w:b/>
          <w:lang w:val="en-US"/>
        </w:rPr>
        <w:t xml:space="preserve"> for</w:t>
      </w:r>
      <w:bookmarkStart w:id="0" w:name="_GoBack"/>
      <w:bookmarkEnd w:id="0"/>
      <w:r>
        <w:rPr>
          <w:rFonts w:ascii="Times New Roman" w:hAnsi="Times New Roman" w:cs="Times New Roman"/>
          <w:b/>
          <w:lang w:val="en-US"/>
        </w:rPr>
        <w:t>:</w:t>
      </w:r>
    </w:p>
    <w:p w14:paraId="576B4B10" w14:textId="4532822E" w:rsidR="0035494A" w:rsidRPr="0035494A" w:rsidRDefault="0035494A" w:rsidP="00F54E1B">
      <w:pPr>
        <w:spacing w:line="480" w:lineRule="auto"/>
        <w:jc w:val="center"/>
        <w:rPr>
          <w:rFonts w:ascii="Times New Roman" w:hAnsi="Times New Roman" w:cs="Times New Roman"/>
          <w:b/>
          <w:bCs/>
          <w:iCs/>
          <w:color w:val="000000" w:themeColor="text1"/>
          <w:szCs w:val="20"/>
          <w:lang w:val="en-US"/>
        </w:rPr>
      </w:pPr>
      <w:r w:rsidRPr="0035494A">
        <w:rPr>
          <w:rFonts w:ascii="Times New Roman" w:hAnsi="Times New Roman" w:cs="Times New Roman"/>
          <w:b/>
          <w:bCs/>
          <w:iCs/>
          <w:color w:val="000000" w:themeColor="text1"/>
          <w:szCs w:val="20"/>
          <w:lang w:val="en-US"/>
        </w:rPr>
        <w:t>Non-Communicated Judgments of vs. Feedback on Students’ Essays: Is Feedback Inflation Larger for Students With a Migration Background?</w:t>
      </w:r>
    </w:p>
    <w:p w14:paraId="4A2B8DC9" w14:textId="53DB4884" w:rsidR="0035494A" w:rsidRDefault="0035494A" w:rsidP="0035494A">
      <w:pPr>
        <w:spacing w:line="480" w:lineRule="auto"/>
        <w:jc w:val="center"/>
        <w:rPr>
          <w:rFonts w:ascii="Times New Roman" w:hAnsi="Times New Roman" w:cs="Times New Roman"/>
          <w:bCs/>
          <w:iCs/>
          <w:color w:val="000000" w:themeColor="text1"/>
          <w:sz w:val="20"/>
          <w:szCs w:val="20"/>
          <w:vertAlign w:val="superscript"/>
          <w:lang w:val="en-US"/>
        </w:rPr>
      </w:pPr>
      <w:r>
        <w:rPr>
          <w:rFonts w:ascii="Times New Roman" w:hAnsi="Times New Roman" w:cs="Times New Roman"/>
          <w:bCs/>
          <w:iCs/>
          <w:color w:val="000000" w:themeColor="text1"/>
          <w:sz w:val="20"/>
          <w:szCs w:val="20"/>
          <w:lang w:val="en-US"/>
        </w:rPr>
        <w:t>Anna K. Nishen</w:t>
      </w:r>
      <w:r>
        <w:rPr>
          <w:rFonts w:ascii="Times New Roman" w:hAnsi="Times New Roman" w:cs="Times New Roman"/>
          <w:bCs/>
          <w:iCs/>
          <w:color w:val="000000" w:themeColor="text1"/>
          <w:sz w:val="20"/>
          <w:szCs w:val="20"/>
          <w:vertAlign w:val="superscript"/>
          <w:lang w:val="en-US"/>
        </w:rPr>
        <w:t>1</w:t>
      </w:r>
      <w:r>
        <w:rPr>
          <w:rFonts w:ascii="Times New Roman" w:hAnsi="Times New Roman" w:cs="Times New Roman"/>
          <w:bCs/>
          <w:iCs/>
          <w:color w:val="000000" w:themeColor="text1"/>
          <w:sz w:val="20"/>
          <w:szCs w:val="20"/>
          <w:lang w:val="en-US"/>
        </w:rPr>
        <w:t xml:space="preserve"> &amp; Ursula Kessels</w:t>
      </w:r>
      <w:r>
        <w:rPr>
          <w:rFonts w:ascii="Times New Roman" w:hAnsi="Times New Roman" w:cs="Times New Roman"/>
          <w:bCs/>
          <w:iCs/>
          <w:color w:val="000000" w:themeColor="text1"/>
          <w:sz w:val="20"/>
          <w:szCs w:val="20"/>
          <w:vertAlign w:val="superscript"/>
          <w:lang w:val="en-US"/>
        </w:rPr>
        <w:t>1</w:t>
      </w:r>
    </w:p>
    <w:p w14:paraId="1E79DE53" w14:textId="6A74FB91" w:rsidR="0035494A" w:rsidRDefault="0035494A" w:rsidP="0035494A">
      <w:pPr>
        <w:spacing w:line="480" w:lineRule="auto"/>
        <w:rPr>
          <w:rFonts w:ascii="Times New Roman" w:hAnsi="Times New Roman" w:cs="Times New Roman"/>
          <w:bCs/>
          <w:iCs/>
          <w:color w:val="000000" w:themeColor="text1"/>
          <w:sz w:val="20"/>
          <w:szCs w:val="20"/>
          <w:lang w:val="en-US"/>
        </w:rPr>
      </w:pPr>
      <w:r>
        <w:rPr>
          <w:rFonts w:ascii="Times New Roman" w:hAnsi="Times New Roman" w:cs="Times New Roman"/>
          <w:bCs/>
          <w:iCs/>
          <w:color w:val="000000" w:themeColor="text1"/>
          <w:sz w:val="20"/>
          <w:szCs w:val="20"/>
          <w:vertAlign w:val="superscript"/>
          <w:lang w:val="en-US"/>
        </w:rPr>
        <w:t>1</w:t>
      </w:r>
      <w:r>
        <w:rPr>
          <w:rFonts w:ascii="Times New Roman" w:hAnsi="Times New Roman" w:cs="Times New Roman"/>
          <w:bCs/>
          <w:iCs/>
          <w:color w:val="000000" w:themeColor="text1"/>
          <w:sz w:val="20"/>
          <w:szCs w:val="20"/>
          <w:lang w:val="en-US"/>
        </w:rPr>
        <w:t xml:space="preserve"> Freie Universität Berlin, Germany</w:t>
      </w:r>
    </w:p>
    <w:p w14:paraId="24E3CC6F" w14:textId="671E798A" w:rsidR="0035494A" w:rsidRPr="0035494A" w:rsidRDefault="0035494A" w:rsidP="0035494A">
      <w:pPr>
        <w:spacing w:line="480" w:lineRule="auto"/>
        <w:rPr>
          <w:rFonts w:ascii="Times New Roman" w:hAnsi="Times New Roman" w:cs="Times New Roman"/>
          <w:bCs/>
          <w:iCs/>
          <w:color w:val="000000" w:themeColor="text1"/>
          <w:sz w:val="20"/>
          <w:szCs w:val="20"/>
          <w:lang w:val="en-US"/>
        </w:rPr>
      </w:pPr>
      <w:r>
        <w:rPr>
          <w:rFonts w:ascii="Times New Roman" w:hAnsi="Times New Roman" w:cs="Times New Roman"/>
          <w:bCs/>
          <w:iCs/>
          <w:color w:val="000000" w:themeColor="text1"/>
          <w:sz w:val="20"/>
          <w:szCs w:val="20"/>
          <w:lang w:val="en-US"/>
        </w:rPr>
        <w:t>Corresponding author: Anna K. Nishen, anna.nishen@fu-berlin.de</w:t>
      </w:r>
    </w:p>
    <w:p w14:paraId="6DB56003" w14:textId="77777777" w:rsidR="0035494A" w:rsidRPr="0035494A" w:rsidRDefault="0035494A" w:rsidP="0035494A">
      <w:pPr>
        <w:rPr>
          <w:rFonts w:ascii="Times New Roman" w:hAnsi="Times New Roman" w:cs="Times New Roman"/>
          <w:b/>
          <w:lang w:val="en-US"/>
        </w:rPr>
      </w:pPr>
    </w:p>
    <w:p w14:paraId="57837FB0" w14:textId="29AFE3DB" w:rsidR="00E0663A" w:rsidRPr="0035494A" w:rsidRDefault="00452074" w:rsidP="0035494A">
      <w:pPr>
        <w:rPr>
          <w:rFonts w:ascii="Times New Roman" w:hAnsi="Times New Roman" w:cs="Times New Roman"/>
          <w:b/>
          <w:lang w:val="en-US"/>
        </w:rPr>
      </w:pPr>
      <w:r w:rsidRPr="0035494A">
        <w:rPr>
          <w:rFonts w:ascii="Times New Roman" w:hAnsi="Times New Roman" w:cs="Times New Roman"/>
          <w:b/>
          <w:lang w:val="en-US"/>
        </w:rPr>
        <w:t>Moderator analyses on motivation to respond without prejudice</w:t>
      </w:r>
    </w:p>
    <w:p w14:paraId="310C0C42" w14:textId="49427F88" w:rsidR="000B1D85" w:rsidRPr="0035494A" w:rsidRDefault="000B1D85" w:rsidP="00E0663A">
      <w:pPr>
        <w:pStyle w:val="Default"/>
        <w:spacing w:before="240" w:line="480" w:lineRule="auto"/>
        <w:rPr>
          <w:rFonts w:ascii="Times New Roman" w:hAnsi="Times New Roman" w:cs="Times New Roman"/>
          <w:bCs/>
          <w:iCs/>
          <w:sz w:val="20"/>
          <w:szCs w:val="20"/>
          <w:lang w:val="en-US"/>
        </w:rPr>
      </w:pPr>
      <w:bookmarkStart w:id="1" w:name="_Hlk85029531"/>
      <w:r w:rsidRPr="0035494A">
        <w:rPr>
          <w:rFonts w:ascii="Times New Roman" w:hAnsi="Times New Roman" w:cs="Times New Roman"/>
          <w:bCs/>
          <w:iCs/>
          <w:sz w:val="20"/>
          <w:szCs w:val="20"/>
          <w:lang w:val="en-US"/>
        </w:rPr>
        <w:t>As reported in the article, the results for this moderator were complex and only partially supported the hypothesis. With regards to the internal and external motivation to avoid prejudice, we expected that participants</w:t>
      </w:r>
      <w:r w:rsidRPr="0035494A">
        <w:rPr>
          <w:rFonts w:ascii="Times New Roman" w:hAnsi="Times New Roman" w:cs="Times New Roman"/>
          <w:iCs/>
          <w:sz w:val="20"/>
          <w:szCs w:val="20"/>
          <w:lang w:val="en-US"/>
        </w:rPr>
        <w:t xml:space="preserve"> low in internal and simultaneously high in external motivation to respond without prejudice would show a stronger positive bias (H3c)</w:t>
      </w:r>
      <w:r w:rsidRPr="0035494A">
        <w:rPr>
          <w:rFonts w:ascii="Times New Roman" w:hAnsi="Times New Roman" w:cs="Times New Roman"/>
          <w:bCs/>
          <w:iCs/>
          <w:sz w:val="20"/>
          <w:szCs w:val="20"/>
          <w:lang w:val="en-US"/>
        </w:rPr>
        <w:t xml:space="preserve">. </w:t>
      </w:r>
      <w:r w:rsidR="001F435E" w:rsidRPr="0035494A">
        <w:rPr>
          <w:rFonts w:ascii="Times New Roman" w:hAnsi="Times New Roman" w:cs="Times New Roman"/>
          <w:bCs/>
          <w:iCs/>
          <w:sz w:val="20"/>
          <w:szCs w:val="20"/>
          <w:lang w:val="en-US"/>
        </w:rPr>
        <w:t>This hypothesis was formulated for the feedback condition only, so that the sample for these analyses consists of half the original sample.</w:t>
      </w:r>
      <w:bookmarkEnd w:id="1"/>
      <w:r w:rsidR="001F435E" w:rsidRPr="0035494A">
        <w:rPr>
          <w:rFonts w:ascii="Times New Roman" w:hAnsi="Times New Roman" w:cs="Times New Roman"/>
          <w:bCs/>
          <w:iCs/>
          <w:sz w:val="20"/>
          <w:szCs w:val="20"/>
          <w:lang w:val="en-US"/>
        </w:rPr>
        <w:t xml:space="preserve"> </w:t>
      </w:r>
      <w:r w:rsidRPr="0035494A">
        <w:rPr>
          <w:rFonts w:ascii="Times New Roman" w:hAnsi="Times New Roman" w:cs="Times New Roman"/>
          <w:bCs/>
          <w:iCs/>
          <w:sz w:val="20"/>
          <w:szCs w:val="20"/>
          <w:lang w:val="en-US"/>
        </w:rPr>
        <w:t>The regression analyses were conducted using difference scores, that is, the extent of the positive or negative bias was predicted using internal and external motivation to avoid prejudice as well as their interaction. The difference scores were created by subtracting the values of students without a migration background from the values of students with a Turkish migration background. Therefore, values greater than zero indicate a positive bias towards students with a Turkish migration background and values smaller than zero a negative bias, with the exception of the negative comments, where the interpretation is reversed.</w:t>
      </w:r>
    </w:p>
    <w:p w14:paraId="363F0B0E" w14:textId="16053CE4" w:rsidR="00452074" w:rsidRPr="0035494A" w:rsidRDefault="00452074" w:rsidP="00C72740">
      <w:pPr>
        <w:pStyle w:val="Default"/>
        <w:spacing w:line="480" w:lineRule="auto"/>
        <w:ind w:firstLine="426"/>
        <w:rPr>
          <w:rFonts w:ascii="Times New Roman" w:hAnsi="Times New Roman" w:cs="Times New Roman"/>
          <w:bCs/>
          <w:iCs/>
          <w:sz w:val="20"/>
          <w:szCs w:val="20"/>
          <w:lang w:val="en-US"/>
        </w:rPr>
      </w:pPr>
      <w:r w:rsidRPr="0035494A">
        <w:rPr>
          <w:rFonts w:ascii="Times New Roman" w:hAnsi="Times New Roman" w:cs="Times New Roman"/>
          <w:bCs/>
          <w:iCs/>
          <w:sz w:val="20"/>
          <w:szCs w:val="20"/>
          <w:lang w:val="en-US"/>
        </w:rPr>
        <w:t>Contrary to our hypothesis, those participants who were low in internal motivation and simultaneously high in external motivation did not consistently show a stronger positive bias</w:t>
      </w:r>
      <w:r w:rsidR="0035494A" w:rsidRPr="0035494A">
        <w:rPr>
          <w:rFonts w:ascii="Times New Roman" w:hAnsi="Times New Roman" w:cs="Times New Roman"/>
          <w:bCs/>
          <w:iCs/>
          <w:sz w:val="20"/>
          <w:szCs w:val="20"/>
          <w:lang w:val="en-US"/>
        </w:rPr>
        <w:t xml:space="preserve"> (see Table S</w:t>
      </w:r>
      <w:r w:rsidR="00EF59A4" w:rsidRPr="0035494A">
        <w:rPr>
          <w:rFonts w:ascii="Times New Roman" w:hAnsi="Times New Roman" w:cs="Times New Roman"/>
          <w:bCs/>
          <w:iCs/>
          <w:sz w:val="20"/>
          <w:szCs w:val="20"/>
          <w:lang w:val="en-US"/>
        </w:rPr>
        <w:t>1)</w:t>
      </w:r>
      <w:r w:rsidRPr="0035494A">
        <w:rPr>
          <w:rFonts w:ascii="Times New Roman" w:hAnsi="Times New Roman" w:cs="Times New Roman"/>
          <w:bCs/>
          <w:iCs/>
          <w:sz w:val="20"/>
          <w:szCs w:val="20"/>
          <w:lang w:val="en-US"/>
        </w:rPr>
        <w:t>. Instead, there was a negative main effect of internal motivation for some dimensions. The greater the internal motivation to respond without prejudice was, the more similar were the participants’ ratings of the two students’ success in higher education (</w:t>
      </w:r>
      <w:r w:rsidRPr="0035494A">
        <w:rPr>
          <w:rFonts w:ascii="Times New Roman" w:hAnsi="Times New Roman" w:cs="Times New Roman"/>
          <w:bCs/>
          <w:i/>
          <w:sz w:val="20"/>
          <w:szCs w:val="20"/>
          <w:lang w:val="en-US"/>
        </w:rPr>
        <w:t>b</w:t>
      </w:r>
      <w:r w:rsidRPr="0035494A">
        <w:rPr>
          <w:rFonts w:ascii="Times New Roman" w:hAnsi="Times New Roman" w:cs="Times New Roman"/>
          <w:bCs/>
          <w:iCs/>
          <w:sz w:val="20"/>
          <w:szCs w:val="20"/>
          <w:lang w:val="en-US"/>
        </w:rPr>
        <w:t> = </w:t>
      </w:r>
      <w:r w:rsidRPr="0035494A">
        <w:rPr>
          <w:rFonts w:ascii="Times New Roman" w:hAnsi="Times New Roman" w:cs="Times New Roman"/>
          <w:sz w:val="20"/>
          <w:szCs w:val="20"/>
          <w:lang w:val="en-US"/>
        </w:rPr>
        <w:t>−</w:t>
      </w:r>
      <w:r w:rsidRPr="0035494A">
        <w:rPr>
          <w:rFonts w:ascii="Times New Roman" w:hAnsi="Times New Roman" w:cs="Times New Roman"/>
          <w:bCs/>
          <w:iCs/>
          <w:sz w:val="20"/>
          <w:szCs w:val="20"/>
          <w:lang w:val="en-US"/>
        </w:rPr>
        <w:t xml:space="preserve">0.51, </w:t>
      </w:r>
      <w:r w:rsidRPr="0035494A">
        <w:rPr>
          <w:rFonts w:ascii="Times New Roman" w:hAnsi="Times New Roman" w:cs="Times New Roman"/>
          <w:bCs/>
          <w:i/>
          <w:sz w:val="20"/>
          <w:szCs w:val="20"/>
          <w:lang w:val="en-US"/>
        </w:rPr>
        <w:t>SE </w:t>
      </w:r>
      <w:r w:rsidRPr="0035494A">
        <w:rPr>
          <w:rFonts w:ascii="Times New Roman" w:hAnsi="Times New Roman" w:cs="Times New Roman"/>
          <w:bCs/>
          <w:iCs/>
          <w:sz w:val="20"/>
          <w:szCs w:val="20"/>
          <w:lang w:val="en-US"/>
        </w:rPr>
        <w:t>= 0.23</w:t>
      </w:r>
      <w:r w:rsidR="002D54EA" w:rsidRPr="0035494A">
        <w:rPr>
          <w:rFonts w:ascii="Times New Roman" w:hAnsi="Times New Roman" w:cs="Times New Roman"/>
          <w:bCs/>
          <w:iCs/>
          <w:sz w:val="20"/>
          <w:szCs w:val="20"/>
          <w:lang w:val="en-US"/>
        </w:rPr>
        <w:t xml:space="preserve">,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 .032</w:t>
      </w:r>
      <w:r w:rsidRPr="0035494A">
        <w:rPr>
          <w:rFonts w:ascii="Times New Roman" w:hAnsi="Times New Roman" w:cs="Times New Roman"/>
          <w:bCs/>
          <w:iCs/>
          <w:sz w:val="20"/>
          <w:szCs w:val="20"/>
          <w:lang w:val="en-US"/>
        </w:rPr>
        <w:t>), in tendency, their writing skills (</w:t>
      </w:r>
      <w:r w:rsidRPr="0035494A">
        <w:rPr>
          <w:rFonts w:ascii="Times New Roman" w:hAnsi="Times New Roman" w:cs="Times New Roman"/>
          <w:bCs/>
          <w:i/>
          <w:sz w:val="20"/>
          <w:szCs w:val="20"/>
          <w:lang w:val="en-US"/>
        </w:rPr>
        <w:t>b</w:t>
      </w:r>
      <w:r w:rsidRPr="0035494A">
        <w:rPr>
          <w:rFonts w:ascii="Times New Roman" w:hAnsi="Times New Roman" w:cs="Times New Roman"/>
          <w:bCs/>
          <w:iCs/>
          <w:sz w:val="20"/>
          <w:szCs w:val="20"/>
          <w:lang w:val="en-US"/>
        </w:rPr>
        <w:t> = </w:t>
      </w:r>
      <w:r w:rsidRPr="0035494A">
        <w:rPr>
          <w:rFonts w:ascii="Times New Roman" w:hAnsi="Times New Roman" w:cs="Times New Roman"/>
          <w:sz w:val="20"/>
          <w:szCs w:val="20"/>
          <w:lang w:val="en-US"/>
        </w:rPr>
        <w:t>−</w:t>
      </w:r>
      <w:r w:rsidRPr="0035494A">
        <w:rPr>
          <w:rFonts w:ascii="Times New Roman" w:hAnsi="Times New Roman" w:cs="Times New Roman"/>
          <w:bCs/>
          <w:iCs/>
          <w:sz w:val="20"/>
          <w:szCs w:val="20"/>
          <w:lang w:val="en-US"/>
        </w:rPr>
        <w:t xml:space="preserve">0.39, </w:t>
      </w:r>
      <w:r w:rsidRPr="0035494A">
        <w:rPr>
          <w:rFonts w:ascii="Times New Roman" w:hAnsi="Times New Roman" w:cs="Times New Roman"/>
          <w:bCs/>
          <w:i/>
          <w:sz w:val="20"/>
          <w:szCs w:val="20"/>
          <w:lang w:val="en-US"/>
        </w:rPr>
        <w:t>SE</w:t>
      </w:r>
      <w:r w:rsidRPr="0035494A">
        <w:rPr>
          <w:rFonts w:ascii="Times New Roman" w:hAnsi="Times New Roman" w:cs="Times New Roman"/>
          <w:bCs/>
          <w:iCs/>
          <w:sz w:val="20"/>
          <w:szCs w:val="20"/>
          <w:lang w:val="en-US"/>
        </w:rPr>
        <w:t> = 0.21</w:t>
      </w:r>
      <w:r w:rsidR="002D54EA" w:rsidRPr="0035494A">
        <w:rPr>
          <w:rFonts w:ascii="Times New Roman" w:hAnsi="Times New Roman" w:cs="Times New Roman"/>
          <w:bCs/>
          <w:iCs/>
          <w:sz w:val="20"/>
          <w:szCs w:val="20"/>
          <w:lang w:val="en-US"/>
        </w:rPr>
        <w:t xml:space="preserve">,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 .066</w:t>
      </w:r>
      <w:r w:rsidRPr="0035494A">
        <w:rPr>
          <w:rFonts w:ascii="Times New Roman" w:hAnsi="Times New Roman" w:cs="Times New Roman"/>
          <w:bCs/>
          <w:iCs/>
          <w:sz w:val="20"/>
          <w:szCs w:val="20"/>
          <w:lang w:val="en-US"/>
        </w:rPr>
        <w:t>) as well as the number of negative comments on essay content they provided (</w:t>
      </w:r>
      <w:r w:rsidRPr="0035494A">
        <w:rPr>
          <w:rFonts w:ascii="Times New Roman" w:hAnsi="Times New Roman" w:cs="Times New Roman"/>
          <w:bCs/>
          <w:i/>
          <w:sz w:val="20"/>
          <w:szCs w:val="20"/>
          <w:lang w:val="en-US"/>
        </w:rPr>
        <w:t>b</w:t>
      </w:r>
      <w:r w:rsidRPr="0035494A">
        <w:rPr>
          <w:rFonts w:ascii="Times New Roman" w:hAnsi="Times New Roman" w:cs="Times New Roman"/>
          <w:bCs/>
          <w:iCs/>
          <w:sz w:val="20"/>
          <w:szCs w:val="20"/>
          <w:lang w:val="en-US"/>
        </w:rPr>
        <w:t xml:space="preserve"> = 1.55, </w:t>
      </w:r>
      <w:r w:rsidRPr="0035494A">
        <w:rPr>
          <w:rFonts w:ascii="Times New Roman" w:hAnsi="Times New Roman" w:cs="Times New Roman"/>
          <w:bCs/>
          <w:i/>
          <w:sz w:val="20"/>
          <w:szCs w:val="20"/>
          <w:lang w:val="en-US"/>
        </w:rPr>
        <w:t>SE </w:t>
      </w:r>
      <w:r w:rsidRPr="0035494A">
        <w:rPr>
          <w:rFonts w:ascii="Times New Roman" w:hAnsi="Times New Roman" w:cs="Times New Roman"/>
          <w:bCs/>
          <w:iCs/>
          <w:sz w:val="20"/>
          <w:szCs w:val="20"/>
          <w:lang w:val="en-US"/>
        </w:rPr>
        <w:t>= 0.71</w:t>
      </w:r>
      <w:r w:rsidR="002D54EA" w:rsidRPr="0035494A">
        <w:rPr>
          <w:rFonts w:ascii="Times New Roman" w:hAnsi="Times New Roman" w:cs="Times New Roman"/>
          <w:bCs/>
          <w:iCs/>
          <w:sz w:val="20"/>
          <w:szCs w:val="20"/>
          <w:lang w:val="en-US"/>
        </w:rPr>
        <w:t xml:space="preserve">,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 .032</w:t>
      </w:r>
      <w:r w:rsidRPr="0035494A">
        <w:rPr>
          <w:rFonts w:ascii="Times New Roman" w:hAnsi="Times New Roman" w:cs="Times New Roman"/>
          <w:bCs/>
          <w:iCs/>
          <w:sz w:val="20"/>
          <w:szCs w:val="20"/>
          <w:lang w:val="en-US"/>
        </w:rPr>
        <w:t xml:space="preserve">). Regardless of their external motivation, participants higher in internal motivation to respond without prejudice gave less positively biased feedback on those dimensions, whereas participants lower in internal motivation </w:t>
      </w:r>
      <w:r w:rsidRPr="0035494A">
        <w:rPr>
          <w:rFonts w:ascii="Times New Roman" w:hAnsi="Times New Roman" w:cs="Times New Roman"/>
          <w:bCs/>
          <w:iCs/>
          <w:sz w:val="20"/>
          <w:szCs w:val="20"/>
          <w:lang w:val="en-US"/>
        </w:rPr>
        <w:lastRenderedPageBreak/>
        <w:t>showed a stronger positive feedback bias. Participants’ external motivation to respond without prejudice was unrelated to their bias.</w:t>
      </w:r>
    </w:p>
    <w:p w14:paraId="2B97F214" w14:textId="33DA5D49" w:rsidR="0035494A" w:rsidRDefault="00452074" w:rsidP="00452074">
      <w:pPr>
        <w:pStyle w:val="Default"/>
        <w:spacing w:line="480" w:lineRule="auto"/>
        <w:ind w:firstLine="426"/>
        <w:rPr>
          <w:rFonts w:ascii="Times New Roman" w:hAnsi="Times New Roman" w:cs="Times New Roman"/>
          <w:bCs/>
          <w:iCs/>
          <w:sz w:val="20"/>
          <w:szCs w:val="20"/>
          <w:lang w:val="en-US"/>
        </w:rPr>
      </w:pPr>
      <w:r w:rsidRPr="0035494A">
        <w:rPr>
          <w:rFonts w:ascii="Times New Roman" w:hAnsi="Times New Roman" w:cs="Times New Roman"/>
          <w:bCs/>
          <w:iCs/>
          <w:sz w:val="20"/>
          <w:szCs w:val="20"/>
          <w:lang w:val="en-US"/>
        </w:rPr>
        <w:t>However,</w:t>
      </w:r>
      <w:r w:rsidR="00C72740" w:rsidRPr="0035494A">
        <w:rPr>
          <w:rFonts w:ascii="Times New Roman" w:hAnsi="Times New Roman" w:cs="Times New Roman"/>
          <w:bCs/>
          <w:iCs/>
          <w:sz w:val="20"/>
          <w:szCs w:val="20"/>
          <w:lang w:val="en-US"/>
        </w:rPr>
        <w:t xml:space="preserve"> as we report in the manuscript,</w:t>
      </w:r>
      <w:r w:rsidRPr="0035494A">
        <w:rPr>
          <w:rFonts w:ascii="Times New Roman" w:hAnsi="Times New Roman" w:cs="Times New Roman"/>
          <w:bCs/>
          <w:iCs/>
          <w:sz w:val="20"/>
          <w:szCs w:val="20"/>
          <w:lang w:val="en-US"/>
        </w:rPr>
        <w:t xml:space="preserve"> some effects of internal motivation were, in tendency, further qualified by the level of participants' external motivation, </w:t>
      </w:r>
      <w:r w:rsidR="00C72740" w:rsidRPr="0035494A">
        <w:rPr>
          <w:rFonts w:ascii="Times New Roman" w:hAnsi="Times New Roman" w:cs="Times New Roman"/>
          <w:bCs/>
          <w:iCs/>
          <w:sz w:val="20"/>
          <w:szCs w:val="20"/>
          <w:lang w:val="en-US"/>
        </w:rPr>
        <w:t xml:space="preserve">partially </w:t>
      </w:r>
      <w:r w:rsidRPr="0035494A">
        <w:rPr>
          <w:rFonts w:ascii="Times New Roman" w:hAnsi="Times New Roman" w:cs="Times New Roman"/>
          <w:bCs/>
          <w:iCs/>
          <w:sz w:val="20"/>
          <w:szCs w:val="20"/>
          <w:lang w:val="en-US"/>
        </w:rPr>
        <w:t xml:space="preserve">supporting Hypothesis 3c. </w:t>
      </w:r>
      <w:r w:rsidR="002D54EA" w:rsidRPr="0035494A">
        <w:rPr>
          <w:rFonts w:ascii="Times New Roman" w:hAnsi="Times New Roman" w:cs="Times New Roman"/>
          <w:bCs/>
          <w:iCs/>
          <w:sz w:val="20"/>
          <w:szCs w:val="20"/>
          <w:lang w:val="en-US"/>
        </w:rPr>
        <w:t>In tendency, when external motivation to respond without prejudice was low, internal motivation tended to have only small or no effects on participants’ positive bias regarding grade (</w:t>
      </w:r>
      <w:r w:rsidR="002D54EA" w:rsidRPr="0035494A">
        <w:rPr>
          <w:rFonts w:ascii="Times New Roman" w:hAnsi="Times New Roman" w:cs="Times New Roman"/>
          <w:bCs/>
          <w:i/>
          <w:sz w:val="20"/>
          <w:szCs w:val="20"/>
          <w:lang w:val="en-US"/>
        </w:rPr>
        <w:t>b</w:t>
      </w:r>
      <w:r w:rsidR="002D54EA" w:rsidRPr="0035494A">
        <w:rPr>
          <w:rFonts w:ascii="Times New Roman" w:hAnsi="Times New Roman" w:cs="Times New Roman"/>
          <w:bCs/>
          <w:iCs/>
          <w:sz w:val="20"/>
          <w:szCs w:val="20"/>
          <w:vertAlign w:val="subscript"/>
          <w:lang w:val="en-US"/>
        </w:rPr>
        <w:t>interaction</w:t>
      </w:r>
      <w:r w:rsidR="002D54EA" w:rsidRPr="0035494A">
        <w:rPr>
          <w:rFonts w:ascii="Times New Roman" w:hAnsi="Times New Roman" w:cs="Times New Roman"/>
          <w:bCs/>
          <w:iCs/>
          <w:sz w:val="20"/>
          <w:szCs w:val="20"/>
          <w:lang w:val="en-US"/>
        </w:rPr>
        <w:t> = </w:t>
      </w:r>
      <w:r w:rsidR="002D54EA" w:rsidRPr="0035494A">
        <w:rPr>
          <w:rFonts w:ascii="Times New Roman" w:hAnsi="Times New Roman" w:cs="Times New Roman"/>
          <w:sz w:val="20"/>
          <w:szCs w:val="20"/>
          <w:lang w:val="en-US"/>
        </w:rPr>
        <w:t>−</w:t>
      </w:r>
      <w:r w:rsidR="002D54EA" w:rsidRPr="0035494A">
        <w:rPr>
          <w:rFonts w:ascii="Times New Roman" w:hAnsi="Times New Roman" w:cs="Times New Roman"/>
          <w:bCs/>
          <w:iCs/>
          <w:sz w:val="20"/>
          <w:szCs w:val="20"/>
          <w:lang w:val="en-US"/>
        </w:rPr>
        <w:t xml:space="preserve">0.28, </w:t>
      </w:r>
      <w:r w:rsidR="002D54EA" w:rsidRPr="0035494A">
        <w:rPr>
          <w:rFonts w:ascii="Times New Roman" w:hAnsi="Times New Roman" w:cs="Times New Roman"/>
          <w:bCs/>
          <w:i/>
          <w:sz w:val="20"/>
          <w:szCs w:val="20"/>
          <w:lang w:val="en-US"/>
        </w:rPr>
        <w:t>SE </w:t>
      </w:r>
      <w:r w:rsidR="002D54EA" w:rsidRPr="0035494A">
        <w:rPr>
          <w:rFonts w:ascii="Times New Roman" w:hAnsi="Times New Roman" w:cs="Times New Roman"/>
          <w:bCs/>
          <w:iCs/>
          <w:sz w:val="20"/>
          <w:szCs w:val="20"/>
          <w:lang w:val="en-US"/>
        </w:rPr>
        <w:t xml:space="preserve">= 0.16,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 .088), essay style/mechanics (</w:t>
      </w:r>
      <w:r w:rsidR="002D54EA" w:rsidRPr="0035494A">
        <w:rPr>
          <w:rFonts w:ascii="Times New Roman" w:hAnsi="Times New Roman" w:cs="Times New Roman"/>
          <w:bCs/>
          <w:i/>
          <w:sz w:val="20"/>
          <w:szCs w:val="20"/>
          <w:lang w:val="en-US"/>
        </w:rPr>
        <w:t>b</w:t>
      </w:r>
      <w:r w:rsidR="002D54EA" w:rsidRPr="0035494A">
        <w:rPr>
          <w:rFonts w:ascii="Times New Roman" w:hAnsi="Times New Roman" w:cs="Times New Roman"/>
          <w:bCs/>
          <w:iCs/>
          <w:sz w:val="20"/>
          <w:szCs w:val="20"/>
          <w:vertAlign w:val="subscript"/>
          <w:lang w:val="en-US"/>
        </w:rPr>
        <w:t>interaction</w:t>
      </w:r>
      <w:r w:rsidR="002D54EA" w:rsidRPr="0035494A">
        <w:rPr>
          <w:rFonts w:ascii="Times New Roman" w:hAnsi="Times New Roman" w:cs="Times New Roman"/>
          <w:bCs/>
          <w:iCs/>
          <w:sz w:val="20"/>
          <w:szCs w:val="20"/>
          <w:lang w:val="en-US"/>
        </w:rPr>
        <w:t> = </w:t>
      </w:r>
      <w:r w:rsidR="002D54EA" w:rsidRPr="0035494A">
        <w:rPr>
          <w:rFonts w:ascii="Times New Roman" w:hAnsi="Times New Roman" w:cs="Times New Roman"/>
          <w:sz w:val="20"/>
          <w:szCs w:val="20"/>
          <w:lang w:val="en-US"/>
        </w:rPr>
        <w:t>−</w:t>
      </w:r>
      <w:r w:rsidR="002D54EA" w:rsidRPr="0035494A">
        <w:rPr>
          <w:rFonts w:ascii="Times New Roman" w:hAnsi="Times New Roman" w:cs="Times New Roman"/>
          <w:bCs/>
          <w:iCs/>
          <w:sz w:val="20"/>
          <w:szCs w:val="20"/>
          <w:lang w:val="en-US"/>
        </w:rPr>
        <w:t xml:space="preserve">0.18, </w:t>
      </w:r>
      <w:r w:rsidR="002D54EA" w:rsidRPr="0035494A">
        <w:rPr>
          <w:rFonts w:ascii="Times New Roman" w:hAnsi="Times New Roman" w:cs="Times New Roman"/>
          <w:bCs/>
          <w:i/>
          <w:sz w:val="20"/>
          <w:szCs w:val="20"/>
          <w:lang w:val="en-US"/>
        </w:rPr>
        <w:t>SE</w:t>
      </w:r>
      <w:r w:rsidR="002D54EA" w:rsidRPr="0035494A">
        <w:rPr>
          <w:rFonts w:ascii="Times New Roman" w:hAnsi="Times New Roman" w:cs="Times New Roman"/>
          <w:bCs/>
          <w:iCs/>
          <w:sz w:val="20"/>
          <w:szCs w:val="20"/>
          <w:lang w:val="en-US"/>
        </w:rPr>
        <w:t xml:space="preserve"> = 0.11,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 .088), total number of positive comments (</w:t>
      </w:r>
      <w:r w:rsidR="002D54EA" w:rsidRPr="0035494A">
        <w:rPr>
          <w:rFonts w:ascii="Times New Roman" w:hAnsi="Times New Roman" w:cs="Times New Roman"/>
          <w:bCs/>
          <w:i/>
          <w:sz w:val="20"/>
          <w:szCs w:val="20"/>
          <w:lang w:val="en-US"/>
        </w:rPr>
        <w:t>b</w:t>
      </w:r>
      <w:r w:rsidR="002D54EA" w:rsidRPr="0035494A">
        <w:rPr>
          <w:rFonts w:ascii="Times New Roman" w:hAnsi="Times New Roman" w:cs="Times New Roman"/>
          <w:bCs/>
          <w:iCs/>
          <w:sz w:val="20"/>
          <w:szCs w:val="20"/>
          <w:vertAlign w:val="subscript"/>
          <w:lang w:val="en-US"/>
        </w:rPr>
        <w:t>interaction</w:t>
      </w:r>
      <w:r w:rsidR="002D54EA" w:rsidRPr="0035494A">
        <w:rPr>
          <w:rFonts w:ascii="Times New Roman" w:hAnsi="Times New Roman" w:cs="Times New Roman"/>
          <w:bCs/>
          <w:iCs/>
          <w:sz w:val="20"/>
          <w:szCs w:val="20"/>
          <w:lang w:val="en-US"/>
        </w:rPr>
        <w:t> = </w:t>
      </w:r>
      <w:r w:rsidR="002D54EA" w:rsidRPr="0035494A">
        <w:rPr>
          <w:rFonts w:ascii="Times New Roman" w:hAnsi="Times New Roman" w:cs="Times New Roman"/>
          <w:sz w:val="20"/>
          <w:szCs w:val="20"/>
          <w:lang w:val="en-US"/>
        </w:rPr>
        <w:t>−</w:t>
      </w:r>
      <w:r w:rsidR="002D54EA" w:rsidRPr="0035494A">
        <w:rPr>
          <w:rFonts w:ascii="Times New Roman" w:hAnsi="Times New Roman" w:cs="Times New Roman"/>
          <w:bCs/>
          <w:iCs/>
          <w:sz w:val="20"/>
          <w:szCs w:val="20"/>
          <w:lang w:val="en-US"/>
        </w:rPr>
        <w:t xml:space="preserve">0.53, </w:t>
      </w:r>
      <w:r w:rsidR="002D54EA" w:rsidRPr="0035494A">
        <w:rPr>
          <w:rFonts w:ascii="Times New Roman" w:hAnsi="Times New Roman" w:cs="Times New Roman"/>
          <w:bCs/>
          <w:i/>
          <w:sz w:val="20"/>
          <w:szCs w:val="20"/>
          <w:lang w:val="en-US"/>
        </w:rPr>
        <w:t>SE</w:t>
      </w:r>
      <w:r w:rsidR="002D54EA" w:rsidRPr="0035494A">
        <w:rPr>
          <w:rFonts w:ascii="Times New Roman" w:hAnsi="Times New Roman" w:cs="Times New Roman"/>
          <w:bCs/>
          <w:iCs/>
          <w:sz w:val="20"/>
          <w:szCs w:val="20"/>
          <w:lang w:val="en-US"/>
        </w:rPr>
        <w:t xml:space="preserve"> = 0.28,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 .063), and number of positive comments on content (</w:t>
      </w:r>
      <w:r w:rsidR="002D54EA" w:rsidRPr="0035494A">
        <w:rPr>
          <w:rFonts w:ascii="Times New Roman" w:hAnsi="Times New Roman" w:cs="Times New Roman"/>
          <w:bCs/>
          <w:i/>
          <w:sz w:val="20"/>
          <w:szCs w:val="20"/>
          <w:lang w:val="en-US"/>
        </w:rPr>
        <w:t>b</w:t>
      </w:r>
      <w:r w:rsidR="002D54EA" w:rsidRPr="0035494A">
        <w:rPr>
          <w:rFonts w:ascii="Times New Roman" w:hAnsi="Times New Roman" w:cs="Times New Roman"/>
          <w:bCs/>
          <w:iCs/>
          <w:sz w:val="20"/>
          <w:szCs w:val="20"/>
          <w:vertAlign w:val="subscript"/>
          <w:lang w:val="en-US"/>
        </w:rPr>
        <w:t>interaction</w:t>
      </w:r>
      <w:r w:rsidR="002D54EA" w:rsidRPr="0035494A">
        <w:rPr>
          <w:rFonts w:ascii="Times New Roman" w:hAnsi="Times New Roman" w:cs="Times New Roman"/>
          <w:bCs/>
          <w:iCs/>
          <w:sz w:val="20"/>
          <w:szCs w:val="20"/>
          <w:lang w:val="en-US"/>
        </w:rPr>
        <w:t> = </w:t>
      </w:r>
      <w:r w:rsidR="002D54EA" w:rsidRPr="0035494A">
        <w:rPr>
          <w:rFonts w:ascii="Times New Roman" w:hAnsi="Times New Roman" w:cs="Times New Roman"/>
          <w:sz w:val="20"/>
          <w:szCs w:val="20"/>
          <w:lang w:val="en-US"/>
        </w:rPr>
        <w:t>−</w:t>
      </w:r>
      <w:r w:rsidR="002D54EA" w:rsidRPr="0035494A">
        <w:rPr>
          <w:rFonts w:ascii="Times New Roman" w:hAnsi="Times New Roman" w:cs="Times New Roman"/>
          <w:bCs/>
          <w:iCs/>
          <w:sz w:val="20"/>
          <w:szCs w:val="20"/>
          <w:lang w:val="en-US"/>
        </w:rPr>
        <w:t xml:space="preserve">0.44, </w:t>
      </w:r>
      <w:r w:rsidR="002D54EA" w:rsidRPr="0035494A">
        <w:rPr>
          <w:rFonts w:ascii="Times New Roman" w:hAnsi="Times New Roman" w:cs="Times New Roman"/>
          <w:bCs/>
          <w:i/>
          <w:sz w:val="20"/>
          <w:szCs w:val="20"/>
          <w:lang w:val="en-US"/>
        </w:rPr>
        <w:t>SE </w:t>
      </w:r>
      <w:r w:rsidR="002D54EA" w:rsidRPr="0035494A">
        <w:rPr>
          <w:rFonts w:ascii="Times New Roman" w:hAnsi="Times New Roman" w:cs="Times New Roman"/>
          <w:bCs/>
          <w:iCs/>
          <w:sz w:val="20"/>
          <w:szCs w:val="20"/>
          <w:lang w:val="en-US"/>
        </w:rPr>
        <w:t xml:space="preserve">= 0.25, </w:t>
      </w:r>
      <w:r w:rsidR="002D54EA" w:rsidRPr="0035494A">
        <w:rPr>
          <w:rFonts w:ascii="Times New Roman" w:hAnsi="Times New Roman" w:cs="Times New Roman"/>
          <w:bCs/>
          <w:i/>
          <w:sz w:val="20"/>
          <w:szCs w:val="20"/>
          <w:lang w:val="en-US"/>
        </w:rPr>
        <w:t>p</w:t>
      </w:r>
      <w:r w:rsidR="002D54EA" w:rsidRPr="0035494A">
        <w:rPr>
          <w:rFonts w:ascii="Times New Roman" w:hAnsi="Times New Roman" w:cs="Times New Roman"/>
          <w:bCs/>
          <w:iCs/>
          <w:sz w:val="20"/>
          <w:szCs w:val="20"/>
          <w:lang w:val="en-US"/>
        </w:rPr>
        <w:t xml:space="preserve"> = .087). </w:t>
      </w:r>
      <w:r w:rsidRPr="0035494A">
        <w:rPr>
          <w:rFonts w:ascii="Times New Roman" w:hAnsi="Times New Roman" w:cs="Times New Roman"/>
          <w:bCs/>
          <w:iCs/>
          <w:sz w:val="20"/>
          <w:szCs w:val="20"/>
          <w:lang w:val="en-US"/>
        </w:rPr>
        <w:t>Contrarily, when external motivation was high, greater internal motivation was associated with less positive bias (see Figure 1a-d). Participants tended to show the greatest positive bias towards students with a Turkish migration background on these dimensions when they were purely motivated to do so by external reasons, i.e., when they were low in internal and simultaneously high in external motivation</w:t>
      </w:r>
      <w:r w:rsidR="00EF59A4" w:rsidRPr="0035494A">
        <w:rPr>
          <w:rFonts w:ascii="Times New Roman" w:hAnsi="Times New Roman" w:cs="Times New Roman"/>
          <w:bCs/>
          <w:iCs/>
          <w:sz w:val="20"/>
          <w:szCs w:val="20"/>
          <w:lang w:val="en-US"/>
        </w:rPr>
        <w:t xml:space="preserve"> (see Figure </w:t>
      </w:r>
      <w:r w:rsidR="0035494A" w:rsidRPr="0035494A">
        <w:rPr>
          <w:rFonts w:ascii="Times New Roman" w:hAnsi="Times New Roman" w:cs="Times New Roman"/>
          <w:bCs/>
          <w:iCs/>
          <w:sz w:val="20"/>
          <w:szCs w:val="20"/>
          <w:lang w:val="en-US"/>
        </w:rPr>
        <w:t>S</w:t>
      </w:r>
      <w:r w:rsidR="00EF59A4" w:rsidRPr="0035494A">
        <w:rPr>
          <w:rFonts w:ascii="Times New Roman" w:hAnsi="Times New Roman" w:cs="Times New Roman"/>
          <w:bCs/>
          <w:iCs/>
          <w:sz w:val="20"/>
          <w:szCs w:val="20"/>
          <w:lang w:val="en-US"/>
        </w:rPr>
        <w:t>1)</w:t>
      </w:r>
      <w:r w:rsidRPr="0035494A">
        <w:rPr>
          <w:rFonts w:ascii="Times New Roman" w:hAnsi="Times New Roman" w:cs="Times New Roman"/>
          <w:bCs/>
          <w:iCs/>
          <w:sz w:val="20"/>
          <w:szCs w:val="20"/>
          <w:lang w:val="en-US"/>
        </w:rPr>
        <w:t>.</w:t>
      </w:r>
    </w:p>
    <w:p w14:paraId="5B398E30" w14:textId="492EAA01" w:rsidR="000C2FBE" w:rsidRDefault="000C2FBE">
      <w:pPr>
        <w:rPr>
          <w:rFonts w:ascii="Times New Roman" w:hAnsi="Times New Roman" w:cs="Times New Roman"/>
          <w:bCs/>
          <w:iCs/>
          <w:color w:val="000000"/>
          <w:sz w:val="20"/>
          <w:szCs w:val="20"/>
          <w:lang w:val="en-US"/>
        </w:rPr>
      </w:pPr>
      <w:r>
        <w:rPr>
          <w:rFonts w:ascii="Times New Roman" w:hAnsi="Times New Roman" w:cs="Times New Roman"/>
          <w:bCs/>
          <w:iCs/>
          <w:sz w:val="20"/>
          <w:szCs w:val="20"/>
          <w:lang w:val="en-US"/>
        </w:rPr>
        <w:br w:type="page"/>
      </w:r>
    </w:p>
    <w:tbl>
      <w:tblPr>
        <w:tblStyle w:val="Tabellenraster"/>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283"/>
        <w:gridCol w:w="709"/>
        <w:gridCol w:w="992"/>
        <w:gridCol w:w="993"/>
        <w:gridCol w:w="992"/>
        <w:gridCol w:w="850"/>
        <w:gridCol w:w="1134"/>
        <w:gridCol w:w="735"/>
        <w:gridCol w:w="713"/>
      </w:tblGrid>
      <w:tr w:rsidR="0035494A" w:rsidRPr="000C2FBE" w14:paraId="4165EE4E" w14:textId="77777777" w:rsidTr="00FA6CC5">
        <w:trPr>
          <w:trHeight w:val="899"/>
        </w:trPr>
        <w:tc>
          <w:tcPr>
            <w:tcW w:w="9386" w:type="dxa"/>
            <w:gridSpan w:val="10"/>
          </w:tcPr>
          <w:p w14:paraId="455EDFCA" w14:textId="77777777" w:rsidR="0035494A" w:rsidRPr="00400ADB" w:rsidRDefault="0035494A" w:rsidP="00FA6CC5">
            <w:pPr>
              <w:spacing w:line="480" w:lineRule="auto"/>
              <w:rPr>
                <w:rFonts w:ascii="Times New Roman" w:hAnsi="Times New Roman" w:cs="Times New Roman"/>
                <w:b/>
                <w:sz w:val="20"/>
                <w:szCs w:val="20"/>
                <w:lang w:val="en-US"/>
              </w:rPr>
            </w:pPr>
            <w:r w:rsidRPr="00400ADB">
              <w:rPr>
                <w:rFonts w:ascii="Times New Roman" w:hAnsi="Times New Roman" w:cs="Times New Roman"/>
                <w:b/>
                <w:sz w:val="20"/>
                <w:szCs w:val="20"/>
                <w:lang w:val="en-US"/>
              </w:rPr>
              <w:t>Ta</w:t>
            </w:r>
            <w:r>
              <w:rPr>
                <w:rFonts w:ascii="Times New Roman" w:hAnsi="Times New Roman" w:cs="Times New Roman"/>
                <w:b/>
                <w:sz w:val="20"/>
                <w:szCs w:val="20"/>
                <w:lang w:val="en-US"/>
              </w:rPr>
              <w:t>ble S</w:t>
            </w:r>
            <w:r w:rsidRPr="00400ADB">
              <w:rPr>
                <w:rFonts w:ascii="Times New Roman" w:hAnsi="Times New Roman" w:cs="Times New Roman"/>
                <w:b/>
                <w:sz w:val="20"/>
                <w:szCs w:val="20"/>
                <w:lang w:val="en-US"/>
              </w:rPr>
              <w:t xml:space="preserve">1 </w:t>
            </w:r>
          </w:p>
          <w:p w14:paraId="63BC145C" w14:textId="77777777" w:rsidR="0035494A" w:rsidRPr="00400ADB" w:rsidRDefault="0035494A" w:rsidP="00FA6CC5">
            <w:pPr>
              <w:spacing w:line="480" w:lineRule="auto"/>
              <w:rPr>
                <w:rFonts w:ascii="Times New Roman" w:hAnsi="Times New Roman" w:cs="Times New Roman"/>
                <w:i/>
                <w:sz w:val="20"/>
                <w:szCs w:val="20"/>
                <w:lang w:val="en-US"/>
              </w:rPr>
            </w:pPr>
            <w:r w:rsidRPr="00400ADB">
              <w:rPr>
                <w:rFonts w:ascii="Times New Roman" w:hAnsi="Times New Roman" w:cs="Times New Roman"/>
                <w:i/>
                <w:sz w:val="20"/>
                <w:szCs w:val="20"/>
                <w:lang w:val="en-US"/>
              </w:rPr>
              <w:t>Results of the Regression Predicting Difference Scores in the Feedback Condition by Internal/External Motivation</w:t>
            </w:r>
          </w:p>
        </w:tc>
      </w:tr>
      <w:tr w:rsidR="0035494A" w:rsidRPr="00400ADB" w14:paraId="111ADD3D" w14:textId="77777777" w:rsidTr="00FA6CC5">
        <w:trPr>
          <w:trHeight w:val="563"/>
        </w:trPr>
        <w:tc>
          <w:tcPr>
            <w:tcW w:w="1985" w:type="dxa"/>
            <w:vMerge w:val="restart"/>
            <w:tcBorders>
              <w:top w:val="single" w:sz="4" w:space="0" w:color="auto"/>
            </w:tcBorders>
          </w:tcPr>
          <w:p w14:paraId="7E73FAD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 xml:space="preserve">Dependent variable </w:t>
            </w:r>
          </w:p>
          <w:p w14:paraId="426B7934"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(difference scores)</w:t>
            </w:r>
          </w:p>
        </w:tc>
        <w:tc>
          <w:tcPr>
            <w:tcW w:w="992" w:type="dxa"/>
            <w:gridSpan w:val="2"/>
            <w:vMerge w:val="restart"/>
            <w:tcBorders>
              <w:top w:val="single" w:sz="4" w:space="0" w:color="auto"/>
              <w:bottom w:val="single" w:sz="4" w:space="0" w:color="auto"/>
            </w:tcBorders>
          </w:tcPr>
          <w:p w14:paraId="30158B0C" w14:textId="77777777" w:rsidR="0035494A" w:rsidRPr="00400ADB" w:rsidRDefault="0035494A" w:rsidP="00FA6CC5">
            <w:pPr>
              <w:rPr>
                <w:rFonts w:ascii="Times New Roman" w:hAnsi="Times New Roman" w:cs="Times New Roman"/>
                <w:sz w:val="20"/>
                <w:szCs w:val="20"/>
                <w:lang w:val="en-US"/>
              </w:rPr>
            </w:pPr>
          </w:p>
          <w:p w14:paraId="458405F4"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Intercept</w:t>
            </w:r>
          </w:p>
        </w:tc>
        <w:tc>
          <w:tcPr>
            <w:tcW w:w="1985" w:type="dxa"/>
            <w:gridSpan w:val="2"/>
            <w:tcBorders>
              <w:top w:val="single" w:sz="4" w:space="0" w:color="auto"/>
              <w:left w:val="nil"/>
              <w:bottom w:val="single" w:sz="4" w:space="0" w:color="auto"/>
            </w:tcBorders>
          </w:tcPr>
          <w:p w14:paraId="74E53D2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Internal motivation</w:t>
            </w:r>
          </w:p>
        </w:tc>
        <w:tc>
          <w:tcPr>
            <w:tcW w:w="1842" w:type="dxa"/>
            <w:gridSpan w:val="2"/>
            <w:tcBorders>
              <w:top w:val="single" w:sz="4" w:space="0" w:color="auto"/>
              <w:bottom w:val="single" w:sz="4" w:space="0" w:color="auto"/>
            </w:tcBorders>
          </w:tcPr>
          <w:p w14:paraId="1966EC83"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External motivation</w:t>
            </w:r>
          </w:p>
        </w:tc>
        <w:tc>
          <w:tcPr>
            <w:tcW w:w="1869" w:type="dxa"/>
            <w:gridSpan w:val="2"/>
            <w:tcBorders>
              <w:top w:val="single" w:sz="4" w:space="0" w:color="auto"/>
              <w:left w:val="nil"/>
              <w:bottom w:val="single" w:sz="4" w:space="0" w:color="auto"/>
            </w:tcBorders>
          </w:tcPr>
          <w:p w14:paraId="1C8C290C"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IMS*EMS</w:t>
            </w:r>
          </w:p>
        </w:tc>
        <w:tc>
          <w:tcPr>
            <w:tcW w:w="713" w:type="dxa"/>
            <w:vMerge w:val="restart"/>
            <w:tcBorders>
              <w:top w:val="single" w:sz="4" w:space="0" w:color="auto"/>
            </w:tcBorders>
          </w:tcPr>
          <w:p w14:paraId="480F6177" w14:textId="77777777" w:rsidR="0035494A" w:rsidRPr="00400ADB" w:rsidRDefault="0035494A" w:rsidP="00FA6CC5">
            <w:pPr>
              <w:spacing w:after="120"/>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 xml:space="preserve">Adj. </w:t>
            </w:r>
            <w:r w:rsidRPr="00400ADB">
              <w:rPr>
                <w:rFonts w:ascii="Times New Roman" w:hAnsi="Times New Roman" w:cs="Times New Roman"/>
                <w:i/>
                <w:sz w:val="20"/>
                <w:szCs w:val="20"/>
                <w:lang w:val="en-US"/>
              </w:rPr>
              <w:t>R</w:t>
            </w:r>
            <w:r w:rsidRPr="00400ADB">
              <w:rPr>
                <w:rFonts w:ascii="Times New Roman" w:hAnsi="Times New Roman" w:cs="Times New Roman"/>
                <w:sz w:val="20"/>
                <w:szCs w:val="20"/>
                <w:lang w:val="en-US"/>
              </w:rPr>
              <w:t>²</w:t>
            </w:r>
          </w:p>
        </w:tc>
      </w:tr>
      <w:tr w:rsidR="0035494A" w:rsidRPr="00400ADB" w14:paraId="2C7E0560" w14:textId="77777777" w:rsidTr="00FA6CC5">
        <w:trPr>
          <w:trHeight w:val="288"/>
        </w:trPr>
        <w:tc>
          <w:tcPr>
            <w:tcW w:w="1985" w:type="dxa"/>
            <w:vMerge/>
            <w:tcBorders>
              <w:top w:val="single" w:sz="4" w:space="0" w:color="auto"/>
              <w:bottom w:val="single" w:sz="4" w:space="0" w:color="auto"/>
            </w:tcBorders>
          </w:tcPr>
          <w:p w14:paraId="4EA619D1" w14:textId="77777777" w:rsidR="0035494A" w:rsidRPr="00400ADB" w:rsidRDefault="0035494A" w:rsidP="00FA6CC5">
            <w:pPr>
              <w:jc w:val="center"/>
              <w:rPr>
                <w:rFonts w:ascii="Times New Roman" w:hAnsi="Times New Roman" w:cs="Times New Roman"/>
                <w:sz w:val="20"/>
                <w:szCs w:val="20"/>
                <w:lang w:val="en-US"/>
              </w:rPr>
            </w:pPr>
          </w:p>
        </w:tc>
        <w:tc>
          <w:tcPr>
            <w:tcW w:w="992" w:type="dxa"/>
            <w:gridSpan w:val="2"/>
            <w:vMerge/>
            <w:tcBorders>
              <w:top w:val="single" w:sz="4" w:space="0" w:color="auto"/>
              <w:bottom w:val="single" w:sz="4" w:space="0" w:color="auto"/>
            </w:tcBorders>
          </w:tcPr>
          <w:p w14:paraId="55394AA8" w14:textId="77777777" w:rsidR="0035494A" w:rsidRPr="00400ADB" w:rsidRDefault="0035494A" w:rsidP="00FA6CC5">
            <w:pPr>
              <w:jc w:val="center"/>
              <w:rPr>
                <w:rFonts w:ascii="Times New Roman" w:hAnsi="Times New Roman" w:cs="Times New Roman"/>
                <w:sz w:val="20"/>
                <w:szCs w:val="20"/>
                <w:lang w:val="en-US"/>
              </w:rPr>
            </w:pPr>
          </w:p>
        </w:tc>
        <w:tc>
          <w:tcPr>
            <w:tcW w:w="992" w:type="dxa"/>
            <w:tcBorders>
              <w:top w:val="single" w:sz="4" w:space="0" w:color="auto"/>
              <w:left w:val="nil"/>
              <w:bottom w:val="single" w:sz="4" w:space="0" w:color="auto"/>
            </w:tcBorders>
          </w:tcPr>
          <w:p w14:paraId="11F1DFCF"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i/>
                <w:sz w:val="20"/>
                <w:szCs w:val="20"/>
                <w:lang w:val="en-US"/>
              </w:rPr>
              <w:t>B</w:t>
            </w:r>
            <w:r w:rsidRPr="00400ADB">
              <w:rPr>
                <w:rFonts w:ascii="Times New Roman" w:hAnsi="Times New Roman" w:cs="Times New Roman"/>
                <w:sz w:val="20"/>
                <w:szCs w:val="20"/>
                <w:lang w:val="en-US"/>
              </w:rPr>
              <w:t xml:space="preserve"> (</w:t>
            </w:r>
            <w:r w:rsidRPr="00400ADB">
              <w:rPr>
                <w:rFonts w:ascii="Times New Roman" w:hAnsi="Times New Roman" w:cs="Times New Roman"/>
                <w:i/>
                <w:sz w:val="20"/>
                <w:szCs w:val="20"/>
                <w:lang w:val="en-US"/>
              </w:rPr>
              <w:t>SE</w:t>
            </w:r>
            <w:r w:rsidRPr="00400ADB">
              <w:rPr>
                <w:rFonts w:ascii="Times New Roman" w:hAnsi="Times New Roman" w:cs="Times New Roman"/>
                <w:sz w:val="20"/>
                <w:szCs w:val="20"/>
                <w:lang w:val="en-US"/>
              </w:rPr>
              <w:t>)</w:t>
            </w:r>
          </w:p>
        </w:tc>
        <w:tc>
          <w:tcPr>
            <w:tcW w:w="993" w:type="dxa"/>
            <w:tcBorders>
              <w:top w:val="single" w:sz="4" w:space="0" w:color="auto"/>
              <w:left w:val="nil"/>
              <w:bottom w:val="single" w:sz="4" w:space="0" w:color="auto"/>
            </w:tcBorders>
          </w:tcPr>
          <w:p w14:paraId="0723B456"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β</w:t>
            </w:r>
          </w:p>
        </w:tc>
        <w:tc>
          <w:tcPr>
            <w:tcW w:w="992" w:type="dxa"/>
            <w:tcBorders>
              <w:top w:val="single" w:sz="4" w:space="0" w:color="auto"/>
              <w:bottom w:val="single" w:sz="4" w:space="0" w:color="auto"/>
            </w:tcBorders>
          </w:tcPr>
          <w:p w14:paraId="7FC9FA3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i/>
                <w:sz w:val="20"/>
                <w:szCs w:val="20"/>
                <w:lang w:val="en-US"/>
              </w:rPr>
              <w:t>B</w:t>
            </w:r>
            <w:r w:rsidRPr="00400ADB">
              <w:rPr>
                <w:rFonts w:ascii="Times New Roman" w:hAnsi="Times New Roman" w:cs="Times New Roman"/>
                <w:sz w:val="20"/>
                <w:szCs w:val="20"/>
                <w:lang w:val="en-US"/>
              </w:rPr>
              <w:t xml:space="preserve"> (</w:t>
            </w:r>
            <w:r w:rsidRPr="00400ADB">
              <w:rPr>
                <w:rFonts w:ascii="Times New Roman" w:hAnsi="Times New Roman" w:cs="Times New Roman"/>
                <w:i/>
                <w:sz w:val="20"/>
                <w:szCs w:val="20"/>
                <w:lang w:val="en-US"/>
              </w:rPr>
              <w:t>SE</w:t>
            </w:r>
            <w:r w:rsidRPr="00400ADB">
              <w:rPr>
                <w:rFonts w:ascii="Times New Roman" w:hAnsi="Times New Roman" w:cs="Times New Roman"/>
                <w:sz w:val="20"/>
                <w:szCs w:val="20"/>
                <w:lang w:val="en-US"/>
              </w:rPr>
              <w:t>)</w:t>
            </w:r>
          </w:p>
        </w:tc>
        <w:tc>
          <w:tcPr>
            <w:tcW w:w="850" w:type="dxa"/>
            <w:tcBorders>
              <w:top w:val="single" w:sz="4" w:space="0" w:color="auto"/>
              <w:left w:val="nil"/>
              <w:bottom w:val="single" w:sz="4" w:space="0" w:color="auto"/>
            </w:tcBorders>
          </w:tcPr>
          <w:p w14:paraId="0290176D"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β</w:t>
            </w:r>
          </w:p>
        </w:tc>
        <w:tc>
          <w:tcPr>
            <w:tcW w:w="1134" w:type="dxa"/>
            <w:tcBorders>
              <w:top w:val="single" w:sz="4" w:space="0" w:color="auto"/>
              <w:left w:val="nil"/>
              <w:bottom w:val="single" w:sz="4" w:space="0" w:color="auto"/>
            </w:tcBorders>
          </w:tcPr>
          <w:p w14:paraId="6CDF5A2E"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i/>
                <w:sz w:val="20"/>
                <w:szCs w:val="20"/>
                <w:lang w:val="en-US"/>
              </w:rPr>
              <w:t>B</w:t>
            </w:r>
            <w:r w:rsidRPr="00400ADB">
              <w:rPr>
                <w:rFonts w:ascii="Times New Roman" w:hAnsi="Times New Roman" w:cs="Times New Roman"/>
                <w:sz w:val="20"/>
                <w:szCs w:val="20"/>
                <w:lang w:val="en-US"/>
              </w:rPr>
              <w:t xml:space="preserve"> (</w:t>
            </w:r>
            <w:r w:rsidRPr="00400ADB">
              <w:rPr>
                <w:rFonts w:ascii="Times New Roman" w:hAnsi="Times New Roman" w:cs="Times New Roman"/>
                <w:i/>
                <w:sz w:val="20"/>
                <w:szCs w:val="20"/>
                <w:lang w:val="en-US"/>
              </w:rPr>
              <w:t>SE</w:t>
            </w:r>
            <w:r w:rsidRPr="00400ADB">
              <w:rPr>
                <w:rFonts w:ascii="Times New Roman" w:hAnsi="Times New Roman" w:cs="Times New Roman"/>
                <w:sz w:val="20"/>
                <w:szCs w:val="20"/>
                <w:lang w:val="en-US"/>
              </w:rPr>
              <w:t>)</w:t>
            </w:r>
          </w:p>
        </w:tc>
        <w:tc>
          <w:tcPr>
            <w:tcW w:w="735" w:type="dxa"/>
            <w:tcBorders>
              <w:top w:val="single" w:sz="4" w:space="0" w:color="auto"/>
              <w:left w:val="nil"/>
              <w:bottom w:val="single" w:sz="4" w:space="0" w:color="auto"/>
            </w:tcBorders>
          </w:tcPr>
          <w:p w14:paraId="4F938FA6"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β</w:t>
            </w:r>
          </w:p>
        </w:tc>
        <w:tc>
          <w:tcPr>
            <w:tcW w:w="713" w:type="dxa"/>
            <w:vMerge/>
            <w:tcBorders>
              <w:bottom w:val="single" w:sz="4" w:space="0" w:color="auto"/>
            </w:tcBorders>
          </w:tcPr>
          <w:p w14:paraId="6AFAA44D" w14:textId="77777777" w:rsidR="0035494A" w:rsidRPr="00400ADB" w:rsidRDefault="0035494A" w:rsidP="00FA6CC5">
            <w:pPr>
              <w:spacing w:after="120"/>
              <w:jc w:val="center"/>
              <w:rPr>
                <w:rFonts w:ascii="Times New Roman" w:hAnsi="Times New Roman" w:cs="Times New Roman"/>
                <w:sz w:val="20"/>
                <w:szCs w:val="20"/>
                <w:lang w:val="en-US"/>
              </w:rPr>
            </w:pPr>
          </w:p>
        </w:tc>
      </w:tr>
      <w:tr w:rsidR="0035494A" w:rsidRPr="00400ADB" w14:paraId="60422CEB" w14:textId="77777777" w:rsidTr="00FA6CC5">
        <w:trPr>
          <w:trHeight w:val="370"/>
        </w:trPr>
        <w:tc>
          <w:tcPr>
            <w:tcW w:w="2268" w:type="dxa"/>
            <w:gridSpan w:val="2"/>
            <w:tcBorders>
              <w:top w:val="single" w:sz="4" w:space="0" w:color="auto"/>
            </w:tcBorders>
            <w:vAlign w:val="center"/>
          </w:tcPr>
          <w:p w14:paraId="79A100D3" w14:textId="77777777" w:rsidR="0035494A" w:rsidRPr="00400ADB" w:rsidRDefault="0035494A" w:rsidP="00FA6CC5">
            <w:pPr>
              <w:rPr>
                <w:rFonts w:ascii="Times New Roman" w:hAnsi="Times New Roman" w:cs="Times New Roman"/>
                <w:sz w:val="20"/>
                <w:szCs w:val="20"/>
                <w:lang w:val="en-US"/>
              </w:rPr>
            </w:pPr>
            <w:r w:rsidRPr="00400ADB">
              <w:rPr>
                <w:rFonts w:ascii="Times New Roman" w:hAnsi="Times New Roman" w:cs="Times New Roman"/>
                <w:sz w:val="20"/>
                <w:szCs w:val="20"/>
                <w:lang w:val="en-US"/>
              </w:rPr>
              <w:t>Rating scale impressions</w:t>
            </w:r>
          </w:p>
        </w:tc>
        <w:tc>
          <w:tcPr>
            <w:tcW w:w="709" w:type="dxa"/>
            <w:tcBorders>
              <w:top w:val="single" w:sz="4" w:space="0" w:color="auto"/>
            </w:tcBorders>
            <w:vAlign w:val="center"/>
          </w:tcPr>
          <w:p w14:paraId="30A98D66" w14:textId="77777777" w:rsidR="0035494A" w:rsidRPr="00400ADB" w:rsidRDefault="0035494A" w:rsidP="00FA6CC5">
            <w:pPr>
              <w:rPr>
                <w:rFonts w:ascii="Times New Roman" w:hAnsi="Times New Roman" w:cs="Times New Roman"/>
                <w:sz w:val="20"/>
                <w:szCs w:val="20"/>
                <w:lang w:val="en-US"/>
              </w:rPr>
            </w:pPr>
          </w:p>
        </w:tc>
        <w:tc>
          <w:tcPr>
            <w:tcW w:w="992" w:type="dxa"/>
            <w:tcBorders>
              <w:top w:val="single" w:sz="4" w:space="0" w:color="auto"/>
            </w:tcBorders>
            <w:vAlign w:val="center"/>
          </w:tcPr>
          <w:p w14:paraId="73A24783" w14:textId="77777777" w:rsidR="0035494A" w:rsidRPr="00400ADB" w:rsidRDefault="0035494A" w:rsidP="00FA6CC5">
            <w:pPr>
              <w:rPr>
                <w:rFonts w:ascii="Times New Roman" w:hAnsi="Times New Roman" w:cs="Times New Roman"/>
                <w:sz w:val="20"/>
                <w:szCs w:val="20"/>
                <w:lang w:val="en-US"/>
              </w:rPr>
            </w:pPr>
          </w:p>
        </w:tc>
        <w:tc>
          <w:tcPr>
            <w:tcW w:w="993" w:type="dxa"/>
            <w:tcBorders>
              <w:top w:val="single" w:sz="4" w:space="0" w:color="auto"/>
              <w:left w:val="nil"/>
            </w:tcBorders>
            <w:vAlign w:val="center"/>
          </w:tcPr>
          <w:p w14:paraId="339E550A" w14:textId="77777777" w:rsidR="0035494A" w:rsidRPr="00400ADB" w:rsidRDefault="0035494A" w:rsidP="00FA6CC5">
            <w:pPr>
              <w:rPr>
                <w:rFonts w:ascii="Times New Roman" w:hAnsi="Times New Roman" w:cs="Times New Roman"/>
                <w:sz w:val="20"/>
                <w:szCs w:val="20"/>
                <w:lang w:val="en-US"/>
              </w:rPr>
            </w:pPr>
          </w:p>
        </w:tc>
        <w:tc>
          <w:tcPr>
            <w:tcW w:w="992" w:type="dxa"/>
            <w:tcBorders>
              <w:top w:val="single" w:sz="4" w:space="0" w:color="auto"/>
            </w:tcBorders>
            <w:vAlign w:val="center"/>
          </w:tcPr>
          <w:p w14:paraId="5C314290" w14:textId="77777777" w:rsidR="0035494A" w:rsidRPr="00400ADB" w:rsidRDefault="0035494A" w:rsidP="00FA6CC5">
            <w:pPr>
              <w:rPr>
                <w:rFonts w:ascii="Times New Roman" w:hAnsi="Times New Roman" w:cs="Times New Roman"/>
                <w:sz w:val="20"/>
                <w:szCs w:val="20"/>
                <w:lang w:val="en-US"/>
              </w:rPr>
            </w:pPr>
          </w:p>
        </w:tc>
        <w:tc>
          <w:tcPr>
            <w:tcW w:w="850" w:type="dxa"/>
            <w:tcBorders>
              <w:top w:val="single" w:sz="4" w:space="0" w:color="auto"/>
              <w:left w:val="nil"/>
            </w:tcBorders>
            <w:vAlign w:val="center"/>
          </w:tcPr>
          <w:p w14:paraId="68D377A9" w14:textId="77777777" w:rsidR="0035494A" w:rsidRPr="00400ADB" w:rsidRDefault="0035494A" w:rsidP="00FA6CC5">
            <w:pPr>
              <w:rPr>
                <w:rFonts w:ascii="Times New Roman" w:hAnsi="Times New Roman" w:cs="Times New Roman"/>
                <w:sz w:val="20"/>
                <w:szCs w:val="20"/>
                <w:lang w:val="en-US"/>
              </w:rPr>
            </w:pPr>
          </w:p>
        </w:tc>
        <w:tc>
          <w:tcPr>
            <w:tcW w:w="1134" w:type="dxa"/>
            <w:tcBorders>
              <w:top w:val="single" w:sz="4" w:space="0" w:color="auto"/>
              <w:left w:val="nil"/>
            </w:tcBorders>
            <w:vAlign w:val="center"/>
          </w:tcPr>
          <w:p w14:paraId="13A27713" w14:textId="77777777" w:rsidR="0035494A" w:rsidRPr="00400ADB" w:rsidRDefault="0035494A" w:rsidP="00FA6CC5">
            <w:pPr>
              <w:rPr>
                <w:rFonts w:ascii="Times New Roman" w:hAnsi="Times New Roman" w:cs="Times New Roman"/>
                <w:sz w:val="20"/>
                <w:szCs w:val="20"/>
                <w:lang w:val="en-US"/>
              </w:rPr>
            </w:pPr>
          </w:p>
        </w:tc>
        <w:tc>
          <w:tcPr>
            <w:tcW w:w="735" w:type="dxa"/>
            <w:tcBorders>
              <w:top w:val="single" w:sz="4" w:space="0" w:color="auto"/>
              <w:left w:val="nil"/>
            </w:tcBorders>
            <w:vAlign w:val="center"/>
          </w:tcPr>
          <w:p w14:paraId="5ABEBDDC" w14:textId="77777777" w:rsidR="0035494A" w:rsidRPr="00400ADB" w:rsidRDefault="0035494A" w:rsidP="00FA6CC5">
            <w:pPr>
              <w:rPr>
                <w:rFonts w:ascii="Times New Roman" w:hAnsi="Times New Roman" w:cs="Times New Roman"/>
                <w:sz w:val="20"/>
                <w:szCs w:val="20"/>
                <w:lang w:val="en-US"/>
              </w:rPr>
            </w:pPr>
          </w:p>
        </w:tc>
        <w:tc>
          <w:tcPr>
            <w:tcW w:w="713" w:type="dxa"/>
            <w:tcBorders>
              <w:top w:val="single" w:sz="4" w:space="0" w:color="auto"/>
            </w:tcBorders>
            <w:vAlign w:val="center"/>
          </w:tcPr>
          <w:p w14:paraId="62869655" w14:textId="77777777" w:rsidR="0035494A" w:rsidRPr="00400ADB" w:rsidRDefault="0035494A" w:rsidP="00FA6CC5">
            <w:pPr>
              <w:spacing w:after="120"/>
              <w:rPr>
                <w:rFonts w:ascii="Times New Roman" w:hAnsi="Times New Roman" w:cs="Times New Roman"/>
                <w:sz w:val="20"/>
                <w:szCs w:val="20"/>
                <w:lang w:val="en-US"/>
              </w:rPr>
            </w:pPr>
          </w:p>
        </w:tc>
      </w:tr>
      <w:tr w:rsidR="0035494A" w:rsidRPr="00400ADB" w14:paraId="4AB82954" w14:textId="77777777" w:rsidTr="00FA6CC5">
        <w:trPr>
          <w:trHeight w:val="370"/>
        </w:trPr>
        <w:tc>
          <w:tcPr>
            <w:tcW w:w="1985" w:type="dxa"/>
            <w:vAlign w:val="center"/>
          </w:tcPr>
          <w:p w14:paraId="65C21EBE"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Grade</w:t>
            </w:r>
          </w:p>
        </w:tc>
        <w:tc>
          <w:tcPr>
            <w:tcW w:w="992" w:type="dxa"/>
            <w:gridSpan w:val="2"/>
            <w:vAlign w:val="center"/>
          </w:tcPr>
          <w:p w14:paraId="63224406"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0.33 (0.25)</w:t>
            </w:r>
          </w:p>
        </w:tc>
        <w:tc>
          <w:tcPr>
            <w:tcW w:w="992" w:type="dxa"/>
            <w:vAlign w:val="center"/>
          </w:tcPr>
          <w:p w14:paraId="349894B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w:t>
            </w:r>
            <w:r w:rsidRPr="00400ADB">
              <w:rPr>
                <w:rFonts w:ascii="Times New Roman" w:hAnsi="Times New Roman" w:cs="Times New Roman"/>
                <w:color w:val="000000" w:themeColor="text1"/>
                <w:sz w:val="20"/>
                <w:szCs w:val="20"/>
                <w:lang w:val="en-US"/>
              </w:rPr>
              <w:t>.91* (0.39)</w:t>
            </w:r>
          </w:p>
        </w:tc>
        <w:tc>
          <w:tcPr>
            <w:tcW w:w="993" w:type="dxa"/>
            <w:tcBorders>
              <w:left w:val="nil"/>
            </w:tcBorders>
            <w:vAlign w:val="center"/>
          </w:tcPr>
          <w:p w14:paraId="5C8CFD1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−0.39*</w:t>
            </w:r>
          </w:p>
        </w:tc>
        <w:tc>
          <w:tcPr>
            <w:tcW w:w="992" w:type="dxa"/>
            <w:vAlign w:val="center"/>
          </w:tcPr>
          <w:p w14:paraId="27D6AE2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0.19 (0.12)</w:t>
            </w:r>
          </w:p>
        </w:tc>
        <w:tc>
          <w:tcPr>
            <w:tcW w:w="850" w:type="dxa"/>
            <w:tcBorders>
              <w:left w:val="nil"/>
            </w:tcBorders>
            <w:vAlign w:val="center"/>
          </w:tcPr>
          <w:p w14:paraId="71E3001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0.22</w:t>
            </w:r>
          </w:p>
        </w:tc>
        <w:tc>
          <w:tcPr>
            <w:tcW w:w="1134" w:type="dxa"/>
            <w:vAlign w:val="center"/>
          </w:tcPr>
          <w:p w14:paraId="2C87D6A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−0.28</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(0.16)</w:t>
            </w:r>
          </w:p>
        </w:tc>
        <w:tc>
          <w:tcPr>
            <w:tcW w:w="735" w:type="dxa"/>
            <w:tcBorders>
              <w:left w:val="nil"/>
            </w:tcBorders>
            <w:vAlign w:val="center"/>
          </w:tcPr>
          <w:p w14:paraId="7242FCE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−0.30</w:t>
            </w:r>
            <w:r w:rsidRPr="00400ADB">
              <w:rPr>
                <w:rFonts w:ascii="Times New Roman" w:hAnsi="Times New Roman" w:cs="Times New Roman"/>
                <w:sz w:val="20"/>
                <w:szCs w:val="20"/>
                <w:vertAlign w:val="superscript"/>
                <w:lang w:val="en-US"/>
              </w:rPr>
              <w:t>+</w:t>
            </w:r>
          </w:p>
        </w:tc>
        <w:tc>
          <w:tcPr>
            <w:tcW w:w="713" w:type="dxa"/>
            <w:vAlign w:val="center"/>
          </w:tcPr>
          <w:p w14:paraId="0EED8FF3"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.041</w:t>
            </w:r>
          </w:p>
        </w:tc>
      </w:tr>
      <w:tr w:rsidR="0035494A" w:rsidRPr="00400ADB" w14:paraId="5D6B6702" w14:textId="77777777" w:rsidTr="00FA6CC5">
        <w:trPr>
          <w:trHeight w:val="370"/>
        </w:trPr>
        <w:tc>
          <w:tcPr>
            <w:tcW w:w="1985" w:type="dxa"/>
            <w:vAlign w:val="center"/>
          </w:tcPr>
          <w:p w14:paraId="1616635E"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Writing skills</w:t>
            </w:r>
          </w:p>
        </w:tc>
        <w:tc>
          <w:tcPr>
            <w:tcW w:w="992" w:type="dxa"/>
            <w:gridSpan w:val="2"/>
            <w:vAlign w:val="center"/>
          </w:tcPr>
          <w:p w14:paraId="73EEDD8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0.19 (0.13)</w:t>
            </w:r>
          </w:p>
        </w:tc>
        <w:tc>
          <w:tcPr>
            <w:tcW w:w="992" w:type="dxa"/>
            <w:vAlign w:val="center"/>
          </w:tcPr>
          <w:p w14:paraId="2DB619E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−0.39</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(0.21)</w:t>
            </w:r>
          </w:p>
        </w:tc>
        <w:tc>
          <w:tcPr>
            <w:tcW w:w="993" w:type="dxa"/>
            <w:tcBorders>
              <w:left w:val="nil"/>
            </w:tcBorders>
            <w:vAlign w:val="center"/>
          </w:tcPr>
          <w:p w14:paraId="3E0B944C"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−0.32</w:t>
            </w:r>
            <w:r w:rsidRPr="00400ADB">
              <w:rPr>
                <w:rFonts w:ascii="Times New Roman" w:hAnsi="Times New Roman" w:cs="Times New Roman"/>
                <w:sz w:val="20"/>
                <w:szCs w:val="20"/>
                <w:vertAlign w:val="superscript"/>
                <w:lang w:val="en-US"/>
              </w:rPr>
              <w:t>+</w:t>
            </w:r>
          </w:p>
        </w:tc>
        <w:tc>
          <w:tcPr>
            <w:tcW w:w="992" w:type="dxa"/>
            <w:vAlign w:val="center"/>
          </w:tcPr>
          <w:p w14:paraId="5D44ECFE"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0.08 (0.07)</w:t>
            </w:r>
          </w:p>
        </w:tc>
        <w:tc>
          <w:tcPr>
            <w:tcW w:w="850" w:type="dxa"/>
            <w:tcBorders>
              <w:left w:val="nil"/>
            </w:tcBorders>
            <w:vAlign w:val="center"/>
          </w:tcPr>
          <w:p w14:paraId="3844ADC2"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0.16</w:t>
            </w:r>
          </w:p>
        </w:tc>
        <w:tc>
          <w:tcPr>
            <w:tcW w:w="1134" w:type="dxa"/>
            <w:vAlign w:val="center"/>
          </w:tcPr>
          <w:p w14:paraId="3DCAAB04"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−0.04 (0.09)</w:t>
            </w:r>
          </w:p>
        </w:tc>
        <w:tc>
          <w:tcPr>
            <w:tcW w:w="735" w:type="dxa"/>
            <w:tcBorders>
              <w:left w:val="nil"/>
            </w:tcBorders>
            <w:vAlign w:val="center"/>
          </w:tcPr>
          <w:p w14:paraId="230F937E"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−0.09</w:t>
            </w:r>
          </w:p>
        </w:tc>
        <w:tc>
          <w:tcPr>
            <w:tcW w:w="713" w:type="dxa"/>
            <w:vAlign w:val="center"/>
          </w:tcPr>
          <w:p w14:paraId="279A16D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.031</w:t>
            </w:r>
          </w:p>
        </w:tc>
      </w:tr>
      <w:tr w:rsidR="0035494A" w:rsidRPr="00400ADB" w14:paraId="7D813927" w14:textId="77777777" w:rsidTr="00FA6CC5">
        <w:trPr>
          <w:trHeight w:val="370"/>
        </w:trPr>
        <w:tc>
          <w:tcPr>
            <w:tcW w:w="1985" w:type="dxa"/>
            <w:vAlign w:val="center"/>
          </w:tcPr>
          <w:p w14:paraId="7C5BB24E" w14:textId="77777777" w:rsidR="0035494A" w:rsidRPr="00400ADB" w:rsidRDefault="0035494A" w:rsidP="00FA6CC5">
            <w:pPr>
              <w:ind w:left="171"/>
              <w:rPr>
                <w:rFonts w:ascii="Times New Roman" w:hAnsi="Times New Roman" w:cs="Times New Roman"/>
                <w:sz w:val="20"/>
                <w:szCs w:val="20"/>
                <w:vertAlign w:val="superscript"/>
                <w:lang w:val="en-US"/>
              </w:rPr>
            </w:pPr>
            <w:r w:rsidRPr="00400ADB">
              <w:rPr>
                <w:rFonts w:ascii="Times New Roman" w:hAnsi="Times New Roman" w:cs="Times New Roman"/>
                <w:sz w:val="20"/>
                <w:szCs w:val="20"/>
                <w:lang w:val="en-US"/>
              </w:rPr>
              <w:t>Content</w:t>
            </w:r>
            <w:r w:rsidRPr="00400ADB">
              <w:rPr>
                <w:rFonts w:ascii="Times New Roman" w:hAnsi="Times New Roman" w:cs="Times New Roman"/>
                <w:sz w:val="20"/>
                <w:szCs w:val="20"/>
                <w:vertAlign w:val="superscript"/>
                <w:lang w:val="en-US"/>
              </w:rPr>
              <w:t>1</w:t>
            </w:r>
          </w:p>
        </w:tc>
        <w:tc>
          <w:tcPr>
            <w:tcW w:w="992" w:type="dxa"/>
            <w:gridSpan w:val="2"/>
            <w:vAlign w:val="center"/>
          </w:tcPr>
          <w:p w14:paraId="64D460D5"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0.42* (0.19)</w:t>
            </w:r>
          </w:p>
        </w:tc>
        <w:tc>
          <w:tcPr>
            <w:tcW w:w="992" w:type="dxa"/>
            <w:vAlign w:val="center"/>
          </w:tcPr>
          <w:p w14:paraId="4293A704"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−0.32 (0.23)</w:t>
            </w:r>
          </w:p>
        </w:tc>
        <w:tc>
          <w:tcPr>
            <w:tcW w:w="993" w:type="dxa"/>
            <w:tcBorders>
              <w:left w:val="nil"/>
            </w:tcBorders>
            <w:vAlign w:val="center"/>
          </w:tcPr>
          <w:p w14:paraId="357B23E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−0.24</w:t>
            </w:r>
          </w:p>
        </w:tc>
        <w:tc>
          <w:tcPr>
            <w:tcW w:w="992" w:type="dxa"/>
            <w:vAlign w:val="center"/>
          </w:tcPr>
          <w:p w14:paraId="501D8B38"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0.07 (0.07)</w:t>
            </w:r>
          </w:p>
        </w:tc>
        <w:tc>
          <w:tcPr>
            <w:tcW w:w="850" w:type="dxa"/>
            <w:tcBorders>
              <w:left w:val="nil"/>
            </w:tcBorders>
            <w:vAlign w:val="center"/>
          </w:tcPr>
          <w:p w14:paraId="1872BA90"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0.14</w:t>
            </w:r>
          </w:p>
        </w:tc>
        <w:tc>
          <w:tcPr>
            <w:tcW w:w="1134" w:type="dxa"/>
            <w:vAlign w:val="center"/>
          </w:tcPr>
          <w:p w14:paraId="046BEA47"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−0.12 (0.10)</w:t>
            </w:r>
          </w:p>
        </w:tc>
        <w:tc>
          <w:tcPr>
            <w:tcW w:w="735" w:type="dxa"/>
            <w:tcBorders>
              <w:left w:val="nil"/>
            </w:tcBorders>
            <w:vAlign w:val="center"/>
          </w:tcPr>
          <w:p w14:paraId="3B074F9B"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−0.23</w:t>
            </w:r>
          </w:p>
        </w:tc>
        <w:tc>
          <w:tcPr>
            <w:tcW w:w="713" w:type="dxa"/>
            <w:vAlign w:val="center"/>
          </w:tcPr>
          <w:p w14:paraId="2285AE6C"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.006</w:t>
            </w:r>
          </w:p>
        </w:tc>
      </w:tr>
      <w:tr w:rsidR="0035494A" w:rsidRPr="00400ADB" w14:paraId="0D51A0F2" w14:textId="77777777" w:rsidTr="00FA6CC5">
        <w:trPr>
          <w:trHeight w:val="370"/>
        </w:trPr>
        <w:tc>
          <w:tcPr>
            <w:tcW w:w="1985" w:type="dxa"/>
            <w:vAlign w:val="center"/>
          </w:tcPr>
          <w:p w14:paraId="617A77CA" w14:textId="77777777" w:rsidR="0035494A" w:rsidRPr="00400ADB" w:rsidRDefault="0035494A" w:rsidP="00FA6CC5">
            <w:pPr>
              <w:ind w:left="171"/>
              <w:rPr>
                <w:rFonts w:ascii="Times New Roman" w:hAnsi="Times New Roman" w:cs="Times New Roman"/>
                <w:sz w:val="20"/>
                <w:szCs w:val="20"/>
                <w:vertAlign w:val="superscript"/>
                <w:lang w:val="en-US"/>
              </w:rPr>
            </w:pPr>
            <w:r w:rsidRPr="00400ADB">
              <w:rPr>
                <w:rFonts w:ascii="Times New Roman" w:hAnsi="Times New Roman" w:cs="Times New Roman"/>
                <w:sz w:val="20"/>
                <w:szCs w:val="20"/>
                <w:lang w:val="en-US"/>
              </w:rPr>
              <w:t>Style/mechanics</w:t>
            </w:r>
            <w:r w:rsidRPr="00400ADB">
              <w:rPr>
                <w:rFonts w:ascii="Times New Roman" w:hAnsi="Times New Roman" w:cs="Times New Roman"/>
                <w:sz w:val="20"/>
                <w:szCs w:val="20"/>
                <w:vertAlign w:val="superscript"/>
                <w:lang w:val="en-US"/>
              </w:rPr>
              <w:t>1</w:t>
            </w:r>
          </w:p>
        </w:tc>
        <w:tc>
          <w:tcPr>
            <w:tcW w:w="992" w:type="dxa"/>
            <w:gridSpan w:val="2"/>
            <w:vAlign w:val="center"/>
          </w:tcPr>
          <w:p w14:paraId="32526C81" w14:textId="77777777" w:rsidR="0035494A" w:rsidRPr="00400ADB" w:rsidRDefault="0035494A" w:rsidP="00FA6CC5">
            <w:pPr>
              <w:jc w:val="center"/>
              <w:rPr>
                <w:rFonts w:ascii="Times New Roman" w:hAnsi="Times New Roman" w:cs="Times New Roman"/>
                <w:b/>
                <w:color w:val="000000" w:themeColor="text1"/>
                <w:sz w:val="20"/>
                <w:szCs w:val="20"/>
                <w:lang w:val="en-US"/>
              </w:rPr>
            </w:pPr>
            <w:r w:rsidRPr="00400ADB">
              <w:rPr>
                <w:rFonts w:ascii="Times New Roman" w:hAnsi="Times New Roman" w:cs="Times New Roman"/>
                <w:sz w:val="20"/>
                <w:szCs w:val="20"/>
                <w:lang w:val="en-US"/>
              </w:rPr>
              <w:t>−0.19 (0.20)</w:t>
            </w:r>
          </w:p>
        </w:tc>
        <w:tc>
          <w:tcPr>
            <w:tcW w:w="992" w:type="dxa"/>
            <w:vAlign w:val="center"/>
          </w:tcPr>
          <w:p w14:paraId="1F196ED3"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−0.74** (0.24)</w:t>
            </w:r>
          </w:p>
        </w:tc>
        <w:tc>
          <w:tcPr>
            <w:tcW w:w="993" w:type="dxa"/>
            <w:tcBorders>
              <w:left w:val="nil"/>
            </w:tcBorders>
            <w:vAlign w:val="center"/>
          </w:tcPr>
          <w:p w14:paraId="2DBD65F3"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−0.48**</w:t>
            </w:r>
          </w:p>
        </w:tc>
        <w:tc>
          <w:tcPr>
            <w:tcW w:w="992" w:type="dxa"/>
            <w:vAlign w:val="center"/>
          </w:tcPr>
          <w:p w14:paraId="55FCF830"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0.04 (0.07)</w:t>
            </w:r>
          </w:p>
        </w:tc>
        <w:tc>
          <w:tcPr>
            <w:tcW w:w="850" w:type="dxa"/>
            <w:tcBorders>
              <w:left w:val="nil"/>
            </w:tcBorders>
            <w:vAlign w:val="center"/>
          </w:tcPr>
          <w:p w14:paraId="64CA2C44"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0.07</w:t>
            </w:r>
          </w:p>
        </w:tc>
        <w:tc>
          <w:tcPr>
            <w:tcW w:w="1134" w:type="dxa"/>
            <w:vAlign w:val="center"/>
          </w:tcPr>
          <w:p w14:paraId="3B111CF2"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−0.17</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(0.10)</w:t>
            </w:r>
          </w:p>
        </w:tc>
        <w:tc>
          <w:tcPr>
            <w:tcW w:w="735" w:type="dxa"/>
            <w:tcBorders>
              <w:left w:val="nil"/>
            </w:tcBorders>
            <w:vAlign w:val="center"/>
          </w:tcPr>
          <w:p w14:paraId="1A904D81"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−0.27</w:t>
            </w:r>
            <w:r w:rsidRPr="00400ADB">
              <w:rPr>
                <w:rFonts w:ascii="Times New Roman" w:hAnsi="Times New Roman" w:cs="Times New Roman"/>
                <w:sz w:val="20"/>
                <w:szCs w:val="20"/>
                <w:vertAlign w:val="superscript"/>
                <w:lang w:val="en-US"/>
              </w:rPr>
              <w:t>+</w:t>
            </w:r>
          </w:p>
        </w:tc>
        <w:tc>
          <w:tcPr>
            <w:tcW w:w="713" w:type="dxa"/>
            <w:vAlign w:val="center"/>
          </w:tcPr>
          <w:p w14:paraId="2CF9FC52"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.188</w:t>
            </w:r>
          </w:p>
        </w:tc>
      </w:tr>
      <w:tr w:rsidR="0035494A" w:rsidRPr="00400ADB" w14:paraId="575BEFD2" w14:textId="77777777" w:rsidTr="00FA6CC5">
        <w:trPr>
          <w:trHeight w:val="370"/>
        </w:trPr>
        <w:tc>
          <w:tcPr>
            <w:tcW w:w="1985" w:type="dxa"/>
            <w:vAlign w:val="center"/>
          </w:tcPr>
          <w:p w14:paraId="0F981E83"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Success in higher education</w:t>
            </w:r>
          </w:p>
        </w:tc>
        <w:tc>
          <w:tcPr>
            <w:tcW w:w="992" w:type="dxa"/>
            <w:gridSpan w:val="2"/>
            <w:vAlign w:val="center"/>
          </w:tcPr>
          <w:p w14:paraId="59D73CB6"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0.23 (0.15)</w:t>
            </w:r>
          </w:p>
        </w:tc>
        <w:tc>
          <w:tcPr>
            <w:tcW w:w="992" w:type="dxa"/>
            <w:vAlign w:val="center"/>
          </w:tcPr>
          <w:p w14:paraId="31410A0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−0.51* (0.23)</w:t>
            </w:r>
          </w:p>
        </w:tc>
        <w:tc>
          <w:tcPr>
            <w:tcW w:w="993" w:type="dxa"/>
            <w:tcBorders>
              <w:left w:val="nil"/>
            </w:tcBorders>
            <w:vAlign w:val="center"/>
          </w:tcPr>
          <w:p w14:paraId="272993D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−0.37*</w:t>
            </w:r>
          </w:p>
        </w:tc>
        <w:tc>
          <w:tcPr>
            <w:tcW w:w="992" w:type="dxa"/>
            <w:vAlign w:val="center"/>
          </w:tcPr>
          <w:p w14:paraId="01188F66"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0.01 (0.07)</w:t>
            </w:r>
          </w:p>
        </w:tc>
        <w:tc>
          <w:tcPr>
            <w:tcW w:w="850" w:type="dxa"/>
            <w:tcBorders>
              <w:left w:val="nil"/>
            </w:tcBorders>
            <w:vAlign w:val="center"/>
          </w:tcPr>
          <w:p w14:paraId="2641E0B2"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0.02</w:t>
            </w:r>
          </w:p>
        </w:tc>
        <w:tc>
          <w:tcPr>
            <w:tcW w:w="1134" w:type="dxa"/>
            <w:vAlign w:val="center"/>
          </w:tcPr>
          <w:p w14:paraId="4855DFB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−0.11 (0.10)</w:t>
            </w:r>
          </w:p>
        </w:tc>
        <w:tc>
          <w:tcPr>
            <w:tcW w:w="735" w:type="dxa"/>
            <w:tcBorders>
              <w:left w:val="nil"/>
            </w:tcBorders>
            <w:vAlign w:val="center"/>
          </w:tcPr>
          <w:p w14:paraId="21732BCF"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−0.20</w:t>
            </w:r>
          </w:p>
        </w:tc>
        <w:tc>
          <w:tcPr>
            <w:tcW w:w="713" w:type="dxa"/>
            <w:vAlign w:val="center"/>
          </w:tcPr>
          <w:p w14:paraId="5A645D4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.042</w:t>
            </w:r>
          </w:p>
        </w:tc>
      </w:tr>
      <w:tr w:rsidR="0035494A" w:rsidRPr="00400ADB" w14:paraId="5594992F" w14:textId="77777777" w:rsidTr="00FA6CC5">
        <w:trPr>
          <w:trHeight w:val="370"/>
        </w:trPr>
        <w:tc>
          <w:tcPr>
            <w:tcW w:w="9386" w:type="dxa"/>
            <w:gridSpan w:val="10"/>
            <w:vAlign w:val="center"/>
          </w:tcPr>
          <w:p w14:paraId="7D0C2281" w14:textId="77777777" w:rsidR="0035494A" w:rsidRPr="00400ADB" w:rsidRDefault="0035494A" w:rsidP="00FA6CC5">
            <w:pPr>
              <w:spacing w:before="240"/>
              <w:rPr>
                <w:rFonts w:ascii="Times New Roman" w:hAnsi="Times New Roman" w:cs="Times New Roman"/>
                <w:sz w:val="20"/>
                <w:szCs w:val="20"/>
                <w:lang w:val="en-US"/>
              </w:rPr>
            </w:pPr>
            <w:r w:rsidRPr="00400ADB">
              <w:rPr>
                <w:rFonts w:ascii="Times New Roman" w:hAnsi="Times New Roman" w:cs="Times New Roman"/>
                <w:sz w:val="20"/>
                <w:szCs w:val="20"/>
                <w:lang w:val="en-US"/>
              </w:rPr>
              <w:t>Open text impressions</w:t>
            </w:r>
          </w:p>
        </w:tc>
      </w:tr>
      <w:tr w:rsidR="0035494A" w:rsidRPr="00400ADB" w14:paraId="7732A604" w14:textId="77777777" w:rsidTr="00FA6CC5">
        <w:trPr>
          <w:trHeight w:val="370"/>
        </w:trPr>
        <w:tc>
          <w:tcPr>
            <w:tcW w:w="9386" w:type="dxa"/>
            <w:gridSpan w:val="10"/>
            <w:vAlign w:val="center"/>
          </w:tcPr>
          <w:p w14:paraId="40C596B0"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Positive comments</w:t>
            </w:r>
          </w:p>
        </w:tc>
      </w:tr>
      <w:tr w:rsidR="0035494A" w:rsidRPr="00400ADB" w14:paraId="5CEDBCB9" w14:textId="77777777" w:rsidTr="00FA6CC5">
        <w:trPr>
          <w:trHeight w:val="370"/>
        </w:trPr>
        <w:tc>
          <w:tcPr>
            <w:tcW w:w="1985" w:type="dxa"/>
            <w:vAlign w:val="center"/>
          </w:tcPr>
          <w:p w14:paraId="6D17DD9D" w14:textId="77777777" w:rsidR="0035494A" w:rsidRPr="00400ADB" w:rsidRDefault="0035494A" w:rsidP="00FA6CC5">
            <w:pPr>
              <w:ind w:left="313"/>
              <w:rPr>
                <w:rFonts w:ascii="Times New Roman" w:hAnsi="Times New Roman" w:cs="Times New Roman"/>
                <w:sz w:val="20"/>
                <w:szCs w:val="20"/>
                <w:lang w:val="en-US"/>
              </w:rPr>
            </w:pPr>
            <w:r w:rsidRPr="00400ADB">
              <w:rPr>
                <w:rFonts w:ascii="Times New Roman" w:hAnsi="Times New Roman" w:cs="Times New Roman"/>
                <w:sz w:val="20"/>
                <w:szCs w:val="20"/>
                <w:lang w:val="en-US"/>
              </w:rPr>
              <w:t>Total</w:t>
            </w:r>
          </w:p>
        </w:tc>
        <w:tc>
          <w:tcPr>
            <w:tcW w:w="992" w:type="dxa"/>
            <w:gridSpan w:val="2"/>
            <w:vAlign w:val="center"/>
          </w:tcPr>
          <w:p w14:paraId="479DBB1C"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1.02* (0.42)</w:t>
            </w:r>
          </w:p>
        </w:tc>
        <w:tc>
          <w:tcPr>
            <w:tcW w:w="992" w:type="dxa"/>
            <w:vAlign w:val="center"/>
          </w:tcPr>
          <w:p w14:paraId="091FEA6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−0.94 (0.67)</w:t>
            </w:r>
          </w:p>
        </w:tc>
        <w:tc>
          <w:tcPr>
            <w:tcW w:w="993" w:type="dxa"/>
            <w:tcBorders>
              <w:left w:val="nil"/>
            </w:tcBorders>
            <w:vAlign w:val="center"/>
          </w:tcPr>
          <w:p w14:paraId="286F5079"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−0.24</w:t>
            </w:r>
          </w:p>
        </w:tc>
        <w:tc>
          <w:tcPr>
            <w:tcW w:w="992" w:type="dxa"/>
            <w:vAlign w:val="center"/>
          </w:tcPr>
          <w:p w14:paraId="516F058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0.27 (0.21)</w:t>
            </w:r>
          </w:p>
        </w:tc>
        <w:tc>
          <w:tcPr>
            <w:tcW w:w="850" w:type="dxa"/>
            <w:tcBorders>
              <w:left w:val="nil"/>
            </w:tcBorders>
            <w:vAlign w:val="center"/>
          </w:tcPr>
          <w:p w14:paraId="2B32EDA5"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−0.19</w:t>
            </w:r>
          </w:p>
        </w:tc>
        <w:tc>
          <w:tcPr>
            <w:tcW w:w="1134" w:type="dxa"/>
            <w:vAlign w:val="center"/>
          </w:tcPr>
          <w:p w14:paraId="5BD3AD3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−0.53</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(0.28)</w:t>
            </w:r>
          </w:p>
        </w:tc>
        <w:tc>
          <w:tcPr>
            <w:tcW w:w="735" w:type="dxa"/>
            <w:tcBorders>
              <w:left w:val="nil"/>
            </w:tcBorders>
            <w:vAlign w:val="center"/>
          </w:tcPr>
          <w:p w14:paraId="62A9858D"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−0.33</w:t>
            </w:r>
            <w:r w:rsidRPr="00400ADB">
              <w:rPr>
                <w:rFonts w:ascii="Times New Roman" w:hAnsi="Times New Roman" w:cs="Times New Roman"/>
                <w:sz w:val="20"/>
                <w:szCs w:val="20"/>
                <w:vertAlign w:val="superscript"/>
                <w:lang w:val="en-US"/>
              </w:rPr>
              <w:t>+</w:t>
            </w:r>
          </w:p>
        </w:tc>
        <w:tc>
          <w:tcPr>
            <w:tcW w:w="713" w:type="dxa"/>
            <w:vAlign w:val="center"/>
          </w:tcPr>
          <w:p w14:paraId="1C75594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.011</w:t>
            </w:r>
          </w:p>
        </w:tc>
      </w:tr>
      <w:tr w:rsidR="0035494A" w:rsidRPr="00400ADB" w14:paraId="17CCA93F" w14:textId="77777777" w:rsidTr="00FA6CC5">
        <w:trPr>
          <w:trHeight w:val="370"/>
        </w:trPr>
        <w:tc>
          <w:tcPr>
            <w:tcW w:w="1985" w:type="dxa"/>
            <w:vAlign w:val="center"/>
          </w:tcPr>
          <w:p w14:paraId="276DE232" w14:textId="77777777" w:rsidR="0035494A" w:rsidRPr="00400ADB" w:rsidRDefault="0035494A" w:rsidP="00FA6CC5">
            <w:pPr>
              <w:ind w:left="313"/>
              <w:rPr>
                <w:rFonts w:ascii="Times New Roman" w:hAnsi="Times New Roman" w:cs="Times New Roman"/>
                <w:sz w:val="20"/>
                <w:szCs w:val="20"/>
                <w:lang w:val="en-US"/>
              </w:rPr>
            </w:pPr>
            <w:r w:rsidRPr="00400ADB">
              <w:rPr>
                <w:rFonts w:ascii="Times New Roman" w:hAnsi="Times New Roman" w:cs="Times New Roman"/>
                <w:sz w:val="20"/>
                <w:szCs w:val="20"/>
                <w:lang w:val="en-US"/>
              </w:rPr>
              <w:t>Content</w:t>
            </w:r>
          </w:p>
        </w:tc>
        <w:tc>
          <w:tcPr>
            <w:tcW w:w="992" w:type="dxa"/>
            <w:gridSpan w:val="2"/>
            <w:vAlign w:val="center"/>
          </w:tcPr>
          <w:p w14:paraId="3D8B5B9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1.01* (0.38)</w:t>
            </w:r>
          </w:p>
        </w:tc>
        <w:tc>
          <w:tcPr>
            <w:tcW w:w="992" w:type="dxa"/>
            <w:vAlign w:val="center"/>
          </w:tcPr>
          <w:p w14:paraId="2645E8B5"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−0.99 (0.60)</w:t>
            </w:r>
          </w:p>
        </w:tc>
        <w:tc>
          <w:tcPr>
            <w:tcW w:w="993" w:type="dxa"/>
            <w:tcBorders>
              <w:left w:val="nil"/>
            </w:tcBorders>
            <w:vAlign w:val="center"/>
          </w:tcPr>
          <w:p w14:paraId="62FD1F59"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−0.27</w:t>
            </w:r>
          </w:p>
        </w:tc>
        <w:tc>
          <w:tcPr>
            <w:tcW w:w="992" w:type="dxa"/>
            <w:vAlign w:val="center"/>
          </w:tcPr>
          <w:p w14:paraId="23A890FF"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0.32</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(0.19)</w:t>
            </w:r>
          </w:p>
        </w:tc>
        <w:tc>
          <w:tcPr>
            <w:tcW w:w="850" w:type="dxa"/>
            <w:tcBorders>
              <w:left w:val="nil"/>
            </w:tcBorders>
            <w:vAlign w:val="center"/>
          </w:tcPr>
          <w:p w14:paraId="14CF3D3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−0.24</w:t>
            </w:r>
            <w:r w:rsidRPr="00400ADB">
              <w:rPr>
                <w:rFonts w:ascii="Times New Roman" w:hAnsi="Times New Roman" w:cs="Times New Roman"/>
                <w:sz w:val="20"/>
                <w:szCs w:val="20"/>
                <w:vertAlign w:val="superscript"/>
                <w:lang w:val="en-US"/>
              </w:rPr>
              <w:t>+</w:t>
            </w:r>
          </w:p>
        </w:tc>
        <w:tc>
          <w:tcPr>
            <w:tcW w:w="1134" w:type="dxa"/>
            <w:shd w:val="clear" w:color="auto" w:fill="auto"/>
            <w:vAlign w:val="center"/>
          </w:tcPr>
          <w:p w14:paraId="6D6B16E7" w14:textId="77777777" w:rsidR="0035494A" w:rsidRPr="00400ADB" w:rsidRDefault="0035494A" w:rsidP="00FA6CC5">
            <w:pPr>
              <w:jc w:val="center"/>
              <w:rPr>
                <w:rFonts w:ascii="Times New Roman" w:hAnsi="Times New Roman" w:cs="Times New Roman"/>
                <w:sz w:val="20"/>
                <w:szCs w:val="20"/>
                <w:highlight w:val="cyan"/>
                <w:lang w:val="en-US"/>
              </w:rPr>
            </w:pPr>
            <w:r w:rsidRPr="00400ADB">
              <w:rPr>
                <w:rFonts w:ascii="Times New Roman" w:hAnsi="Times New Roman" w:cs="Times New Roman"/>
                <w:sz w:val="20"/>
                <w:szCs w:val="20"/>
                <w:lang w:val="en-US"/>
              </w:rPr>
              <w:t>−0.44</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(0.25)</w:t>
            </w:r>
          </w:p>
        </w:tc>
        <w:tc>
          <w:tcPr>
            <w:tcW w:w="735" w:type="dxa"/>
            <w:tcBorders>
              <w:left w:val="nil"/>
            </w:tcBorders>
            <w:vAlign w:val="center"/>
          </w:tcPr>
          <w:p w14:paraId="405A8C29"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−0.30</w:t>
            </w:r>
            <w:r w:rsidRPr="00400ADB">
              <w:rPr>
                <w:rFonts w:ascii="Times New Roman" w:hAnsi="Times New Roman" w:cs="Times New Roman"/>
                <w:sz w:val="20"/>
                <w:szCs w:val="20"/>
                <w:vertAlign w:val="superscript"/>
                <w:lang w:val="en-US"/>
              </w:rPr>
              <w:t>+</w:t>
            </w:r>
          </w:p>
        </w:tc>
        <w:tc>
          <w:tcPr>
            <w:tcW w:w="713" w:type="dxa"/>
            <w:vAlign w:val="center"/>
          </w:tcPr>
          <w:p w14:paraId="6CBFDEA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.016</w:t>
            </w:r>
          </w:p>
        </w:tc>
      </w:tr>
      <w:tr w:rsidR="0035494A" w:rsidRPr="00400ADB" w14:paraId="1A36C1F9" w14:textId="77777777" w:rsidTr="00FA6CC5">
        <w:trPr>
          <w:trHeight w:val="370"/>
        </w:trPr>
        <w:tc>
          <w:tcPr>
            <w:tcW w:w="1985" w:type="dxa"/>
            <w:vAlign w:val="center"/>
          </w:tcPr>
          <w:p w14:paraId="218598F3" w14:textId="77777777" w:rsidR="0035494A" w:rsidRPr="00400ADB" w:rsidRDefault="0035494A" w:rsidP="00FA6CC5">
            <w:pPr>
              <w:ind w:left="313"/>
              <w:rPr>
                <w:rFonts w:ascii="Times New Roman" w:hAnsi="Times New Roman" w:cs="Times New Roman"/>
                <w:sz w:val="20"/>
                <w:szCs w:val="20"/>
                <w:lang w:val="en-US"/>
              </w:rPr>
            </w:pPr>
            <w:r w:rsidRPr="00400ADB">
              <w:rPr>
                <w:rFonts w:ascii="Times New Roman" w:hAnsi="Times New Roman" w:cs="Times New Roman"/>
                <w:sz w:val="20"/>
                <w:szCs w:val="20"/>
                <w:lang w:val="en-US"/>
              </w:rPr>
              <w:t>Style/mechanics</w:t>
            </w:r>
          </w:p>
        </w:tc>
        <w:tc>
          <w:tcPr>
            <w:tcW w:w="992" w:type="dxa"/>
            <w:gridSpan w:val="2"/>
            <w:vAlign w:val="center"/>
          </w:tcPr>
          <w:p w14:paraId="1D496B8F"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0.00 (0.22)</w:t>
            </w:r>
          </w:p>
        </w:tc>
        <w:tc>
          <w:tcPr>
            <w:tcW w:w="992" w:type="dxa"/>
            <w:vAlign w:val="center"/>
          </w:tcPr>
          <w:p w14:paraId="24B01927"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−0.05 (0.36)</w:t>
            </w:r>
          </w:p>
        </w:tc>
        <w:tc>
          <w:tcPr>
            <w:tcW w:w="993" w:type="dxa"/>
            <w:tcBorders>
              <w:left w:val="nil"/>
            </w:tcBorders>
            <w:vAlign w:val="center"/>
          </w:tcPr>
          <w:p w14:paraId="12C1BC98"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−0.03</w:t>
            </w:r>
          </w:p>
        </w:tc>
        <w:tc>
          <w:tcPr>
            <w:tcW w:w="992" w:type="dxa"/>
            <w:vAlign w:val="center"/>
          </w:tcPr>
          <w:p w14:paraId="2D6CDB60"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0.02 (0.11)</w:t>
            </w:r>
          </w:p>
        </w:tc>
        <w:tc>
          <w:tcPr>
            <w:tcW w:w="850" w:type="dxa"/>
            <w:tcBorders>
              <w:left w:val="nil"/>
            </w:tcBorders>
            <w:vAlign w:val="center"/>
          </w:tcPr>
          <w:p w14:paraId="4428C8A4"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0.02</w:t>
            </w:r>
          </w:p>
        </w:tc>
        <w:tc>
          <w:tcPr>
            <w:tcW w:w="1134" w:type="dxa"/>
            <w:vAlign w:val="center"/>
          </w:tcPr>
          <w:p w14:paraId="6BA62274"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−0.05 (0.15)</w:t>
            </w:r>
          </w:p>
        </w:tc>
        <w:tc>
          <w:tcPr>
            <w:tcW w:w="735" w:type="dxa"/>
            <w:tcBorders>
              <w:left w:val="nil"/>
            </w:tcBorders>
            <w:vAlign w:val="center"/>
          </w:tcPr>
          <w:p w14:paraId="5F84A50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−0.06</w:t>
            </w:r>
          </w:p>
        </w:tc>
        <w:tc>
          <w:tcPr>
            <w:tcW w:w="713" w:type="dxa"/>
            <w:vAlign w:val="center"/>
          </w:tcPr>
          <w:p w14:paraId="7EBC55DC"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−.044</w:t>
            </w:r>
          </w:p>
        </w:tc>
      </w:tr>
      <w:tr w:rsidR="0035494A" w:rsidRPr="00400ADB" w14:paraId="6D199686" w14:textId="77777777" w:rsidTr="00FA6CC5">
        <w:trPr>
          <w:trHeight w:val="370"/>
        </w:trPr>
        <w:tc>
          <w:tcPr>
            <w:tcW w:w="9386" w:type="dxa"/>
            <w:gridSpan w:val="10"/>
            <w:vAlign w:val="center"/>
          </w:tcPr>
          <w:p w14:paraId="41BC3A69"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Negative comments</w:t>
            </w:r>
          </w:p>
        </w:tc>
      </w:tr>
      <w:tr w:rsidR="0035494A" w:rsidRPr="00400ADB" w14:paraId="462A98C4" w14:textId="77777777" w:rsidTr="00FA6CC5">
        <w:trPr>
          <w:trHeight w:val="370"/>
        </w:trPr>
        <w:tc>
          <w:tcPr>
            <w:tcW w:w="1985" w:type="dxa"/>
            <w:vAlign w:val="center"/>
          </w:tcPr>
          <w:p w14:paraId="09B07E5B" w14:textId="77777777" w:rsidR="0035494A" w:rsidRPr="00400ADB" w:rsidRDefault="0035494A" w:rsidP="00FA6CC5">
            <w:pPr>
              <w:ind w:left="313"/>
              <w:rPr>
                <w:rFonts w:ascii="Times New Roman" w:hAnsi="Times New Roman" w:cs="Times New Roman"/>
                <w:color w:val="000000" w:themeColor="text1"/>
                <w:sz w:val="20"/>
                <w:szCs w:val="20"/>
                <w:vertAlign w:val="superscript"/>
                <w:lang w:val="en-US"/>
              </w:rPr>
            </w:pPr>
            <w:r w:rsidRPr="00400ADB">
              <w:rPr>
                <w:rFonts w:ascii="Times New Roman" w:hAnsi="Times New Roman" w:cs="Times New Roman"/>
                <w:color w:val="000000" w:themeColor="text1"/>
                <w:sz w:val="20"/>
                <w:szCs w:val="20"/>
                <w:lang w:val="en-US"/>
              </w:rPr>
              <w:t>Total</w:t>
            </w:r>
            <w:r w:rsidRPr="00400ADB">
              <w:rPr>
                <w:rFonts w:ascii="Times New Roman" w:hAnsi="Times New Roman" w:cs="Times New Roman"/>
                <w:color w:val="000000" w:themeColor="text1"/>
                <w:sz w:val="20"/>
                <w:szCs w:val="20"/>
                <w:vertAlign w:val="superscript"/>
                <w:lang w:val="en-US"/>
              </w:rPr>
              <w:t>1</w:t>
            </w:r>
          </w:p>
        </w:tc>
        <w:tc>
          <w:tcPr>
            <w:tcW w:w="992" w:type="dxa"/>
            <w:gridSpan w:val="2"/>
            <w:vAlign w:val="center"/>
          </w:tcPr>
          <w:p w14:paraId="52EC1D48"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0.54 (0.75)</w:t>
            </w:r>
          </w:p>
        </w:tc>
        <w:tc>
          <w:tcPr>
            <w:tcW w:w="992" w:type="dxa"/>
            <w:vAlign w:val="center"/>
          </w:tcPr>
          <w:p w14:paraId="472C4426"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0.83 (0.88)</w:t>
            </w:r>
          </w:p>
        </w:tc>
        <w:tc>
          <w:tcPr>
            <w:tcW w:w="993" w:type="dxa"/>
            <w:tcBorders>
              <w:left w:val="nil"/>
            </w:tcBorders>
            <w:vAlign w:val="center"/>
          </w:tcPr>
          <w:p w14:paraId="083F3C5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0.16</w:t>
            </w:r>
          </w:p>
        </w:tc>
        <w:tc>
          <w:tcPr>
            <w:tcW w:w="992" w:type="dxa"/>
            <w:vAlign w:val="center"/>
          </w:tcPr>
          <w:p w14:paraId="7CFAF44D"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0.06 (0.27)</w:t>
            </w:r>
          </w:p>
        </w:tc>
        <w:tc>
          <w:tcPr>
            <w:tcW w:w="850" w:type="dxa"/>
            <w:tcBorders>
              <w:left w:val="nil"/>
            </w:tcBorders>
            <w:vAlign w:val="center"/>
          </w:tcPr>
          <w:p w14:paraId="427B233C"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0.03</w:t>
            </w:r>
          </w:p>
        </w:tc>
        <w:tc>
          <w:tcPr>
            <w:tcW w:w="1134" w:type="dxa"/>
            <w:vAlign w:val="center"/>
          </w:tcPr>
          <w:p w14:paraId="090398FB"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−0.04 (0.37)</w:t>
            </w:r>
          </w:p>
        </w:tc>
        <w:tc>
          <w:tcPr>
            <w:tcW w:w="735" w:type="dxa"/>
            <w:tcBorders>
              <w:left w:val="nil"/>
            </w:tcBorders>
            <w:vAlign w:val="center"/>
          </w:tcPr>
          <w:p w14:paraId="6A10830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−0.02</w:t>
            </w:r>
          </w:p>
        </w:tc>
        <w:tc>
          <w:tcPr>
            <w:tcW w:w="713" w:type="dxa"/>
            <w:vAlign w:val="center"/>
          </w:tcPr>
          <w:p w14:paraId="167FF6C5"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.059</w:t>
            </w:r>
          </w:p>
        </w:tc>
      </w:tr>
      <w:tr w:rsidR="0035494A" w:rsidRPr="00400ADB" w14:paraId="10E61862" w14:textId="77777777" w:rsidTr="00FA6CC5">
        <w:trPr>
          <w:trHeight w:val="370"/>
        </w:trPr>
        <w:tc>
          <w:tcPr>
            <w:tcW w:w="1985" w:type="dxa"/>
            <w:vAlign w:val="center"/>
          </w:tcPr>
          <w:p w14:paraId="6B336FB1" w14:textId="77777777" w:rsidR="0035494A" w:rsidRPr="00400ADB" w:rsidRDefault="0035494A" w:rsidP="00FA6CC5">
            <w:pPr>
              <w:ind w:left="313"/>
              <w:rPr>
                <w:rFonts w:ascii="Times New Roman" w:hAnsi="Times New Roman" w:cs="Times New Roman"/>
                <w:color w:val="000000" w:themeColor="text1"/>
                <w:sz w:val="20"/>
                <w:szCs w:val="20"/>
                <w:vertAlign w:val="superscript"/>
                <w:lang w:val="en-US"/>
              </w:rPr>
            </w:pPr>
            <w:r w:rsidRPr="00400ADB">
              <w:rPr>
                <w:rFonts w:ascii="Times New Roman" w:hAnsi="Times New Roman" w:cs="Times New Roman"/>
                <w:color w:val="000000" w:themeColor="text1"/>
                <w:sz w:val="20"/>
                <w:szCs w:val="20"/>
                <w:lang w:val="en-US"/>
              </w:rPr>
              <w:lastRenderedPageBreak/>
              <w:t>Content</w:t>
            </w:r>
            <w:r w:rsidRPr="00400ADB">
              <w:rPr>
                <w:rFonts w:ascii="Times New Roman" w:hAnsi="Times New Roman" w:cs="Times New Roman"/>
                <w:color w:val="000000" w:themeColor="text1"/>
                <w:sz w:val="20"/>
                <w:szCs w:val="20"/>
                <w:vertAlign w:val="superscript"/>
                <w:lang w:val="en-US"/>
              </w:rPr>
              <w:t>1</w:t>
            </w:r>
          </w:p>
        </w:tc>
        <w:tc>
          <w:tcPr>
            <w:tcW w:w="992" w:type="dxa"/>
            <w:gridSpan w:val="2"/>
            <w:vAlign w:val="center"/>
          </w:tcPr>
          <w:p w14:paraId="2F50C6FF"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−0.80 (0.60)</w:t>
            </w:r>
          </w:p>
        </w:tc>
        <w:tc>
          <w:tcPr>
            <w:tcW w:w="992" w:type="dxa"/>
            <w:vAlign w:val="center"/>
          </w:tcPr>
          <w:p w14:paraId="48EEFB7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1.51* (0.71)</w:t>
            </w:r>
          </w:p>
        </w:tc>
        <w:tc>
          <w:tcPr>
            <w:tcW w:w="993" w:type="dxa"/>
            <w:tcBorders>
              <w:left w:val="nil"/>
            </w:tcBorders>
            <w:vAlign w:val="center"/>
          </w:tcPr>
          <w:p w14:paraId="1332652B"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0.36*</w:t>
            </w:r>
          </w:p>
        </w:tc>
        <w:tc>
          <w:tcPr>
            <w:tcW w:w="992" w:type="dxa"/>
            <w:vAlign w:val="center"/>
          </w:tcPr>
          <w:p w14:paraId="0F5FE10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−0.20 (0.22)</w:t>
            </w:r>
          </w:p>
        </w:tc>
        <w:tc>
          <w:tcPr>
            <w:tcW w:w="850" w:type="dxa"/>
            <w:tcBorders>
              <w:left w:val="nil"/>
            </w:tcBorders>
            <w:vAlign w:val="center"/>
          </w:tcPr>
          <w:p w14:paraId="6C48FBDF"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−0.13</w:t>
            </w:r>
          </w:p>
        </w:tc>
        <w:tc>
          <w:tcPr>
            <w:tcW w:w="1134" w:type="dxa"/>
            <w:vAlign w:val="center"/>
          </w:tcPr>
          <w:p w14:paraId="46F37F8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0.35 (0.30)</w:t>
            </w:r>
          </w:p>
        </w:tc>
        <w:tc>
          <w:tcPr>
            <w:tcW w:w="735" w:type="dxa"/>
            <w:tcBorders>
              <w:left w:val="nil"/>
            </w:tcBorders>
            <w:vAlign w:val="center"/>
          </w:tcPr>
          <w:p w14:paraId="0670AFC5"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0.20</w:t>
            </w:r>
          </w:p>
        </w:tc>
        <w:tc>
          <w:tcPr>
            <w:tcW w:w="713" w:type="dxa"/>
            <w:vAlign w:val="center"/>
          </w:tcPr>
          <w:p w14:paraId="2C13DBDB"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.028</w:t>
            </w:r>
          </w:p>
        </w:tc>
      </w:tr>
      <w:tr w:rsidR="0035494A" w:rsidRPr="00400ADB" w14:paraId="660037E2" w14:textId="77777777" w:rsidTr="00FA6CC5">
        <w:trPr>
          <w:trHeight w:val="370"/>
        </w:trPr>
        <w:tc>
          <w:tcPr>
            <w:tcW w:w="1985" w:type="dxa"/>
            <w:vAlign w:val="center"/>
          </w:tcPr>
          <w:p w14:paraId="66422770" w14:textId="77777777" w:rsidR="0035494A" w:rsidRPr="00400ADB" w:rsidRDefault="0035494A" w:rsidP="00FA6CC5">
            <w:pPr>
              <w:ind w:left="313"/>
              <w:rPr>
                <w:rFonts w:ascii="Times New Roman" w:hAnsi="Times New Roman" w:cs="Times New Roman"/>
                <w:color w:val="000000" w:themeColor="text1"/>
                <w:sz w:val="20"/>
                <w:szCs w:val="20"/>
                <w:vertAlign w:val="superscript"/>
                <w:lang w:val="en-US"/>
              </w:rPr>
            </w:pPr>
            <w:r w:rsidRPr="00400ADB">
              <w:rPr>
                <w:rFonts w:ascii="Times New Roman" w:hAnsi="Times New Roman" w:cs="Times New Roman"/>
                <w:color w:val="000000" w:themeColor="text1"/>
                <w:sz w:val="20"/>
                <w:szCs w:val="20"/>
                <w:lang w:val="en-US"/>
              </w:rPr>
              <w:t>Style/mechanics</w:t>
            </w:r>
            <w:r w:rsidRPr="00400ADB">
              <w:rPr>
                <w:rFonts w:ascii="Times New Roman" w:hAnsi="Times New Roman" w:cs="Times New Roman"/>
                <w:color w:val="000000" w:themeColor="text1"/>
                <w:sz w:val="20"/>
                <w:szCs w:val="20"/>
                <w:vertAlign w:val="superscript"/>
                <w:lang w:val="en-US"/>
              </w:rPr>
              <w:t>1</w:t>
            </w:r>
          </w:p>
        </w:tc>
        <w:tc>
          <w:tcPr>
            <w:tcW w:w="992" w:type="dxa"/>
            <w:gridSpan w:val="2"/>
            <w:vAlign w:val="center"/>
          </w:tcPr>
          <w:p w14:paraId="12EFEA9A" w14:textId="77777777" w:rsidR="0035494A" w:rsidRPr="00400ADB" w:rsidRDefault="0035494A" w:rsidP="00FA6CC5">
            <w:pPr>
              <w:jc w:val="center"/>
              <w:rPr>
                <w:rFonts w:ascii="Times New Roman" w:hAnsi="Times New Roman" w:cs="Times New Roman"/>
                <w:color w:val="000000" w:themeColor="text1"/>
                <w:sz w:val="20"/>
                <w:szCs w:val="20"/>
                <w:highlight w:val="yellow"/>
                <w:lang w:val="en-US"/>
              </w:rPr>
            </w:pPr>
            <w:r w:rsidRPr="00400ADB">
              <w:rPr>
                <w:rFonts w:ascii="Times New Roman" w:hAnsi="Times New Roman" w:cs="Times New Roman"/>
                <w:color w:val="000000" w:themeColor="text1"/>
                <w:sz w:val="20"/>
                <w:szCs w:val="20"/>
                <w:lang w:val="en-US"/>
              </w:rPr>
              <w:t>1.33* (0.60)</w:t>
            </w:r>
          </w:p>
        </w:tc>
        <w:tc>
          <w:tcPr>
            <w:tcW w:w="992" w:type="dxa"/>
            <w:vAlign w:val="center"/>
          </w:tcPr>
          <w:p w14:paraId="1907D38A"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−0.69 (0.71)</w:t>
            </w:r>
          </w:p>
        </w:tc>
        <w:tc>
          <w:tcPr>
            <w:tcW w:w="993" w:type="dxa"/>
            <w:tcBorders>
              <w:left w:val="nil"/>
            </w:tcBorders>
            <w:vAlign w:val="center"/>
          </w:tcPr>
          <w:p w14:paraId="5C4B1472"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−0.16</w:t>
            </w:r>
          </w:p>
        </w:tc>
        <w:tc>
          <w:tcPr>
            <w:tcW w:w="992" w:type="dxa"/>
            <w:vAlign w:val="center"/>
          </w:tcPr>
          <w:p w14:paraId="475C45E9"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0.29 (0.22)</w:t>
            </w:r>
          </w:p>
        </w:tc>
        <w:tc>
          <w:tcPr>
            <w:tcW w:w="850" w:type="dxa"/>
            <w:tcBorders>
              <w:left w:val="nil"/>
            </w:tcBorders>
            <w:vAlign w:val="center"/>
          </w:tcPr>
          <w:p w14:paraId="39F2D615"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0.19</w:t>
            </w:r>
          </w:p>
        </w:tc>
        <w:tc>
          <w:tcPr>
            <w:tcW w:w="1134" w:type="dxa"/>
            <w:vAlign w:val="center"/>
          </w:tcPr>
          <w:p w14:paraId="340BC6AF"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−0.42 (0.30)</w:t>
            </w:r>
          </w:p>
        </w:tc>
        <w:tc>
          <w:tcPr>
            <w:tcW w:w="735" w:type="dxa"/>
            <w:tcBorders>
              <w:left w:val="nil"/>
            </w:tcBorders>
            <w:vAlign w:val="center"/>
          </w:tcPr>
          <w:p w14:paraId="42D2065C"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sz w:val="20"/>
                <w:szCs w:val="20"/>
                <w:lang w:val="en-US"/>
              </w:rPr>
              <w:t>−0.25</w:t>
            </w:r>
          </w:p>
        </w:tc>
        <w:tc>
          <w:tcPr>
            <w:tcW w:w="713" w:type="dxa"/>
            <w:vAlign w:val="center"/>
          </w:tcPr>
          <w:p w14:paraId="0E4AC8A6" w14:textId="77777777" w:rsidR="0035494A" w:rsidRPr="00400ADB" w:rsidRDefault="0035494A" w:rsidP="00FA6CC5">
            <w:pPr>
              <w:jc w:val="center"/>
              <w:rPr>
                <w:rFonts w:ascii="Times New Roman" w:hAnsi="Times New Roman" w:cs="Times New Roman"/>
                <w:color w:val="000000" w:themeColor="text1"/>
                <w:sz w:val="20"/>
                <w:szCs w:val="20"/>
                <w:lang w:val="en-US"/>
              </w:rPr>
            </w:pPr>
            <w:r w:rsidRPr="00400ADB">
              <w:rPr>
                <w:rFonts w:ascii="Times New Roman" w:hAnsi="Times New Roman" w:cs="Times New Roman"/>
                <w:color w:val="000000" w:themeColor="text1"/>
                <w:sz w:val="20"/>
                <w:szCs w:val="20"/>
                <w:lang w:val="en-US"/>
              </w:rPr>
              <w:t>.030</w:t>
            </w:r>
          </w:p>
        </w:tc>
      </w:tr>
      <w:tr w:rsidR="0035494A" w:rsidRPr="00400ADB" w14:paraId="3432D675" w14:textId="77777777" w:rsidTr="00FA6CC5">
        <w:trPr>
          <w:trHeight w:val="370"/>
        </w:trPr>
        <w:tc>
          <w:tcPr>
            <w:tcW w:w="1985" w:type="dxa"/>
            <w:vAlign w:val="center"/>
          </w:tcPr>
          <w:p w14:paraId="316CC00E"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Number of suggestions</w:t>
            </w:r>
          </w:p>
        </w:tc>
        <w:tc>
          <w:tcPr>
            <w:tcW w:w="992" w:type="dxa"/>
            <w:gridSpan w:val="2"/>
            <w:vAlign w:val="center"/>
          </w:tcPr>
          <w:p w14:paraId="3410A297"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0.50 (0.39)</w:t>
            </w:r>
          </w:p>
        </w:tc>
        <w:tc>
          <w:tcPr>
            <w:tcW w:w="992" w:type="dxa"/>
            <w:vAlign w:val="center"/>
          </w:tcPr>
          <w:p w14:paraId="7D3A5BF6"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−0.61 (0.63)</w:t>
            </w:r>
          </w:p>
        </w:tc>
        <w:tc>
          <w:tcPr>
            <w:tcW w:w="993" w:type="dxa"/>
            <w:tcBorders>
              <w:left w:val="nil"/>
            </w:tcBorders>
            <w:vAlign w:val="center"/>
          </w:tcPr>
          <w:p w14:paraId="42E6D5C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−0.17</w:t>
            </w:r>
          </w:p>
        </w:tc>
        <w:tc>
          <w:tcPr>
            <w:tcW w:w="992" w:type="dxa"/>
            <w:vAlign w:val="center"/>
          </w:tcPr>
          <w:p w14:paraId="2CA4961A"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0.17 (0.19)</w:t>
            </w:r>
          </w:p>
        </w:tc>
        <w:tc>
          <w:tcPr>
            <w:tcW w:w="850" w:type="dxa"/>
            <w:tcBorders>
              <w:left w:val="nil"/>
            </w:tcBorders>
            <w:vAlign w:val="center"/>
          </w:tcPr>
          <w:p w14:paraId="411F369E"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0.13</w:t>
            </w:r>
          </w:p>
        </w:tc>
        <w:tc>
          <w:tcPr>
            <w:tcW w:w="1134" w:type="dxa"/>
            <w:vAlign w:val="center"/>
          </w:tcPr>
          <w:p w14:paraId="657F16B3"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−0.09 (0.26)</w:t>
            </w:r>
          </w:p>
        </w:tc>
        <w:tc>
          <w:tcPr>
            <w:tcW w:w="735" w:type="dxa"/>
            <w:tcBorders>
              <w:left w:val="nil"/>
            </w:tcBorders>
            <w:vAlign w:val="center"/>
          </w:tcPr>
          <w:p w14:paraId="5796BFEC"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−0.06</w:t>
            </w:r>
          </w:p>
        </w:tc>
        <w:tc>
          <w:tcPr>
            <w:tcW w:w="713" w:type="dxa"/>
            <w:vAlign w:val="center"/>
          </w:tcPr>
          <w:p w14:paraId="4D4D93F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−.021</w:t>
            </w:r>
          </w:p>
        </w:tc>
      </w:tr>
      <w:tr w:rsidR="0035494A" w:rsidRPr="00400ADB" w14:paraId="3B2EC70C" w14:textId="77777777" w:rsidTr="00FA6CC5">
        <w:trPr>
          <w:trHeight w:val="370"/>
        </w:trPr>
        <w:tc>
          <w:tcPr>
            <w:tcW w:w="1985" w:type="dxa"/>
            <w:vAlign w:val="center"/>
          </w:tcPr>
          <w:p w14:paraId="1D5A0AEA"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Tone</w:t>
            </w:r>
          </w:p>
        </w:tc>
        <w:tc>
          <w:tcPr>
            <w:tcW w:w="992" w:type="dxa"/>
            <w:gridSpan w:val="2"/>
            <w:vAlign w:val="center"/>
          </w:tcPr>
          <w:p w14:paraId="226186A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0.10 (0.23)</w:t>
            </w:r>
          </w:p>
        </w:tc>
        <w:tc>
          <w:tcPr>
            <w:tcW w:w="992" w:type="dxa"/>
            <w:vAlign w:val="center"/>
          </w:tcPr>
          <w:p w14:paraId="12769D3E"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−0.17 (0.37)</w:t>
            </w:r>
          </w:p>
        </w:tc>
        <w:tc>
          <w:tcPr>
            <w:tcW w:w="993" w:type="dxa"/>
            <w:tcBorders>
              <w:left w:val="nil"/>
            </w:tcBorders>
            <w:vAlign w:val="center"/>
          </w:tcPr>
          <w:p w14:paraId="6B7B0353"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−0.08</w:t>
            </w:r>
          </w:p>
        </w:tc>
        <w:tc>
          <w:tcPr>
            <w:tcW w:w="992" w:type="dxa"/>
            <w:vAlign w:val="center"/>
          </w:tcPr>
          <w:p w14:paraId="693B8302"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0.01 (0.11)</w:t>
            </w:r>
          </w:p>
        </w:tc>
        <w:tc>
          <w:tcPr>
            <w:tcW w:w="850" w:type="dxa"/>
            <w:tcBorders>
              <w:left w:val="nil"/>
            </w:tcBorders>
            <w:vAlign w:val="center"/>
          </w:tcPr>
          <w:p w14:paraId="2B1DC74F"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0.01</w:t>
            </w:r>
          </w:p>
        </w:tc>
        <w:tc>
          <w:tcPr>
            <w:tcW w:w="1134" w:type="dxa"/>
            <w:vAlign w:val="center"/>
          </w:tcPr>
          <w:p w14:paraId="3073E489"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−0.04 (0.16)</w:t>
            </w:r>
          </w:p>
        </w:tc>
        <w:tc>
          <w:tcPr>
            <w:tcW w:w="735" w:type="dxa"/>
            <w:tcBorders>
              <w:left w:val="nil"/>
            </w:tcBorders>
            <w:vAlign w:val="center"/>
          </w:tcPr>
          <w:p w14:paraId="69133681"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−0.04</w:t>
            </w:r>
          </w:p>
        </w:tc>
        <w:tc>
          <w:tcPr>
            <w:tcW w:w="713" w:type="dxa"/>
            <w:vAlign w:val="center"/>
          </w:tcPr>
          <w:p w14:paraId="211EF1C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−.042</w:t>
            </w:r>
          </w:p>
        </w:tc>
      </w:tr>
      <w:tr w:rsidR="0035494A" w:rsidRPr="00400ADB" w14:paraId="42E8816A" w14:textId="77777777" w:rsidTr="00FA6CC5">
        <w:trPr>
          <w:trHeight w:val="370"/>
        </w:trPr>
        <w:tc>
          <w:tcPr>
            <w:tcW w:w="1985" w:type="dxa"/>
            <w:vAlign w:val="center"/>
          </w:tcPr>
          <w:p w14:paraId="0C96EA15" w14:textId="77777777" w:rsidR="0035494A" w:rsidRPr="00400ADB" w:rsidRDefault="0035494A" w:rsidP="00FA6CC5">
            <w:pPr>
              <w:ind w:left="171"/>
              <w:rPr>
                <w:rFonts w:ascii="Times New Roman" w:hAnsi="Times New Roman" w:cs="Times New Roman"/>
                <w:sz w:val="20"/>
                <w:szCs w:val="20"/>
                <w:lang w:val="en-US"/>
              </w:rPr>
            </w:pPr>
            <w:r w:rsidRPr="00400ADB">
              <w:rPr>
                <w:rFonts w:ascii="Times New Roman" w:hAnsi="Times New Roman" w:cs="Times New Roman"/>
                <w:sz w:val="20"/>
                <w:szCs w:val="20"/>
                <w:lang w:val="en-US"/>
              </w:rPr>
              <w:t>Percent positive comments</w:t>
            </w:r>
          </w:p>
        </w:tc>
        <w:tc>
          <w:tcPr>
            <w:tcW w:w="992" w:type="dxa"/>
            <w:gridSpan w:val="2"/>
            <w:vAlign w:val="center"/>
          </w:tcPr>
          <w:p w14:paraId="149EEF7D"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0.05* (0.03)</w:t>
            </w:r>
          </w:p>
        </w:tc>
        <w:tc>
          <w:tcPr>
            <w:tcW w:w="992" w:type="dxa"/>
            <w:vAlign w:val="center"/>
          </w:tcPr>
          <w:p w14:paraId="3056494E"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−0.04 (0.04)</w:t>
            </w:r>
          </w:p>
        </w:tc>
        <w:tc>
          <w:tcPr>
            <w:tcW w:w="993" w:type="dxa"/>
            <w:tcBorders>
              <w:left w:val="nil"/>
            </w:tcBorders>
            <w:vAlign w:val="center"/>
          </w:tcPr>
          <w:p w14:paraId="79470655"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−0.19</w:t>
            </w:r>
          </w:p>
        </w:tc>
        <w:tc>
          <w:tcPr>
            <w:tcW w:w="992" w:type="dxa"/>
            <w:vAlign w:val="center"/>
          </w:tcPr>
          <w:p w14:paraId="34CAD248"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0.00 (0.01)</w:t>
            </w:r>
          </w:p>
        </w:tc>
        <w:tc>
          <w:tcPr>
            <w:tcW w:w="850" w:type="dxa"/>
            <w:tcBorders>
              <w:left w:val="nil"/>
            </w:tcBorders>
            <w:vAlign w:val="center"/>
          </w:tcPr>
          <w:p w14:paraId="63F1E11B"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0.04</w:t>
            </w:r>
          </w:p>
        </w:tc>
        <w:tc>
          <w:tcPr>
            <w:tcW w:w="1134" w:type="dxa"/>
            <w:vAlign w:val="center"/>
          </w:tcPr>
          <w:p w14:paraId="5155B78D"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−0.01 (0.02)</w:t>
            </w:r>
          </w:p>
        </w:tc>
        <w:tc>
          <w:tcPr>
            <w:tcW w:w="735" w:type="dxa"/>
            <w:tcBorders>
              <w:left w:val="nil"/>
            </w:tcBorders>
            <w:vAlign w:val="center"/>
          </w:tcPr>
          <w:p w14:paraId="606F87E5"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−0.15</w:t>
            </w:r>
          </w:p>
        </w:tc>
        <w:tc>
          <w:tcPr>
            <w:tcW w:w="713" w:type="dxa"/>
            <w:vAlign w:val="center"/>
          </w:tcPr>
          <w:p w14:paraId="31BD36B5" w14:textId="77777777" w:rsidR="0035494A" w:rsidRPr="00400ADB" w:rsidRDefault="0035494A" w:rsidP="00FA6CC5">
            <w:pPr>
              <w:jc w:val="center"/>
              <w:rPr>
                <w:rFonts w:ascii="Times New Roman" w:hAnsi="Times New Roman" w:cs="Times New Roman"/>
                <w:sz w:val="20"/>
                <w:szCs w:val="20"/>
                <w:lang w:val="en-US"/>
              </w:rPr>
            </w:pPr>
            <w:r w:rsidRPr="00400ADB">
              <w:rPr>
                <w:rFonts w:ascii="Times New Roman" w:hAnsi="Times New Roman" w:cs="Times New Roman"/>
                <w:sz w:val="20"/>
                <w:szCs w:val="20"/>
                <w:lang w:val="en-US"/>
              </w:rPr>
              <w:t>−.025</w:t>
            </w:r>
          </w:p>
        </w:tc>
      </w:tr>
      <w:tr w:rsidR="0035494A" w:rsidRPr="00400ADB" w14:paraId="2A401471" w14:textId="77777777" w:rsidTr="00FA6CC5">
        <w:trPr>
          <w:trHeight w:val="286"/>
        </w:trPr>
        <w:tc>
          <w:tcPr>
            <w:tcW w:w="9386" w:type="dxa"/>
            <w:gridSpan w:val="10"/>
            <w:tcBorders>
              <w:top w:val="single" w:sz="4" w:space="0" w:color="auto"/>
            </w:tcBorders>
          </w:tcPr>
          <w:p w14:paraId="6CB99A2B" w14:textId="77777777" w:rsidR="0035494A" w:rsidRPr="00400ADB" w:rsidRDefault="0035494A" w:rsidP="00FA6CC5">
            <w:pPr>
              <w:spacing w:before="240" w:line="480" w:lineRule="auto"/>
              <w:rPr>
                <w:rFonts w:ascii="Times New Roman" w:hAnsi="Times New Roman" w:cs="Times New Roman"/>
                <w:sz w:val="20"/>
                <w:szCs w:val="20"/>
                <w:lang w:val="en-US"/>
              </w:rPr>
            </w:pPr>
            <w:r w:rsidRPr="00400ADB">
              <w:rPr>
                <w:rFonts w:ascii="Times New Roman" w:hAnsi="Times New Roman" w:cs="Times New Roman"/>
                <w:i/>
                <w:sz w:val="20"/>
                <w:szCs w:val="20"/>
                <w:lang w:val="en-US"/>
              </w:rPr>
              <w:t xml:space="preserve">Note. </w:t>
            </w:r>
            <w:r w:rsidRPr="00400ADB">
              <w:rPr>
                <w:rFonts w:ascii="Times New Roman" w:hAnsi="Times New Roman" w:cs="Times New Roman"/>
                <w:sz w:val="20"/>
                <w:szCs w:val="20"/>
                <w:lang w:val="en-US"/>
              </w:rPr>
              <w:t>The dependent variables are difference scores (value student with Turkish migration background – value of student without a migration background). Values greater than zero indicate a positive bias towards students with a Turkish migration background and values smaller than zero a negative bias, with the exception of the negative comments, where the interpretation is reversed. Sample size varied between 67 and 70 due to item-level missingness. IMS = Internal motivation to respond without prejudice. EMS = External motivation to respond without prejudice.</w:t>
            </w:r>
          </w:p>
          <w:p w14:paraId="275C5B95" w14:textId="77777777" w:rsidR="0035494A" w:rsidRPr="00400ADB" w:rsidRDefault="0035494A" w:rsidP="00FA6CC5">
            <w:pPr>
              <w:spacing w:line="360" w:lineRule="auto"/>
              <w:rPr>
                <w:rFonts w:ascii="Times New Roman" w:hAnsi="Times New Roman" w:cs="Times New Roman"/>
                <w:color w:val="000000"/>
                <w:sz w:val="20"/>
                <w:szCs w:val="20"/>
                <w:lang w:val="en-US"/>
              </w:rPr>
            </w:pPr>
            <w:r w:rsidRPr="00400ADB">
              <w:rPr>
                <w:rFonts w:ascii="Times New Roman" w:hAnsi="Times New Roman" w:cs="Times New Roman"/>
                <w:color w:val="000000"/>
                <w:sz w:val="20"/>
                <w:szCs w:val="20"/>
                <w:vertAlign w:val="superscript"/>
                <w:lang w:val="en-US"/>
              </w:rPr>
              <w:t>1</w:t>
            </w:r>
            <w:r w:rsidRPr="00400ADB">
              <w:rPr>
                <w:rFonts w:ascii="Times New Roman" w:hAnsi="Times New Roman" w:cs="Times New Roman"/>
                <w:color w:val="000000"/>
                <w:sz w:val="20"/>
                <w:szCs w:val="20"/>
                <w:lang w:val="en-US"/>
              </w:rPr>
              <w:t xml:space="preserve">In this analysis, we controlled for writer order (reference group: student with a Turkish migration background first) because </w:t>
            </w:r>
            <w:r w:rsidRPr="00400ADB">
              <w:rPr>
                <w:rFonts w:ascii="Times New Roman" w:hAnsi="Times New Roman" w:cs="Times New Roman"/>
                <w:i/>
                <w:color w:val="000000"/>
                <w:sz w:val="20"/>
                <w:szCs w:val="20"/>
                <w:lang w:val="en-US"/>
              </w:rPr>
              <w:t>t</w:t>
            </w:r>
            <w:r w:rsidRPr="00400ADB">
              <w:rPr>
                <w:rFonts w:ascii="Times New Roman" w:hAnsi="Times New Roman" w:cs="Times New Roman"/>
                <w:color w:val="000000"/>
                <w:sz w:val="20"/>
                <w:szCs w:val="20"/>
                <w:lang w:val="en-US"/>
              </w:rPr>
              <w:t>-tests suggested that the difference between participants’ judgments/feedback differed by writer order (see section 6.2 Preliminary Analyses).</w:t>
            </w:r>
          </w:p>
          <w:p w14:paraId="1D3235A1" w14:textId="77777777" w:rsidR="0035494A" w:rsidRPr="00400ADB" w:rsidRDefault="0035494A" w:rsidP="00FA6CC5">
            <w:pPr>
              <w:spacing w:line="480" w:lineRule="auto"/>
              <w:rPr>
                <w:rFonts w:ascii="Times New Roman" w:hAnsi="Times New Roman" w:cs="Times New Roman"/>
                <w:sz w:val="20"/>
                <w:szCs w:val="20"/>
                <w:lang w:val="en-US"/>
              </w:rPr>
            </w:pPr>
            <w:r w:rsidRPr="00400ADB">
              <w:rPr>
                <w:rFonts w:ascii="Times New Roman" w:hAnsi="Times New Roman" w:cs="Times New Roman"/>
                <w:sz w:val="20"/>
                <w:szCs w:val="20"/>
                <w:lang w:val="en-US"/>
              </w:rPr>
              <w:t xml:space="preserve"> ** </w:t>
            </w:r>
            <w:r w:rsidRPr="00400ADB">
              <w:rPr>
                <w:rFonts w:ascii="Times New Roman" w:hAnsi="Times New Roman" w:cs="Times New Roman"/>
                <w:i/>
                <w:sz w:val="20"/>
                <w:szCs w:val="20"/>
                <w:lang w:val="en-US"/>
              </w:rPr>
              <w:t>p</w:t>
            </w:r>
            <w:r w:rsidRPr="00400ADB">
              <w:rPr>
                <w:rFonts w:ascii="Times New Roman" w:hAnsi="Times New Roman" w:cs="Times New Roman"/>
                <w:sz w:val="20"/>
                <w:szCs w:val="20"/>
                <w:lang w:val="en-US"/>
              </w:rPr>
              <w:t xml:space="preserve"> &lt; .01. * </w:t>
            </w:r>
            <w:r w:rsidRPr="00400ADB">
              <w:rPr>
                <w:rFonts w:ascii="Times New Roman" w:hAnsi="Times New Roman" w:cs="Times New Roman"/>
                <w:i/>
                <w:sz w:val="20"/>
                <w:szCs w:val="20"/>
                <w:lang w:val="en-US"/>
              </w:rPr>
              <w:t>p</w:t>
            </w:r>
            <w:r w:rsidRPr="00400ADB">
              <w:rPr>
                <w:rFonts w:ascii="Times New Roman" w:hAnsi="Times New Roman" w:cs="Times New Roman"/>
                <w:sz w:val="20"/>
                <w:szCs w:val="20"/>
                <w:lang w:val="en-US"/>
              </w:rPr>
              <w:t xml:space="preserve"> &lt; .05. </w:t>
            </w:r>
            <w:r w:rsidRPr="00400ADB">
              <w:rPr>
                <w:rFonts w:ascii="Times New Roman" w:hAnsi="Times New Roman" w:cs="Times New Roman"/>
                <w:sz w:val="20"/>
                <w:szCs w:val="20"/>
                <w:vertAlign w:val="superscript"/>
                <w:lang w:val="en-US"/>
              </w:rPr>
              <w:t>+</w:t>
            </w:r>
            <w:r w:rsidRPr="00400ADB">
              <w:rPr>
                <w:rFonts w:ascii="Times New Roman" w:hAnsi="Times New Roman" w:cs="Times New Roman"/>
                <w:sz w:val="20"/>
                <w:szCs w:val="20"/>
                <w:lang w:val="en-US"/>
              </w:rPr>
              <w:t xml:space="preserve"> </w:t>
            </w:r>
            <w:r w:rsidRPr="00400ADB">
              <w:rPr>
                <w:rFonts w:ascii="Times New Roman" w:hAnsi="Times New Roman" w:cs="Times New Roman"/>
                <w:i/>
                <w:sz w:val="20"/>
                <w:szCs w:val="20"/>
                <w:lang w:val="en-US"/>
              </w:rPr>
              <w:t>p</w:t>
            </w:r>
            <w:r w:rsidRPr="00400ADB">
              <w:rPr>
                <w:rFonts w:ascii="Times New Roman" w:hAnsi="Times New Roman" w:cs="Times New Roman"/>
                <w:sz w:val="20"/>
                <w:szCs w:val="20"/>
                <w:lang w:val="en-US"/>
              </w:rPr>
              <w:t xml:space="preserve"> &lt; .10.</w:t>
            </w:r>
          </w:p>
        </w:tc>
      </w:tr>
    </w:tbl>
    <w:p w14:paraId="616D76EA" w14:textId="46D38524" w:rsidR="0035494A" w:rsidRDefault="0035494A" w:rsidP="00452074">
      <w:pPr>
        <w:rPr>
          <w:rFonts w:ascii="Times New Roman" w:hAnsi="Times New Roman" w:cs="Times New Roman"/>
          <w:lang w:val="en-US"/>
        </w:rPr>
      </w:pPr>
    </w:p>
    <w:p w14:paraId="3CD6FFAF" w14:textId="77777777" w:rsidR="00E0663A" w:rsidRDefault="00E0663A" w:rsidP="00452074">
      <w:pPr>
        <w:rPr>
          <w:rFonts w:ascii="Times New Roman" w:hAnsi="Times New Roman" w:cs="Times New Roman"/>
          <w:lang w:val="en-US"/>
        </w:rPr>
      </w:pPr>
    </w:p>
    <w:p w14:paraId="5E65A07F" w14:textId="77777777" w:rsidR="0035494A" w:rsidRPr="00F64A55" w:rsidRDefault="0035494A" w:rsidP="0035494A">
      <w:pPr>
        <w:pStyle w:val="Default"/>
        <w:spacing w:line="480" w:lineRule="auto"/>
        <w:rPr>
          <w:rFonts w:ascii="Times New Roman" w:hAnsi="Times New Roman" w:cs="Times New Roman"/>
          <w:b/>
          <w:bCs/>
          <w:iCs/>
          <w:sz w:val="20"/>
          <w:szCs w:val="22"/>
          <w:lang w:val="en-US"/>
        </w:rPr>
      </w:pPr>
      <w:r w:rsidRPr="00F64A55">
        <w:rPr>
          <w:rFonts w:ascii="Times New Roman" w:hAnsi="Times New Roman" w:cs="Times New Roman"/>
          <w:b/>
          <w:bCs/>
          <w:iCs/>
          <w:sz w:val="20"/>
          <w:szCs w:val="22"/>
          <w:lang w:val="en-US"/>
        </w:rPr>
        <w:lastRenderedPageBreak/>
        <w:t>Fig. S1 a-d</w:t>
      </w:r>
    </w:p>
    <w:p w14:paraId="7BCB0FAF" w14:textId="77777777" w:rsidR="0035494A" w:rsidRPr="00F64A55" w:rsidRDefault="0035494A" w:rsidP="0035494A">
      <w:pPr>
        <w:pStyle w:val="Default"/>
        <w:spacing w:line="480" w:lineRule="auto"/>
        <w:rPr>
          <w:rFonts w:ascii="Times New Roman" w:hAnsi="Times New Roman" w:cs="Times New Roman"/>
          <w:bCs/>
          <w:i/>
          <w:iCs/>
          <w:sz w:val="20"/>
          <w:szCs w:val="22"/>
          <w:lang w:val="en-US"/>
        </w:rPr>
      </w:pPr>
      <w:r w:rsidRPr="00F64A55">
        <w:rPr>
          <w:rFonts w:ascii="Times New Roman" w:hAnsi="Times New Roman" w:cs="Times New Roman"/>
          <w:bCs/>
          <w:i/>
          <w:iCs/>
          <w:sz w:val="20"/>
          <w:lang w:val="en-US"/>
        </w:rPr>
        <w:t xml:space="preserve">Effect of Internal Motivation at High and Low Levels of External Motivation to </w:t>
      </w:r>
      <w:r w:rsidRPr="00F64A55">
        <w:rPr>
          <w:rFonts w:ascii="Times New Roman" w:hAnsi="Times New Roman" w:cs="Times New Roman"/>
          <w:bCs/>
          <w:i/>
          <w:iCs/>
          <w:sz w:val="20"/>
          <w:szCs w:val="22"/>
          <w:lang w:val="en-US"/>
        </w:rPr>
        <w:t>Respond Without Prejudice</w:t>
      </w:r>
    </w:p>
    <w:p w14:paraId="3825ADD4" w14:textId="77777777" w:rsidR="0035494A" w:rsidRPr="00F64A55" w:rsidRDefault="0035494A" w:rsidP="0035494A">
      <w:pPr>
        <w:rPr>
          <w:rFonts w:ascii="Times New Roman" w:hAnsi="Times New Roman" w:cs="Times New Roman"/>
          <w:lang w:val="en-US"/>
        </w:rPr>
      </w:pPr>
      <w:r w:rsidRPr="00F64A55">
        <w:rPr>
          <w:rFonts w:ascii="Times New Roman" w:hAnsi="Times New Roman" w:cs="Times New Roman"/>
          <w:noProof/>
          <w:lang w:eastAsia="de-DE"/>
        </w:rPr>
        <w:drawing>
          <wp:inline distT="0" distB="0" distL="0" distR="0" wp14:anchorId="365CE038" wp14:editId="24128589">
            <wp:extent cx="6396800" cy="4475480"/>
            <wp:effectExtent l="0" t="0" r="4445"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10602" cy="4485136"/>
                    </a:xfrm>
                    <a:prstGeom prst="rect">
                      <a:avLst/>
                    </a:prstGeom>
                    <a:noFill/>
                  </pic:spPr>
                </pic:pic>
              </a:graphicData>
            </a:graphic>
          </wp:inline>
        </w:drawing>
      </w:r>
    </w:p>
    <w:p w14:paraId="188A5E3B" w14:textId="77777777" w:rsidR="0035494A" w:rsidRPr="00F64A55" w:rsidRDefault="0035494A" w:rsidP="0035494A">
      <w:pPr>
        <w:spacing w:after="0" w:line="480" w:lineRule="auto"/>
        <w:rPr>
          <w:rFonts w:ascii="Times New Roman" w:hAnsi="Times New Roman" w:cs="Times New Roman"/>
          <w:sz w:val="20"/>
          <w:lang w:val="en-US"/>
        </w:rPr>
      </w:pPr>
      <w:r w:rsidRPr="00F64A55">
        <w:rPr>
          <w:rFonts w:ascii="Times New Roman" w:hAnsi="Times New Roman" w:cs="Times New Roman"/>
          <w:i/>
          <w:iCs/>
          <w:sz w:val="20"/>
          <w:lang w:val="en-US"/>
        </w:rPr>
        <w:t xml:space="preserve">Note. </w:t>
      </w:r>
      <w:r w:rsidRPr="00F64A55">
        <w:rPr>
          <w:rFonts w:ascii="Times New Roman" w:hAnsi="Times New Roman" w:cs="Times New Roman"/>
          <w:sz w:val="20"/>
          <w:lang w:val="en-US"/>
        </w:rPr>
        <w:t xml:space="preserve">Effects are plotted at +1 SD and </w:t>
      </w:r>
      <w:r w:rsidRPr="00F64A55">
        <w:rPr>
          <w:rFonts w:ascii="Times New Roman" w:hAnsi="Times New Roman" w:cs="Times New Roman"/>
          <w:sz w:val="20"/>
          <w:lang w:val="en-US"/>
        </w:rPr>
        <w:softHyphen/>
      </w:r>
      <w:r w:rsidRPr="00F64A55">
        <w:rPr>
          <w:rFonts w:ascii="Times New Roman" w:hAnsi="Times New Roman" w:cs="Times New Roman"/>
          <w:sz w:val="20"/>
          <w:lang w:val="en-US"/>
        </w:rPr>
        <w:softHyphen/>
      </w:r>
      <w:r w:rsidRPr="00F64A55">
        <w:rPr>
          <w:rFonts w:ascii="Times New Roman" w:hAnsi="Times New Roman" w:cs="Times New Roman"/>
          <w:sz w:val="20"/>
          <w:lang w:val="en-US"/>
        </w:rPr>
        <w:softHyphen/>
        <w:t>−1SD, respectively. Values greater than zero indicate a positive bias towards students with a Turkish migration background and negative values a negative bias. IMS = internal motivation to avoid prejudice. EMS = external motivation to respond without prejudice.</w:t>
      </w:r>
    </w:p>
    <w:p w14:paraId="0F4DCA77" w14:textId="77777777" w:rsidR="0035494A" w:rsidRPr="00F64A55" w:rsidRDefault="0035494A" w:rsidP="0035494A">
      <w:pPr>
        <w:rPr>
          <w:rFonts w:ascii="Times New Roman" w:hAnsi="Times New Roman" w:cs="Times New Roman"/>
          <w:lang w:val="en-US"/>
        </w:rPr>
      </w:pPr>
      <w:r w:rsidRPr="00F64A55">
        <w:rPr>
          <w:rFonts w:ascii="Times New Roman" w:hAnsi="Times New Roman" w:cs="Times New Roman"/>
          <w:sz w:val="20"/>
          <w:lang w:val="en-US"/>
        </w:rPr>
        <w:t xml:space="preserve">* </w:t>
      </w:r>
      <w:r w:rsidRPr="00F64A55">
        <w:rPr>
          <w:rFonts w:ascii="Times New Roman" w:hAnsi="Times New Roman" w:cs="Times New Roman"/>
          <w:i/>
          <w:iCs/>
          <w:sz w:val="20"/>
          <w:lang w:val="en-US"/>
        </w:rPr>
        <w:t>p</w:t>
      </w:r>
      <w:r w:rsidRPr="00F64A55">
        <w:rPr>
          <w:rFonts w:ascii="Times New Roman" w:hAnsi="Times New Roman" w:cs="Times New Roman"/>
          <w:sz w:val="20"/>
          <w:lang w:val="en-US"/>
        </w:rPr>
        <w:t xml:space="preserve"> &lt; .05. </w:t>
      </w:r>
      <w:r w:rsidRPr="00F64A55">
        <w:rPr>
          <w:rFonts w:ascii="Times New Roman" w:hAnsi="Times New Roman" w:cs="Times New Roman"/>
          <w:sz w:val="20"/>
          <w:vertAlign w:val="superscript"/>
          <w:lang w:val="en-US"/>
        </w:rPr>
        <w:t>+</w:t>
      </w:r>
      <w:r w:rsidRPr="00F64A55">
        <w:rPr>
          <w:rFonts w:ascii="Times New Roman" w:hAnsi="Times New Roman" w:cs="Times New Roman"/>
          <w:sz w:val="20"/>
          <w:lang w:val="en-US"/>
        </w:rPr>
        <w:t xml:space="preserve"> </w:t>
      </w:r>
      <w:r w:rsidRPr="00F64A55">
        <w:rPr>
          <w:rFonts w:ascii="Times New Roman" w:hAnsi="Times New Roman" w:cs="Times New Roman"/>
          <w:i/>
          <w:iCs/>
          <w:sz w:val="20"/>
          <w:lang w:val="en-US"/>
        </w:rPr>
        <w:t>p</w:t>
      </w:r>
      <w:r w:rsidRPr="00F64A55">
        <w:rPr>
          <w:rFonts w:ascii="Times New Roman" w:hAnsi="Times New Roman" w:cs="Times New Roman"/>
          <w:sz w:val="20"/>
          <w:lang w:val="en-US"/>
        </w:rPr>
        <w:t xml:space="preserve"> &lt; .10.</w:t>
      </w:r>
    </w:p>
    <w:p w14:paraId="383AC600" w14:textId="77777777" w:rsidR="0035494A" w:rsidRPr="0035494A" w:rsidRDefault="0035494A" w:rsidP="00452074">
      <w:pPr>
        <w:rPr>
          <w:rFonts w:ascii="Times New Roman" w:hAnsi="Times New Roman" w:cs="Times New Roman"/>
          <w:lang w:val="en-US"/>
        </w:rPr>
      </w:pPr>
    </w:p>
    <w:sectPr w:rsidR="0035494A" w:rsidRPr="0035494A" w:rsidSect="00452074">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79162" w14:textId="77777777" w:rsidR="00452074" w:rsidRDefault="00452074" w:rsidP="00452074">
      <w:pPr>
        <w:spacing w:after="0" w:line="240" w:lineRule="auto"/>
      </w:pPr>
      <w:r>
        <w:separator/>
      </w:r>
    </w:p>
  </w:endnote>
  <w:endnote w:type="continuationSeparator" w:id="0">
    <w:p w14:paraId="329460CB" w14:textId="77777777" w:rsidR="00452074" w:rsidRDefault="00452074" w:rsidP="00452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19915765"/>
      <w:docPartObj>
        <w:docPartGallery w:val="Page Numbers (Bottom of Page)"/>
        <w:docPartUnique/>
      </w:docPartObj>
    </w:sdtPr>
    <w:sdtEndPr/>
    <w:sdtContent>
      <w:p w14:paraId="3F0FFFF2" w14:textId="5659CF53" w:rsidR="00E0663A" w:rsidRPr="00E0663A" w:rsidRDefault="00E0663A">
        <w:pPr>
          <w:pStyle w:val="Fuzeile"/>
          <w:jc w:val="right"/>
          <w:rPr>
            <w:rFonts w:ascii="Times New Roman" w:hAnsi="Times New Roman" w:cs="Times New Roman"/>
          </w:rPr>
        </w:pPr>
        <w:r w:rsidRPr="00E0663A">
          <w:rPr>
            <w:rFonts w:ascii="Times New Roman" w:hAnsi="Times New Roman" w:cs="Times New Roman"/>
          </w:rPr>
          <w:fldChar w:fldCharType="begin"/>
        </w:r>
        <w:r w:rsidRPr="00E0663A">
          <w:rPr>
            <w:rFonts w:ascii="Times New Roman" w:hAnsi="Times New Roman" w:cs="Times New Roman"/>
          </w:rPr>
          <w:instrText>PAGE   \* MERGEFORMAT</w:instrText>
        </w:r>
        <w:r w:rsidRPr="00E0663A">
          <w:rPr>
            <w:rFonts w:ascii="Times New Roman" w:hAnsi="Times New Roman" w:cs="Times New Roman"/>
          </w:rPr>
          <w:fldChar w:fldCharType="separate"/>
        </w:r>
        <w:r w:rsidR="00F54E1B">
          <w:rPr>
            <w:rFonts w:ascii="Times New Roman" w:hAnsi="Times New Roman" w:cs="Times New Roman"/>
            <w:noProof/>
          </w:rPr>
          <w:t>4</w:t>
        </w:r>
        <w:r w:rsidRPr="00E0663A">
          <w:rPr>
            <w:rFonts w:ascii="Times New Roman" w:hAnsi="Times New Roman" w:cs="Times New Roman"/>
          </w:rPr>
          <w:fldChar w:fldCharType="end"/>
        </w:r>
        <w:r w:rsidRPr="00E0663A">
          <w:rPr>
            <w:rFonts w:ascii="Times New Roman" w:hAnsi="Times New Roman" w:cs="Times New Roman"/>
          </w:rPr>
          <w:t>/4</w:t>
        </w:r>
      </w:p>
    </w:sdtContent>
  </w:sdt>
  <w:p w14:paraId="2FB1BEB3" w14:textId="77777777" w:rsidR="00E0663A" w:rsidRPr="00E0663A" w:rsidRDefault="00E0663A">
    <w:pPr>
      <w:pStyle w:val="Fuzeile"/>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45742862"/>
      <w:docPartObj>
        <w:docPartGallery w:val="Page Numbers (Bottom of Page)"/>
        <w:docPartUnique/>
      </w:docPartObj>
    </w:sdtPr>
    <w:sdtEndPr/>
    <w:sdtContent>
      <w:p w14:paraId="0A5499B8" w14:textId="6D8D7A91" w:rsidR="00E0663A" w:rsidRPr="00E0663A" w:rsidRDefault="00E0663A">
        <w:pPr>
          <w:pStyle w:val="Fuzeile"/>
          <w:jc w:val="right"/>
          <w:rPr>
            <w:rFonts w:ascii="Times New Roman" w:hAnsi="Times New Roman" w:cs="Times New Roman"/>
          </w:rPr>
        </w:pPr>
        <w:r w:rsidRPr="00E0663A">
          <w:rPr>
            <w:rFonts w:ascii="Times New Roman" w:hAnsi="Times New Roman" w:cs="Times New Roman"/>
          </w:rPr>
          <w:fldChar w:fldCharType="begin"/>
        </w:r>
        <w:r w:rsidRPr="00E0663A">
          <w:rPr>
            <w:rFonts w:ascii="Times New Roman" w:hAnsi="Times New Roman" w:cs="Times New Roman"/>
          </w:rPr>
          <w:instrText>PAGE   \* MERGEFORMAT</w:instrText>
        </w:r>
        <w:r w:rsidRPr="00E0663A">
          <w:rPr>
            <w:rFonts w:ascii="Times New Roman" w:hAnsi="Times New Roman" w:cs="Times New Roman"/>
          </w:rPr>
          <w:fldChar w:fldCharType="separate"/>
        </w:r>
        <w:r w:rsidR="00F54E1B">
          <w:rPr>
            <w:rFonts w:ascii="Times New Roman" w:hAnsi="Times New Roman" w:cs="Times New Roman"/>
            <w:noProof/>
          </w:rPr>
          <w:t>1</w:t>
        </w:r>
        <w:r w:rsidRPr="00E0663A">
          <w:rPr>
            <w:rFonts w:ascii="Times New Roman" w:hAnsi="Times New Roman" w:cs="Times New Roman"/>
          </w:rPr>
          <w:fldChar w:fldCharType="end"/>
        </w:r>
        <w:r w:rsidRPr="00E0663A">
          <w:rPr>
            <w:rFonts w:ascii="Times New Roman" w:hAnsi="Times New Roman" w:cs="Times New Roman"/>
          </w:rPr>
          <w:t>/4</w:t>
        </w:r>
      </w:p>
    </w:sdtContent>
  </w:sdt>
  <w:p w14:paraId="77DF2A65" w14:textId="77777777" w:rsidR="00E0663A" w:rsidRDefault="00E066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BBACB" w14:textId="77777777" w:rsidR="00452074" w:rsidRDefault="00452074" w:rsidP="00452074">
      <w:pPr>
        <w:spacing w:after="0" w:line="240" w:lineRule="auto"/>
      </w:pPr>
      <w:r>
        <w:separator/>
      </w:r>
    </w:p>
  </w:footnote>
  <w:footnote w:type="continuationSeparator" w:id="0">
    <w:p w14:paraId="67D6C8A4" w14:textId="77777777" w:rsidR="00452074" w:rsidRDefault="00452074" w:rsidP="00452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99090" w14:textId="362DC2F2" w:rsidR="00452074" w:rsidRPr="00452074" w:rsidRDefault="00452074">
    <w:pPr>
      <w:pStyle w:val="Kopfzeile"/>
      <w:rPr>
        <w:rFonts w:ascii="Times New Roman" w:hAnsi="Times New Roman" w:cs="Times New Roman"/>
        <w:lang w:val="en-US"/>
      </w:rPr>
    </w:pPr>
    <w:r w:rsidRPr="00F65DCB">
      <w:rPr>
        <w:rFonts w:ascii="Times New Roman" w:hAnsi="Times New Roman" w:cs="Times New Roman"/>
        <w:lang w:val="en-US"/>
      </w:rPr>
      <w:t>FEEDBACK INFLATION AND STUDENTS</w:t>
    </w:r>
    <w:r>
      <w:rPr>
        <w:rFonts w:ascii="Times New Roman" w:hAnsi="Times New Roman" w:cs="Times New Roman"/>
        <w:lang w:val="en-US"/>
      </w:rPr>
      <w:t>’</w:t>
    </w:r>
    <w:r w:rsidRPr="00F65DCB">
      <w:rPr>
        <w:rFonts w:ascii="Times New Roman" w:hAnsi="Times New Roman" w:cs="Times New Roman"/>
        <w:lang w:val="en-US"/>
      </w:rPr>
      <w:t xml:space="preserve"> MIGRATION BACKGROUND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03495" w14:textId="77777777" w:rsidR="00452074" w:rsidRPr="00452074" w:rsidRDefault="00452074">
    <w:pPr>
      <w:pStyle w:val="Kopfzeile"/>
      <w:rPr>
        <w:rFonts w:ascii="Times New Roman" w:hAnsi="Times New Roman" w:cs="Times New Roman"/>
        <w:lang w:val="en-US"/>
      </w:rPr>
    </w:pPr>
    <w:r w:rsidRPr="00F65DCB">
      <w:rPr>
        <w:rFonts w:ascii="Times New Roman" w:hAnsi="Times New Roman" w:cs="Times New Roman"/>
        <w:lang w:val="en-US"/>
      </w:rPr>
      <w:t>RUNNING HEAD: FEEDBACK INFLATION AND STUDENTS</w:t>
    </w:r>
    <w:r>
      <w:rPr>
        <w:rFonts w:ascii="Times New Roman" w:hAnsi="Times New Roman" w:cs="Times New Roman"/>
        <w:lang w:val="en-US"/>
      </w:rPr>
      <w:t>’</w:t>
    </w:r>
    <w:r w:rsidRPr="00F65DCB">
      <w:rPr>
        <w:rFonts w:ascii="Times New Roman" w:hAnsi="Times New Roman" w:cs="Times New Roman"/>
        <w:lang w:val="en-US"/>
      </w:rPr>
      <w:t xml:space="preserve"> MIGRATION BACKGROUND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074"/>
    <w:rsid w:val="000B1D85"/>
    <w:rsid w:val="000C2FBE"/>
    <w:rsid w:val="00193F8A"/>
    <w:rsid w:val="001F435E"/>
    <w:rsid w:val="002D54EA"/>
    <w:rsid w:val="0035494A"/>
    <w:rsid w:val="00374A87"/>
    <w:rsid w:val="00452074"/>
    <w:rsid w:val="00C72740"/>
    <w:rsid w:val="00E0663A"/>
    <w:rsid w:val="00EF59A4"/>
    <w:rsid w:val="00F54E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AD193"/>
  <w15:chartTrackingRefBased/>
  <w15:docId w15:val="{9686EDA6-89BC-4B50-AFE8-85848957B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207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52074"/>
  </w:style>
  <w:style w:type="paragraph" w:styleId="Fuzeile">
    <w:name w:val="footer"/>
    <w:basedOn w:val="Standard"/>
    <w:link w:val="FuzeileZchn"/>
    <w:uiPriority w:val="99"/>
    <w:unhideWhenUsed/>
    <w:rsid w:val="004520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52074"/>
  </w:style>
  <w:style w:type="paragraph" w:customStyle="1" w:styleId="Default">
    <w:name w:val="Default"/>
    <w:rsid w:val="00452074"/>
    <w:pPr>
      <w:autoSpaceDE w:val="0"/>
      <w:autoSpaceDN w:val="0"/>
      <w:adjustRightInd w:val="0"/>
      <w:spacing w:after="0" w:line="240" w:lineRule="auto"/>
    </w:pPr>
    <w:rPr>
      <w:rFonts w:ascii="Calibri" w:hAnsi="Calibri" w:cs="Calibri"/>
      <w:color w:val="000000"/>
      <w:sz w:val="24"/>
      <w:szCs w:val="24"/>
    </w:rPr>
  </w:style>
  <w:style w:type="paragraph" w:styleId="Sprechblasentext">
    <w:name w:val="Balloon Text"/>
    <w:basedOn w:val="Standard"/>
    <w:link w:val="SprechblasentextZchn"/>
    <w:uiPriority w:val="99"/>
    <w:semiHidden/>
    <w:unhideWhenUsed/>
    <w:rsid w:val="00C7274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72740"/>
    <w:rPr>
      <w:rFonts w:ascii="Segoe UI" w:hAnsi="Segoe UI" w:cs="Segoe UI"/>
      <w:sz w:val="18"/>
      <w:szCs w:val="18"/>
    </w:rPr>
  </w:style>
  <w:style w:type="table" w:styleId="Tabellenraster">
    <w:name w:val="Table Grid"/>
    <w:basedOn w:val="NormaleTabelle"/>
    <w:uiPriority w:val="39"/>
    <w:rsid w:val="0035494A"/>
    <w:pPr>
      <w:spacing w:after="0" w:line="240" w:lineRule="auto"/>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5619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Freie Universitaet Berlin</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Nishen, Anna Kristina</dc:creator>
  <cp:keywords/>
  <dc:description/>
  <cp:lastModifiedBy>Nishen, Anna Kristina</cp:lastModifiedBy>
  <cp:revision>6</cp:revision>
  <dcterms:created xsi:type="dcterms:W3CDTF">2021-10-13T12:59:00Z</dcterms:created>
  <dcterms:modified xsi:type="dcterms:W3CDTF">2021-10-18T13:40:00Z</dcterms:modified>
</cp:coreProperties>
</file>