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EA2CD" w14:textId="77777777" w:rsidR="00B53EA9" w:rsidRPr="00B53EA9" w:rsidRDefault="00B53EA9" w:rsidP="00B53EA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el-GR"/>
        </w:rPr>
        <w:t>Psychometric properties of the scales</w:t>
      </w:r>
    </w:p>
    <w:p w14:paraId="66F89C90" w14:textId="09B83502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 w:rsidRPr="001E6360">
        <w:rPr>
          <w:rFonts w:ascii="Times New Roman" w:eastAsia="Times New Roman" w:hAnsi="Times New Roman" w:cs="Times New Roman"/>
          <w:i/>
          <w:sz w:val="20"/>
          <w:szCs w:val="20"/>
          <w:lang w:eastAsia="el-GR"/>
        </w:rPr>
        <w:t>Academic procrastination:</w:t>
      </w:r>
      <w:r w:rsidRPr="00B53EA9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Testing the psychometric properties of the scale (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Procrastination Assessment Scale Students</w:t>
      </w:r>
      <w:r w:rsidRPr="00B53EA9">
        <w:rPr>
          <w:rFonts w:ascii="Times New Roman" w:eastAsia="Times New Roman" w:hAnsi="Times New Roman" w:cs="Times New Roman"/>
          <w:sz w:val="20"/>
          <w:szCs w:val="20"/>
          <w:lang w:eastAsia="el-GR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PASS)</w:t>
      </w:r>
      <w:r>
        <w:rPr>
          <w:rFonts w:ascii="Times New Roman" w:hAnsi="Times New Roman" w:cs="Times New Roman"/>
          <w:sz w:val="20"/>
          <w:szCs w:val="20"/>
        </w:rPr>
        <w:t xml:space="preserve">, initially, </w:t>
      </w:r>
      <w:r w:rsidRPr="00EB59E7">
        <w:rPr>
          <w:rFonts w:ascii="Times New Roman" w:hAnsi="Times New Roman" w:cs="Times New Roman"/>
          <w:sz w:val="20"/>
          <w:szCs w:val="20"/>
        </w:rPr>
        <w:t xml:space="preserve">Principal Component Analysis (PCA) </w:t>
      </w:r>
      <w:r>
        <w:rPr>
          <w:rFonts w:ascii="Times New Roman" w:hAnsi="Times New Roman" w:cs="Times New Roman"/>
          <w:sz w:val="20"/>
          <w:szCs w:val="20"/>
        </w:rPr>
        <w:t xml:space="preserve">was applied using the Varimax-type rotation for the total sample (KMO = .882, Bartlett Chi-square = 2709.22, </w:t>
      </w:r>
      <w:r w:rsidRPr="000F6053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0F6053" w:rsidRPr="000F6053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 as well as separately for students of elementary (KMO = .814, Bartlett Chi-square = 4989.01, 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.001), secondary (KMO = .843, Bartlett Chi-square = 3199.14, </w:t>
      </w:r>
      <w:r w:rsidRPr="000F6053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0F6053" w:rsidRPr="000F6053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and tertiary education (KMO = .823, Bartlett Chi-square = 2737.79, </w:t>
      </w:r>
      <w:r w:rsidRPr="000F6053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0F6053" w:rsidRPr="000F6053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to ensure that the structure of the scale is valid for each case. In all cases three factors emerged with an eigenvalue &gt; 1.0 and significant interpretive value: Factor 1 =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Extent of procrastination</w:t>
      </w:r>
      <w:r>
        <w:rPr>
          <w:rFonts w:ascii="Times New Roman" w:hAnsi="Times New Roman" w:cs="Times New Roman"/>
          <w:sz w:val="20"/>
          <w:szCs w:val="20"/>
        </w:rPr>
        <w:t xml:space="preserve">, explaining 38.16%, 34.33%, 37.01%, and 32.23% of the total variance for the total sample, students of elementary, secondary, and tertiary education, respectively; Factor 2 = </w:t>
      </w:r>
      <w:r>
        <w:rPr>
          <w:rFonts w:ascii="Times New Roman" w:hAnsi="Times New Roman" w:cs="Times New Roman"/>
          <w:i/>
          <w:sz w:val="20"/>
          <w:szCs w:val="20"/>
        </w:rPr>
        <w:t>Procrastination as a problem</w:t>
      </w:r>
      <w:r>
        <w:rPr>
          <w:rFonts w:ascii="Times New Roman" w:hAnsi="Times New Roman" w:cs="Times New Roman"/>
          <w:sz w:val="20"/>
          <w:szCs w:val="20"/>
        </w:rPr>
        <w:t xml:space="preserve">, explaining 27.11%, 24.87%, 24.18%, and 22.19% of the total variance for the total sample, </w:t>
      </w:r>
      <w:bookmarkStart w:id="0" w:name="_Hlk108559836"/>
      <w:r>
        <w:rPr>
          <w:rFonts w:ascii="Times New Roman" w:hAnsi="Times New Roman" w:cs="Times New Roman"/>
          <w:sz w:val="20"/>
          <w:szCs w:val="20"/>
        </w:rPr>
        <w:t>students of elementary, secondary, and tertiary education, respectively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; and Factor 3 =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Desire to reduce procrastination</w:t>
      </w:r>
      <w:r>
        <w:rPr>
          <w:rFonts w:ascii="Times New Roman" w:hAnsi="Times New Roman" w:cs="Times New Roman"/>
          <w:sz w:val="20"/>
          <w:szCs w:val="20"/>
        </w:rPr>
        <w:t>, explaining 19.12%, 17.39%, 18.11%, and 18.21% of the total variance for the total sample, students of elementary, secondary, and tertiary education, respectively.</w:t>
      </w:r>
    </w:p>
    <w:p w14:paraId="6A9B3785" w14:textId="6D54C86C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Since </w:t>
      </w:r>
      <w:r>
        <w:rPr>
          <w:rFonts w:ascii="Times New Roman" w:hAnsi="Times New Roman" w:cs="Times New Roman"/>
          <w:sz w:val="20"/>
          <w:szCs w:val="20"/>
        </w:rPr>
        <w:t>the PASS has been used to a limited extent in the Greek context and mainly only among university students (</w:t>
      </w:r>
      <w:proofErr w:type="spellStart"/>
      <w:r>
        <w:rPr>
          <w:rFonts w:ascii="Times New Roman" w:hAnsi="Times New Roman" w:cs="Times New Roman"/>
          <w:sz w:val="20"/>
          <w:szCs w:val="20"/>
        </w:rPr>
        <w:t>Vasiou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et al., 2022), a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Confirmatory Factor Analysis (CFA) </w:t>
      </w:r>
      <w:r>
        <w:rPr>
          <w:rFonts w:ascii="Times New Roman" w:hAnsi="Times New Roman" w:cs="Times New Roman"/>
          <w:sz w:val="20"/>
          <w:szCs w:val="20"/>
        </w:rPr>
        <w:t xml:space="preserve">was also applied to ensure the validity of the above three-dimensional model.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The CFA was carried out for the same total sample (</w:t>
      </w:r>
      <w:r w:rsidRPr="001E6360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= 1612), as in the case of PCA</w:t>
      </w:r>
      <w:r w:rsidR="00EB59E7">
        <w:rPr>
          <w:rFonts w:ascii="Times New Roman" w:hAnsi="Times New Roman" w:cs="Times New Roman"/>
          <w:color w:val="FF0000"/>
          <w:sz w:val="20"/>
          <w:szCs w:val="20"/>
        </w:rPr>
        <w:t>. This decision was since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resulted </w:t>
      </w:r>
      <w:r>
        <w:rPr>
          <w:rFonts w:ascii="Times New Roman" w:hAnsi="Times New Roman" w:cs="Times New Roman"/>
          <w:sz w:val="20"/>
          <w:szCs w:val="20"/>
        </w:rPr>
        <w:t xml:space="preserve">factorial structure from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the PCA </w:t>
      </w:r>
      <w:r>
        <w:rPr>
          <w:rFonts w:ascii="Times New Roman" w:hAnsi="Times New Roman" w:cs="Times New Roman"/>
          <w:sz w:val="20"/>
          <w:szCs w:val="20"/>
        </w:rPr>
        <w:t xml:space="preserve">for the three groups (students of elementary/secondary/tertiary education) was the same as the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resulted </w:t>
      </w:r>
      <w:r>
        <w:rPr>
          <w:rFonts w:ascii="Times New Roman" w:hAnsi="Times New Roman" w:cs="Times New Roman"/>
          <w:sz w:val="20"/>
          <w:szCs w:val="20"/>
        </w:rPr>
        <w:t xml:space="preserve">factorial structure for the total sample. The </w:t>
      </w:r>
      <w:r w:rsidRPr="00EB59E7">
        <w:rPr>
          <w:rFonts w:ascii="Times New Roman" w:hAnsi="Times New Roman" w:cs="Times New Roman"/>
          <w:sz w:val="20"/>
          <w:szCs w:val="20"/>
        </w:rPr>
        <w:t>CFA</w:t>
      </w:r>
      <w:r>
        <w:rPr>
          <w:rFonts w:ascii="Times New Roman" w:hAnsi="Times New Roman" w:cs="Times New Roman"/>
          <w:sz w:val="20"/>
          <w:szCs w:val="20"/>
        </w:rPr>
        <w:t xml:space="preserve">, using the Maximum Likelihood method, confirmed the above model, which had a very good fit, </w:t>
      </w:r>
      <w:proofErr w:type="gramStart"/>
      <w:r w:rsidRPr="000F6053">
        <w:rPr>
          <w:rFonts w:ascii="Times New Roman" w:hAnsi="Times New Roman" w:cs="Times New Roman"/>
          <w:color w:val="FF0000"/>
          <w:sz w:val="20"/>
          <w:szCs w:val="20"/>
        </w:rPr>
        <w:t>χ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87, </w:t>
      </w:r>
      <w:r>
        <w:rPr>
          <w:rFonts w:ascii="Times New Roman" w:hAnsi="Times New Roman" w:cs="Times New Roman"/>
          <w:i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= 1612) = 112.298,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.02</w:t>
      </w:r>
      <w:r>
        <w:rPr>
          <w:rFonts w:ascii="Times New Roman" w:hAnsi="Times New Roman" w:cs="Times New Roman"/>
          <w:sz w:val="20"/>
          <w:szCs w:val="20"/>
        </w:rPr>
        <w:t xml:space="preserve">, CFI = .945, TLI = .948, RMSEA = .037, SRMS = .039. The internal consistency indexes for the three factors are: Factor 1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.849, students of elementary: </w:t>
      </w:r>
      <w:r w:rsidR="00C022B7">
        <w:rPr>
          <w:rFonts w:ascii="Times New Roman" w:hAnsi="Times New Roman" w:cs="Times New Roman"/>
          <w:i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= .829, secondary:</w:t>
      </w:r>
      <w:r w:rsidR="00C022B7">
        <w:rPr>
          <w:rFonts w:ascii="Times New Roman" w:hAnsi="Times New Roman" w:cs="Times New Roman"/>
          <w:i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 = .833,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.812), Factor 2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.832,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.811,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.809,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.805), and Factor 3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.821,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.801,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.792,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.783). The affinities (according to Pearson’s correlation coefficient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) of the score of each question by each factor with the sum of the scores of the remaining questions of the same factor (corrected item - total correlation) are considered satisfactory</w:t>
      </w:r>
      <w:r>
        <w:rPr>
          <w:rFonts w:ascii="Times New Roman" w:hAnsi="Times New Roman" w:cs="Times New Roman"/>
          <w:sz w:val="20"/>
          <w:szCs w:val="20"/>
          <w:vertAlign w:val="superscript"/>
        </w:rPr>
        <w:footnoteReference w:id="1"/>
      </w:r>
      <w:r>
        <w:rPr>
          <w:rFonts w:ascii="Times New Roman" w:hAnsi="Times New Roman" w:cs="Times New Roman"/>
          <w:sz w:val="20"/>
          <w:szCs w:val="20"/>
        </w:rPr>
        <w:t xml:space="preserve">: Factor 1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.48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.63,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.44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.58,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.64,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.40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.54), Factor 2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.45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.55,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.59,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.42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.64,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.39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.51), and Factor 3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.59,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.58,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.64,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.50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.69).</w:t>
      </w:r>
    </w:p>
    <w:p w14:paraId="5FADE924" w14:textId="15125CFC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Academic engagement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Testing the psychometric properties of the scale (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School Engagement Measure</w:t>
      </w:r>
      <w:r w:rsidRPr="00B53EA9">
        <w:rPr>
          <w:rFonts w:ascii="Times New Roman" w:eastAsia="Times New Roman" w:hAnsi="Times New Roman" w:cs="Times New Roman"/>
          <w:sz w:val="20"/>
          <w:szCs w:val="20"/>
          <w:lang w:eastAsia="el-GR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SEM)</w:t>
      </w:r>
      <w:r>
        <w:rPr>
          <w:rFonts w:ascii="Times New Roman" w:hAnsi="Times New Roman" w:cs="Times New Roman"/>
          <w:sz w:val="20"/>
          <w:szCs w:val="20"/>
        </w:rPr>
        <w:t xml:space="preserve">, initially, </w:t>
      </w:r>
      <w:r w:rsidRPr="00EB59E7">
        <w:rPr>
          <w:rFonts w:ascii="Times New Roman" w:hAnsi="Times New Roman" w:cs="Times New Roman"/>
          <w:sz w:val="20"/>
          <w:szCs w:val="20"/>
        </w:rPr>
        <w:t xml:space="preserve">PCA </w:t>
      </w:r>
      <w:r>
        <w:rPr>
          <w:rFonts w:ascii="Times New Roman" w:hAnsi="Times New Roman" w:cs="Times New Roman"/>
          <w:sz w:val="20"/>
          <w:szCs w:val="20"/>
        </w:rPr>
        <w:t xml:space="preserve">was applied using the Varimax-type rotation for the total sample (KMO = .902, Bartlett Chi-square = 3399.09,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 as well as separately for students of elementary (KMO = .823, Bartlett Chi-square = 3980.05,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secondary (KMO = .931, Bartlett Chi-square = 3901.15, 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.001), and tertiary education (KMO = .822, Bartlett Chi-square = 2347.89,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to ensure that the structure of the scale is valid for each case. In all cases three factors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emerged with an eigenvalue &gt; 1.0 and significant interpretive value: Factor 1 =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Emotional engagement</w:t>
      </w:r>
      <w:r>
        <w:rPr>
          <w:rFonts w:ascii="Times New Roman" w:hAnsi="Times New Roman" w:cs="Times New Roman"/>
          <w:sz w:val="20"/>
          <w:szCs w:val="20"/>
        </w:rPr>
        <w:t xml:space="preserve">, explaining 31.12%, 30.39%, 37.11%, and 31.99% of the total variance for the total sample, students of elementary, secondary, and tertiary education, respectively; Factor 2 = </w:t>
      </w:r>
      <w:r>
        <w:rPr>
          <w:rFonts w:ascii="Times New Roman" w:hAnsi="Times New Roman" w:cs="Times New Roman"/>
          <w:i/>
          <w:sz w:val="20"/>
          <w:szCs w:val="20"/>
        </w:rPr>
        <w:t>Cognitive engagement</w:t>
      </w:r>
      <w:r>
        <w:rPr>
          <w:rFonts w:ascii="Times New Roman" w:hAnsi="Times New Roman" w:cs="Times New Roman"/>
          <w:sz w:val="20"/>
          <w:szCs w:val="20"/>
        </w:rPr>
        <w:t xml:space="preserve">, explaining 29.98%, 27.17%, 28.09%, and 23.49% of the total variance for the total sample, students of elementary, secondary, and tertiary education, respectively; and Factor 3 =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Behavioral engagement</w:t>
      </w:r>
      <w:r>
        <w:rPr>
          <w:rFonts w:ascii="Times New Roman" w:hAnsi="Times New Roman" w:cs="Times New Roman"/>
          <w:sz w:val="20"/>
          <w:szCs w:val="20"/>
        </w:rPr>
        <w:t>, explaining 18.18%, 17.33%, 15.08%, and 18.98% of the total variance for the total sample, students of elementary, secondary, and tertiary education, respectively.</w:t>
      </w:r>
    </w:p>
    <w:p w14:paraId="2DD605A3" w14:textId="66F80456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ensure the validity of the above three-dimensional model in the Greek context, a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CFA </w:t>
      </w:r>
      <w:r>
        <w:rPr>
          <w:rFonts w:ascii="Times New Roman" w:hAnsi="Times New Roman" w:cs="Times New Roman"/>
          <w:sz w:val="20"/>
          <w:szCs w:val="20"/>
        </w:rPr>
        <w:t xml:space="preserve">was also applied. </w:t>
      </w:r>
      <w:bookmarkStart w:id="1" w:name="_Hlk130866298"/>
      <w:r w:rsidRPr="001E6360">
        <w:rPr>
          <w:rFonts w:ascii="Times New Roman" w:hAnsi="Times New Roman" w:cs="Times New Roman"/>
          <w:color w:val="FF0000"/>
          <w:sz w:val="20"/>
          <w:szCs w:val="20"/>
        </w:rPr>
        <w:t>The CFA was carried out for the same total sample (</w:t>
      </w:r>
      <w:r w:rsidRPr="001E6360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= 1612), as in the case of PCA</w:t>
      </w:r>
      <w:r w:rsidR="00EB59E7">
        <w:rPr>
          <w:rFonts w:ascii="Times New Roman" w:hAnsi="Times New Roman" w:cs="Times New Roman"/>
          <w:color w:val="FF0000"/>
          <w:sz w:val="20"/>
          <w:szCs w:val="20"/>
        </w:rPr>
        <w:t>. This decision was since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 the resulted factorial structure from the PCA for the three groups (students of elementary/secondary/tertiary education) was the same as the resulted factorial structure for the total sample</w:t>
      </w:r>
      <w:bookmarkEnd w:id="1"/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1E6360" w:rsidRPr="001E6360">
        <w:rPr>
          <w:rFonts w:ascii="Times New Roman" w:hAnsi="Times New Roman" w:cs="Times New Roman"/>
          <w:color w:val="FF0000"/>
          <w:sz w:val="20"/>
          <w:szCs w:val="20"/>
        </w:rPr>
        <w:t>C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FA</w:t>
      </w:r>
      <w:r>
        <w:rPr>
          <w:rFonts w:ascii="Times New Roman" w:hAnsi="Times New Roman" w:cs="Times New Roman"/>
          <w:sz w:val="20"/>
          <w:szCs w:val="20"/>
        </w:rPr>
        <w:t xml:space="preserve">, using the Maximum Likelihood method, confirmed the above model, which had a very good fit, </w:t>
      </w:r>
      <w:proofErr w:type="gramStart"/>
      <w:r w:rsidRPr="00C022B7">
        <w:rPr>
          <w:rFonts w:ascii="Times New Roman" w:hAnsi="Times New Roman" w:cs="Times New Roman"/>
          <w:color w:val="FF0000"/>
          <w:sz w:val="20"/>
          <w:szCs w:val="20"/>
        </w:rPr>
        <w:t>χ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88, </w:t>
      </w:r>
      <w:r>
        <w:rPr>
          <w:rFonts w:ascii="Times New Roman" w:hAnsi="Times New Roman" w:cs="Times New Roman"/>
          <w:i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= 1612) = 239.091,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.01</w:t>
      </w:r>
      <w:r>
        <w:rPr>
          <w:rFonts w:ascii="Times New Roman" w:hAnsi="Times New Roman" w:cs="Times New Roman"/>
          <w:sz w:val="20"/>
          <w:szCs w:val="20"/>
        </w:rPr>
        <w:t xml:space="preserve">, CFI = .949, TLI = .955, RMSEA = .035, SRMS = .038. The internal consistency indexes for the three factors are: Factor 1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.889,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.859,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.843,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.845), Factor 2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.839,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.822,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.811,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.809), and Factor 3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.808,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.789,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.743,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.751). The affinities (according to Pearson’s correlation coefficient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) of the score of each question by each factor with the sum of the scores of the remaining questions of the same factor (corrected item - total correlation) are considered satisfactory: Factor 1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.58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.68,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.63,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.54,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.39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.44), Factor 2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.55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.61,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.69,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.47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.58,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.49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.57), and Factor 3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.63,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.48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.68,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.33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.54,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.52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.65).</w:t>
      </w:r>
    </w:p>
    <w:p w14:paraId="06A305DA" w14:textId="6DA0D8AC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08643521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Academic connectedness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:</w:t>
      </w:r>
      <w:bookmarkEnd w:id="2"/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Testing the psychometric properties of the scale (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>School Connectedness Scale)</w:t>
      </w:r>
      <w:r>
        <w:rPr>
          <w:rFonts w:ascii="Times New Roman" w:hAnsi="Times New Roman" w:cs="Times New Roman"/>
          <w:sz w:val="20"/>
          <w:szCs w:val="20"/>
        </w:rPr>
        <w:t xml:space="preserve">, initially,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PCA </w:t>
      </w:r>
      <w:r>
        <w:rPr>
          <w:rFonts w:ascii="Times New Roman" w:hAnsi="Times New Roman" w:cs="Times New Roman"/>
          <w:sz w:val="20"/>
          <w:szCs w:val="20"/>
        </w:rPr>
        <w:t xml:space="preserve">was applied using the Varimax-type rotation for the total sample (KMO = .911, Bartlett Chi-square = 4428.05,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 as well as separately for students of elementary (KMO = .839, Bartlett Chi-square = 3832.88,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secondary (KMO = .981, Bartlett Chi-square = 4451.19,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and tertiary education (KMO = .835, Bartlett Chi-square = 2841.11,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to ensure that the structure of the scale is valid for each case. In all cases one factor emerged with an eigenvalue &gt; 1.0 and significant interpretive value: Factor 1 =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Academic connectedness</w:t>
      </w:r>
      <w:r>
        <w:rPr>
          <w:rFonts w:ascii="Times New Roman" w:hAnsi="Times New Roman" w:cs="Times New Roman"/>
          <w:sz w:val="20"/>
          <w:szCs w:val="20"/>
        </w:rPr>
        <w:t>, explaining 35.12%, 32.08%, 32.39%, and 30.81% of the total variance for the total sample, students of elementary, secondary, and tertiary education, respectively.</w:t>
      </w:r>
    </w:p>
    <w:p w14:paraId="3724222F" w14:textId="1E32CB81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ensure the validity of the above unidimensional model in the Greek context, a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CFA </w:t>
      </w:r>
      <w:r>
        <w:rPr>
          <w:rFonts w:ascii="Times New Roman" w:hAnsi="Times New Roman" w:cs="Times New Roman"/>
          <w:sz w:val="20"/>
          <w:szCs w:val="20"/>
        </w:rPr>
        <w:t xml:space="preserve">was also applied.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The CFA was carried out for the same total sample (</w:t>
      </w:r>
      <w:r w:rsidRPr="001E6360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= 1612), as in the case of PCA</w:t>
      </w:r>
      <w:r w:rsidR="00565DDF">
        <w:rPr>
          <w:rFonts w:ascii="Times New Roman" w:hAnsi="Times New Roman" w:cs="Times New Roman"/>
          <w:color w:val="FF0000"/>
          <w:sz w:val="20"/>
          <w:szCs w:val="20"/>
        </w:rPr>
        <w:t xml:space="preserve">. This decision was since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 xml:space="preserve">the resulted factorial structure from the PCA for the three groups (students of elementary/secondary/tertiary education) was the same as the resulted factorial structure for the total sample.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CFA</w:t>
      </w:r>
      <w:r>
        <w:rPr>
          <w:rFonts w:ascii="Times New Roman" w:hAnsi="Times New Roman" w:cs="Times New Roman"/>
          <w:sz w:val="20"/>
          <w:szCs w:val="20"/>
        </w:rPr>
        <w:t xml:space="preserve">, using the Maximum Likelihood method, confirmed the above unidimensional model, which had a very good fit, </w:t>
      </w:r>
      <w:proofErr w:type="gramStart"/>
      <w:r w:rsidRPr="00C022B7">
        <w:rPr>
          <w:rFonts w:ascii="Times New Roman" w:hAnsi="Times New Roman" w:cs="Times New Roman"/>
          <w:color w:val="FF0000"/>
          <w:sz w:val="20"/>
          <w:szCs w:val="20"/>
        </w:rPr>
        <w:t>χ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87, </w:t>
      </w:r>
      <w:r>
        <w:rPr>
          <w:rFonts w:ascii="Times New Roman" w:hAnsi="Times New Roman" w:cs="Times New Roman"/>
          <w:i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= 1612) = 282.034, </w:t>
      </w:r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.01</w:t>
      </w:r>
      <w:r>
        <w:rPr>
          <w:rFonts w:ascii="Times New Roman" w:hAnsi="Times New Roman" w:cs="Times New Roman"/>
          <w:sz w:val="20"/>
          <w:szCs w:val="20"/>
        </w:rPr>
        <w:t>, CFI = .951, TLI = .953, RMSEA = .035, SRMS = .035. The internal consistency index for Factor 1 is: total sample (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.822), students of elementary (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.818), secondary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.809), and tertiary education (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.801). The affinities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(according to Pearson’s correlation coefficient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) of the score of each question by the one factor with the sum of the scores of the remaining questions of the same factor (corrected item - total correlation) are considered satisfactory: Factor 1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.69,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.53,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.33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.42,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.49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.51).</w:t>
      </w:r>
    </w:p>
    <w:p w14:paraId="00404270" w14:textId="75778286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Problematic social media use</w:t>
      </w:r>
      <w:r>
        <w:rPr>
          <w:rFonts w:ascii="Times New Roman" w:hAnsi="Times New Roman" w:cs="Times New Roman"/>
          <w:sz w:val="20"/>
          <w:szCs w:val="20"/>
        </w:rPr>
        <w:t xml:space="preserve">: Testing the psychometric properties of the scale (Problematic Social Media Use; PSMU), initially, </w:t>
      </w:r>
      <w:r w:rsidRPr="00565DDF">
        <w:rPr>
          <w:rFonts w:ascii="Times New Roman" w:hAnsi="Times New Roman" w:cs="Times New Roman"/>
          <w:sz w:val="20"/>
          <w:szCs w:val="20"/>
        </w:rPr>
        <w:t xml:space="preserve">PCA </w:t>
      </w:r>
      <w:r>
        <w:rPr>
          <w:rFonts w:ascii="Times New Roman" w:hAnsi="Times New Roman" w:cs="Times New Roman"/>
          <w:sz w:val="20"/>
          <w:szCs w:val="20"/>
        </w:rPr>
        <w:t xml:space="preserve">was applied using the Varimax-type rotation for the total sample (KMO = .828, Bartlett Chi-square = 4109.18,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 as well as separately for students of elementary (KMO = .811, Bartlett Chi-square = 3090.05,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secondary (KMO = .809, Bartlett Chi-square = 3031.19,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and tertiary education (KMO = .801, Bartlett Chi-square = 2097.91, </w:t>
      </w:r>
      <w:r w:rsidR="00C022B7"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.000</w:t>
      </w:r>
      <w:r>
        <w:rPr>
          <w:rFonts w:ascii="Times New Roman" w:hAnsi="Times New Roman" w:cs="Times New Roman"/>
          <w:sz w:val="20"/>
          <w:szCs w:val="20"/>
        </w:rPr>
        <w:t xml:space="preserve">), to ensure that the structure of the scale is valid for each case. In all cases two factors emerged with an eigenvalue &gt; 1.0 and significant interpretive value: Factor 1 =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Withdrawal</w:t>
      </w:r>
      <w:r>
        <w:rPr>
          <w:rFonts w:ascii="Times New Roman" w:hAnsi="Times New Roman" w:cs="Times New Roman"/>
          <w:sz w:val="20"/>
          <w:szCs w:val="20"/>
        </w:rPr>
        <w:t xml:space="preserve">, explaining 41.15%, 39.18%, 38.04%, and 38.19% of the total variance for the total sample, students of elementary, secondary, and tertiary education, respectively; Factor 2 = </w:t>
      </w:r>
      <w:r>
        <w:rPr>
          <w:rFonts w:ascii="Times New Roman" w:hAnsi="Times New Roman" w:cs="Times New Roman"/>
          <w:i/>
          <w:sz w:val="20"/>
          <w:szCs w:val="20"/>
        </w:rPr>
        <w:t>Compulsion</w:t>
      </w:r>
      <w:r>
        <w:rPr>
          <w:rFonts w:ascii="Times New Roman" w:hAnsi="Times New Roman" w:cs="Times New Roman"/>
          <w:sz w:val="20"/>
          <w:szCs w:val="20"/>
        </w:rPr>
        <w:t>, explaining 34.01%, 33.88%, 30.09%, and 29.14% of the total variance for the total sample, students of elementary, secondary, and tertiary education, respectively.</w:t>
      </w:r>
    </w:p>
    <w:p w14:paraId="3C41829A" w14:textId="60A5757E" w:rsidR="00B53EA9" w:rsidRDefault="00B53EA9" w:rsidP="00B53EA9">
      <w:pPr>
        <w:spacing w:after="0" w:line="360" w:lineRule="auto"/>
        <w:ind w:firstLine="4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ensure the validity of the above two-dimensional model in the Greek context, a CFA was also applied.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The CFA was carried out for the same total sample (</w:t>
      </w:r>
      <w:r w:rsidRPr="001E6360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= 1612), as in the case of P.C.A.</w:t>
      </w:r>
      <w:r w:rsidR="00565DDF">
        <w:rPr>
          <w:rFonts w:ascii="Times New Roman" w:hAnsi="Times New Roman" w:cs="Times New Roman"/>
          <w:color w:val="FF0000"/>
          <w:sz w:val="20"/>
          <w:szCs w:val="20"/>
        </w:rPr>
        <w:t xml:space="preserve"> This decision was since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the resulted factorial structure from the PCA for the three groups (students of elementary/secondary/tertiary education) was the same as the resulted factorial structure for the total sample.</w:t>
      </w:r>
      <w:r>
        <w:rPr>
          <w:rFonts w:ascii="Times New Roman" w:hAnsi="Times New Roman" w:cs="Times New Roman"/>
          <w:sz w:val="20"/>
          <w:szCs w:val="20"/>
        </w:rPr>
        <w:t xml:space="preserve"> The </w:t>
      </w:r>
      <w:r w:rsidRPr="001E6360">
        <w:rPr>
          <w:rFonts w:ascii="Times New Roman" w:hAnsi="Times New Roman" w:cs="Times New Roman"/>
          <w:color w:val="FF0000"/>
          <w:sz w:val="20"/>
          <w:szCs w:val="20"/>
        </w:rPr>
        <w:t>CFA</w:t>
      </w:r>
      <w:r>
        <w:rPr>
          <w:rFonts w:ascii="Times New Roman" w:hAnsi="Times New Roman" w:cs="Times New Roman"/>
          <w:sz w:val="20"/>
          <w:szCs w:val="20"/>
        </w:rPr>
        <w:t xml:space="preserve">, using the Maximum Likelihood method, confirmed the above model, which had a very good fit, </w:t>
      </w:r>
      <w:proofErr w:type="gramStart"/>
      <w:r w:rsidRPr="00C022B7">
        <w:rPr>
          <w:rFonts w:ascii="Times New Roman" w:hAnsi="Times New Roman" w:cs="Times New Roman"/>
          <w:color w:val="FF0000"/>
          <w:sz w:val="20"/>
          <w:szCs w:val="20"/>
        </w:rPr>
        <w:t>χ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87, </w:t>
      </w:r>
      <w:r>
        <w:rPr>
          <w:rFonts w:ascii="Times New Roman" w:hAnsi="Times New Roman" w:cs="Times New Roman"/>
          <w:i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 = 1612) = 384.011, </w:t>
      </w:r>
      <w:bookmarkStart w:id="3" w:name="_GoBack"/>
      <w:r w:rsidRPr="00C022B7">
        <w:rPr>
          <w:rFonts w:ascii="Times New Roman" w:hAnsi="Times New Roman" w:cs="Times New Roman"/>
          <w:i/>
          <w:color w:val="FF0000"/>
          <w:sz w:val="20"/>
          <w:szCs w:val="20"/>
        </w:rPr>
        <w:t>p</w:t>
      </w:r>
      <w:r w:rsidR="00C022B7" w:rsidRPr="00C022B7">
        <w:rPr>
          <w:rFonts w:ascii="Times New Roman" w:hAnsi="Times New Roman" w:cs="Times New Roman"/>
          <w:color w:val="FF0000"/>
          <w:sz w:val="20"/>
          <w:szCs w:val="20"/>
        </w:rPr>
        <w:t xml:space="preserve"> = .03</w:t>
      </w:r>
      <w:bookmarkEnd w:id="3"/>
      <w:r>
        <w:rPr>
          <w:rFonts w:ascii="Times New Roman" w:hAnsi="Times New Roman" w:cs="Times New Roman"/>
          <w:sz w:val="20"/>
          <w:szCs w:val="20"/>
        </w:rPr>
        <w:t xml:space="preserve">, CFI = .931, TLI = .938, RMSEA = .035, SRMS = .034. The internal consistency indexes for the two factors are: Factor 1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.818,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.811,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.808,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.815), and Factor 2 (total sample: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.852, students of elementary: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.831, secondary:</w:t>
      </w:r>
      <w:r>
        <w:rPr>
          <w:rFonts w:ascii="Times New Roman" w:hAnsi="Times New Roman" w:cs="Times New Roman"/>
          <w:i/>
          <w:sz w:val="20"/>
          <w:szCs w:val="20"/>
        </w:rPr>
        <w:t xml:space="preserve"> α</w:t>
      </w:r>
      <w:r>
        <w:rPr>
          <w:rFonts w:ascii="Times New Roman" w:hAnsi="Times New Roman" w:cs="Times New Roman"/>
          <w:sz w:val="20"/>
          <w:szCs w:val="20"/>
        </w:rPr>
        <w:t xml:space="preserve"> = .818, and tertiary education: </w:t>
      </w:r>
      <w:r>
        <w:rPr>
          <w:rFonts w:ascii="Times New Roman" w:hAnsi="Times New Roman" w:cs="Times New Roman"/>
          <w:i/>
          <w:sz w:val="20"/>
          <w:szCs w:val="20"/>
        </w:rPr>
        <w:t>α</w:t>
      </w:r>
      <w:r>
        <w:rPr>
          <w:rFonts w:ascii="Times New Roman" w:hAnsi="Times New Roman" w:cs="Times New Roman"/>
          <w:sz w:val="20"/>
          <w:szCs w:val="20"/>
        </w:rPr>
        <w:t xml:space="preserve"> = .804). The affinities (according to Pearson’s correlation coefficient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) of the score of each question by each factor with the sum of the scores of the remaining questions of the same factor (corrected item - total correlation) are considered satisfactory: Factor 1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.48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.54,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.53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.69,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.44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.58,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.49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.59), and Factor 2 (total sample: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.45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.64, students of elementary: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.59, secondary: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.48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.54, and tertiary education: from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.41 to </w:t>
      </w:r>
      <w:r>
        <w:rPr>
          <w:rFonts w:ascii="Times New Roman" w:hAnsi="Times New Roman" w:cs="Times New Roman"/>
          <w:i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 = .54).</w:t>
      </w:r>
    </w:p>
    <w:p w14:paraId="383C2577" w14:textId="77777777" w:rsidR="00205074" w:rsidRDefault="00205074"/>
    <w:sectPr w:rsidR="0020507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F2519" w14:textId="77777777" w:rsidR="00A55127" w:rsidRDefault="00A55127" w:rsidP="00B53EA9">
      <w:pPr>
        <w:spacing w:after="0" w:line="240" w:lineRule="auto"/>
      </w:pPr>
      <w:r>
        <w:separator/>
      </w:r>
    </w:p>
  </w:endnote>
  <w:endnote w:type="continuationSeparator" w:id="0">
    <w:p w14:paraId="75E4F90F" w14:textId="77777777" w:rsidR="00A55127" w:rsidRDefault="00A55127" w:rsidP="00B5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7827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9DF51" w14:textId="77777777" w:rsidR="00B53EA9" w:rsidRDefault="00B53E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2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1F8DB07" w14:textId="77777777" w:rsidR="00B53EA9" w:rsidRDefault="00B53E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6C6A7" w14:textId="77777777" w:rsidR="00A55127" w:rsidRDefault="00A55127" w:rsidP="00B53EA9">
      <w:pPr>
        <w:spacing w:after="0" w:line="240" w:lineRule="auto"/>
      </w:pPr>
      <w:r>
        <w:separator/>
      </w:r>
    </w:p>
  </w:footnote>
  <w:footnote w:type="continuationSeparator" w:id="0">
    <w:p w14:paraId="0E6740E8" w14:textId="77777777" w:rsidR="00A55127" w:rsidRDefault="00A55127" w:rsidP="00B53EA9">
      <w:pPr>
        <w:spacing w:after="0" w:line="240" w:lineRule="auto"/>
      </w:pPr>
      <w:r>
        <w:continuationSeparator/>
      </w:r>
    </w:p>
  </w:footnote>
  <w:footnote w:id="1">
    <w:p w14:paraId="0923A828" w14:textId="77777777" w:rsidR="00B53EA9" w:rsidRDefault="00B53EA9" w:rsidP="00B53EA9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In a sample of 300 and 600 people, loadings of more than .29 and .21, accordingly, are accepted (Field, 2005).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A9"/>
    <w:rsid w:val="000F6053"/>
    <w:rsid w:val="001E6360"/>
    <w:rsid w:val="00205074"/>
    <w:rsid w:val="00336E76"/>
    <w:rsid w:val="00402217"/>
    <w:rsid w:val="00565DDF"/>
    <w:rsid w:val="00A55127"/>
    <w:rsid w:val="00B53EA9"/>
    <w:rsid w:val="00C022B7"/>
    <w:rsid w:val="00D50D62"/>
    <w:rsid w:val="00EB59E7"/>
    <w:rsid w:val="00E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421F"/>
  <w15:chartTrackingRefBased/>
  <w15:docId w15:val="{662F7FC6-B283-4F19-9CBD-B90BD0DB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3E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E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3EA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3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EA9"/>
  </w:style>
  <w:style w:type="paragraph" w:styleId="Footer">
    <w:name w:val="footer"/>
    <w:basedOn w:val="Normal"/>
    <w:link w:val="FooterChar"/>
    <w:uiPriority w:val="99"/>
    <w:unhideWhenUsed/>
    <w:rsid w:val="00B53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Thanos Touloupis</cp:lastModifiedBy>
  <cp:revision>4</cp:revision>
  <dcterms:created xsi:type="dcterms:W3CDTF">2023-03-30T23:54:00Z</dcterms:created>
  <dcterms:modified xsi:type="dcterms:W3CDTF">2023-06-17T15:43:00Z</dcterms:modified>
</cp:coreProperties>
</file>