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EBF8E" w14:textId="77777777" w:rsidR="00291040" w:rsidRDefault="00291040">
      <w:pPr>
        <w:rPr>
          <w:rFonts w:asciiTheme="majorBidi" w:hAnsiTheme="majorBidi" w:cstheme="majorBidi"/>
          <w:b/>
          <w:bCs/>
          <w:sz w:val="24"/>
          <w:szCs w:val="24"/>
        </w:rPr>
      </w:pPr>
      <w:bookmarkStart w:id="0" w:name="_GoBack"/>
      <w:bookmarkEnd w:id="0"/>
    </w:p>
    <w:p w14:paraId="4AC7A791" w14:textId="77777777" w:rsidR="00291040" w:rsidRPr="008E2F57" w:rsidRDefault="00291040" w:rsidP="008E2F57">
      <w:pPr>
        <w:spacing w:after="0" w:line="360" w:lineRule="auto"/>
        <w:jc w:val="center"/>
        <w:rPr>
          <w:rFonts w:asciiTheme="majorBidi" w:hAnsiTheme="majorBidi" w:cstheme="majorBidi"/>
          <w:b/>
          <w:bCs/>
          <w:sz w:val="28"/>
          <w:szCs w:val="28"/>
        </w:rPr>
      </w:pPr>
      <w:r w:rsidRPr="008E2F57">
        <w:rPr>
          <w:rFonts w:asciiTheme="majorBidi" w:hAnsiTheme="majorBidi" w:cstheme="majorBidi"/>
          <w:b/>
          <w:bCs/>
          <w:sz w:val="28"/>
          <w:szCs w:val="28"/>
        </w:rPr>
        <w:t xml:space="preserve">Leveraging </w:t>
      </w:r>
      <w:r w:rsidR="00B40263" w:rsidRPr="008E2F57">
        <w:rPr>
          <w:rFonts w:asciiTheme="majorBidi" w:hAnsiTheme="majorBidi" w:cstheme="majorBidi"/>
          <w:b/>
          <w:bCs/>
          <w:sz w:val="28"/>
          <w:szCs w:val="28"/>
        </w:rPr>
        <w:t xml:space="preserve">real-Time </w:t>
      </w:r>
      <w:r w:rsidRPr="008E2F57">
        <w:rPr>
          <w:rFonts w:asciiTheme="majorBidi" w:hAnsiTheme="majorBidi" w:cstheme="majorBidi"/>
          <w:b/>
          <w:bCs/>
          <w:sz w:val="28"/>
          <w:szCs w:val="28"/>
        </w:rPr>
        <w:t>Digital Twins for Smart Livestreaming Platforms to</w:t>
      </w:r>
    </w:p>
    <w:p w14:paraId="68743E9D" w14:textId="77777777" w:rsidR="00291040" w:rsidRPr="008E2F57" w:rsidRDefault="00291040" w:rsidP="008E2F57">
      <w:pPr>
        <w:spacing w:after="0" w:line="360" w:lineRule="auto"/>
        <w:jc w:val="center"/>
        <w:rPr>
          <w:rFonts w:asciiTheme="majorBidi" w:hAnsiTheme="majorBidi" w:cstheme="majorBidi"/>
          <w:b/>
          <w:bCs/>
          <w:sz w:val="28"/>
          <w:szCs w:val="28"/>
        </w:rPr>
      </w:pPr>
      <w:r w:rsidRPr="008E2F57">
        <w:rPr>
          <w:rFonts w:asciiTheme="majorBidi" w:hAnsiTheme="majorBidi" w:cstheme="majorBidi"/>
          <w:b/>
          <w:bCs/>
          <w:sz w:val="28"/>
          <w:szCs w:val="28"/>
        </w:rPr>
        <w:t>Enhance Consumers’ Experience</w:t>
      </w:r>
    </w:p>
    <w:p w14:paraId="4E92FE2D" w14:textId="77777777" w:rsidR="00291040" w:rsidRPr="008E2F57" w:rsidRDefault="00291040" w:rsidP="008E2F57">
      <w:pPr>
        <w:spacing w:after="0" w:line="360" w:lineRule="auto"/>
        <w:jc w:val="both"/>
        <w:rPr>
          <w:rFonts w:asciiTheme="majorBidi" w:hAnsiTheme="majorBidi" w:cstheme="majorBidi"/>
          <w:b/>
          <w:bCs/>
          <w:sz w:val="20"/>
          <w:szCs w:val="20"/>
        </w:rPr>
      </w:pPr>
    </w:p>
    <w:p w14:paraId="782DE8D3" w14:textId="77777777" w:rsidR="00291040" w:rsidRPr="008E2F57" w:rsidRDefault="00291040" w:rsidP="008E2F57">
      <w:pPr>
        <w:spacing w:after="0" w:line="360" w:lineRule="auto"/>
        <w:jc w:val="both"/>
        <w:rPr>
          <w:rFonts w:asciiTheme="majorBidi" w:hAnsiTheme="majorBidi" w:cstheme="majorBidi"/>
          <w:b/>
          <w:bCs/>
          <w:sz w:val="20"/>
          <w:szCs w:val="20"/>
        </w:rPr>
      </w:pPr>
    </w:p>
    <w:p w14:paraId="1449D6C0" w14:textId="77777777" w:rsidR="008B4820" w:rsidRPr="00FA6392" w:rsidRDefault="00224E5E" w:rsidP="008E2F57">
      <w:pPr>
        <w:spacing w:after="0" w:line="360" w:lineRule="auto"/>
        <w:jc w:val="both"/>
        <w:rPr>
          <w:rFonts w:asciiTheme="majorBidi" w:hAnsiTheme="majorBidi" w:cstheme="majorBidi"/>
          <w:b/>
          <w:bCs/>
          <w:sz w:val="24"/>
          <w:szCs w:val="24"/>
        </w:rPr>
      </w:pPr>
      <w:r w:rsidRPr="00FA6392">
        <w:rPr>
          <w:rFonts w:asciiTheme="majorBidi" w:hAnsiTheme="majorBidi" w:cstheme="majorBidi"/>
          <w:b/>
          <w:bCs/>
          <w:sz w:val="24"/>
          <w:szCs w:val="24"/>
        </w:rPr>
        <w:t>Web Appendixes</w:t>
      </w:r>
    </w:p>
    <w:p w14:paraId="6FC02D08" w14:textId="77777777" w:rsidR="00380A5C" w:rsidRPr="008E2F57" w:rsidRDefault="00380A5C" w:rsidP="008E2F57">
      <w:pPr>
        <w:spacing w:after="0" w:line="360" w:lineRule="auto"/>
        <w:jc w:val="both"/>
        <w:rPr>
          <w:rFonts w:asciiTheme="majorBidi" w:hAnsiTheme="majorBidi" w:cstheme="majorBidi"/>
          <w:sz w:val="20"/>
          <w:szCs w:val="20"/>
        </w:rPr>
      </w:pPr>
      <w:r w:rsidRPr="008E2F57">
        <w:rPr>
          <w:rFonts w:asciiTheme="majorBidi" w:hAnsiTheme="majorBidi" w:cstheme="majorBidi"/>
          <w:sz w:val="20"/>
          <w:szCs w:val="20"/>
        </w:rPr>
        <w:fldChar w:fldCharType="begin"/>
      </w:r>
      <w:r w:rsidRPr="008E2F57">
        <w:rPr>
          <w:rFonts w:asciiTheme="majorBidi" w:hAnsiTheme="majorBidi" w:cstheme="majorBidi"/>
          <w:sz w:val="20"/>
          <w:szCs w:val="20"/>
        </w:rPr>
        <w:instrText xml:space="preserve"> TOC \o "1-1" \u </w:instrText>
      </w:r>
      <w:r w:rsidRPr="008E2F57">
        <w:rPr>
          <w:rFonts w:asciiTheme="majorBidi" w:hAnsiTheme="majorBidi" w:cstheme="majorBidi"/>
          <w:sz w:val="20"/>
          <w:szCs w:val="20"/>
        </w:rPr>
        <w:fldChar w:fldCharType="separate"/>
      </w:r>
    </w:p>
    <w:p w14:paraId="3A8C8F55" w14:textId="7E1827F4" w:rsidR="00380A5C" w:rsidRPr="008E2F57" w:rsidRDefault="00291040" w:rsidP="008E2F57">
      <w:pPr>
        <w:spacing w:after="0" w:line="360" w:lineRule="auto"/>
        <w:jc w:val="both"/>
        <w:rPr>
          <w:rFonts w:asciiTheme="majorBidi" w:hAnsiTheme="majorBidi" w:cstheme="majorBidi"/>
          <w:sz w:val="20"/>
          <w:szCs w:val="20"/>
        </w:rPr>
      </w:pPr>
      <w:r w:rsidRPr="008E2F57">
        <w:rPr>
          <w:rFonts w:asciiTheme="majorBidi" w:hAnsiTheme="majorBidi" w:cstheme="majorBidi"/>
          <w:sz w:val="20"/>
          <w:szCs w:val="20"/>
        </w:rPr>
        <w:t>Web Appendix 1</w:t>
      </w:r>
      <w:r w:rsidR="00380A5C" w:rsidRPr="008E2F57">
        <w:rPr>
          <w:rFonts w:asciiTheme="majorBidi" w:hAnsiTheme="majorBidi" w:cstheme="majorBidi"/>
          <w:sz w:val="20"/>
          <w:szCs w:val="20"/>
        </w:rPr>
        <w:t xml:space="preserve">: More on DT and </w:t>
      </w:r>
      <w:r w:rsidR="00F45FF4" w:rsidRPr="008E2F57">
        <w:rPr>
          <w:rFonts w:asciiTheme="majorBidi" w:hAnsiTheme="majorBidi" w:cstheme="majorBidi"/>
          <w:sz w:val="20"/>
          <w:szCs w:val="20"/>
        </w:rPr>
        <w:t>Ls</w:t>
      </w:r>
      <w:r w:rsidR="00380A5C" w:rsidRPr="008E2F57">
        <w:rPr>
          <w:rFonts w:asciiTheme="majorBidi" w:hAnsiTheme="majorBidi" w:cstheme="majorBidi"/>
          <w:sz w:val="20"/>
          <w:szCs w:val="20"/>
        </w:rPr>
        <w:t>DT ………………………</w:t>
      </w:r>
      <w:r w:rsidR="008E2F57">
        <w:rPr>
          <w:rFonts w:asciiTheme="majorBidi" w:hAnsiTheme="majorBidi" w:cstheme="majorBidi"/>
          <w:sz w:val="20"/>
          <w:szCs w:val="20"/>
        </w:rPr>
        <w:t>…………………………</w:t>
      </w:r>
      <w:r w:rsidR="00380A5C" w:rsidRPr="008E2F57">
        <w:rPr>
          <w:rFonts w:asciiTheme="majorBidi" w:hAnsiTheme="majorBidi" w:cstheme="majorBidi"/>
          <w:sz w:val="20"/>
          <w:szCs w:val="20"/>
        </w:rPr>
        <w:t>………………..</w:t>
      </w:r>
      <w:r w:rsidRPr="008E2F57">
        <w:rPr>
          <w:rFonts w:asciiTheme="majorBidi" w:hAnsiTheme="majorBidi" w:cstheme="majorBidi"/>
          <w:sz w:val="20"/>
          <w:szCs w:val="20"/>
        </w:rPr>
        <w:t>……  2</w:t>
      </w:r>
    </w:p>
    <w:p w14:paraId="3D637A6F" w14:textId="196022CE" w:rsidR="00291040" w:rsidRPr="008E2F57" w:rsidRDefault="00FF5C31" w:rsidP="008E2F57">
      <w:pPr>
        <w:spacing w:after="0" w:line="360" w:lineRule="auto"/>
        <w:jc w:val="both"/>
        <w:rPr>
          <w:rFonts w:asciiTheme="majorBidi" w:hAnsiTheme="majorBidi" w:cstheme="majorBidi"/>
          <w:sz w:val="20"/>
          <w:szCs w:val="20"/>
        </w:rPr>
      </w:pPr>
      <w:r w:rsidRPr="008E2F57">
        <w:rPr>
          <w:rFonts w:asciiTheme="majorBidi" w:hAnsiTheme="majorBidi" w:cstheme="majorBidi"/>
          <w:sz w:val="20"/>
          <w:szCs w:val="20"/>
        </w:rPr>
        <w:t>Web Appendix 2</w:t>
      </w:r>
      <w:r w:rsidR="00291040" w:rsidRPr="008E2F57">
        <w:rPr>
          <w:rFonts w:asciiTheme="majorBidi" w:hAnsiTheme="majorBidi" w:cstheme="majorBidi"/>
          <w:sz w:val="20"/>
          <w:szCs w:val="20"/>
        </w:rPr>
        <w:t>: Reference list for Table 2……………………………</w:t>
      </w:r>
      <w:r w:rsidR="008E2F57">
        <w:rPr>
          <w:rFonts w:asciiTheme="majorBidi" w:hAnsiTheme="majorBidi" w:cstheme="majorBidi"/>
          <w:sz w:val="20"/>
          <w:szCs w:val="20"/>
        </w:rPr>
        <w:t>……………………………</w:t>
      </w:r>
      <w:r w:rsidR="00291040" w:rsidRPr="008E2F57">
        <w:rPr>
          <w:rFonts w:asciiTheme="majorBidi" w:hAnsiTheme="majorBidi" w:cstheme="majorBidi"/>
          <w:sz w:val="20"/>
          <w:szCs w:val="20"/>
        </w:rPr>
        <w:t>……………</w:t>
      </w:r>
      <w:r w:rsidR="001C5FE8" w:rsidRPr="008E2F57">
        <w:rPr>
          <w:rFonts w:asciiTheme="majorBidi" w:hAnsiTheme="majorBidi" w:cstheme="majorBidi"/>
          <w:sz w:val="20"/>
          <w:szCs w:val="20"/>
        </w:rPr>
        <w:t xml:space="preserve"> 7</w:t>
      </w:r>
    </w:p>
    <w:p w14:paraId="2C5CC3E6" w14:textId="77777777" w:rsidR="00380A5C" w:rsidRPr="008E2F57" w:rsidRDefault="00380A5C" w:rsidP="008E2F57">
      <w:pPr>
        <w:pStyle w:val="Default"/>
        <w:spacing w:line="360" w:lineRule="auto"/>
        <w:jc w:val="both"/>
        <w:rPr>
          <w:rFonts w:asciiTheme="majorBidi" w:hAnsiTheme="majorBidi" w:cstheme="majorBidi"/>
          <w:sz w:val="20"/>
          <w:szCs w:val="20"/>
        </w:rPr>
      </w:pPr>
    </w:p>
    <w:p w14:paraId="7DD424A5" w14:textId="77777777" w:rsidR="00380A5C" w:rsidRPr="008E2F57" w:rsidRDefault="00380A5C" w:rsidP="008E2F57">
      <w:pPr>
        <w:pStyle w:val="Default"/>
        <w:spacing w:line="360" w:lineRule="auto"/>
        <w:jc w:val="both"/>
        <w:rPr>
          <w:rFonts w:asciiTheme="majorBidi" w:hAnsiTheme="majorBidi" w:cstheme="majorBidi"/>
          <w:sz w:val="20"/>
          <w:szCs w:val="20"/>
        </w:rPr>
      </w:pPr>
    </w:p>
    <w:p w14:paraId="4E8EC2D4" w14:textId="77777777" w:rsidR="00380A5C" w:rsidRPr="008E2F57" w:rsidRDefault="00380A5C" w:rsidP="008E2F57">
      <w:pPr>
        <w:spacing w:after="0" w:line="360" w:lineRule="auto"/>
        <w:jc w:val="both"/>
        <w:rPr>
          <w:rFonts w:asciiTheme="majorBidi" w:hAnsiTheme="majorBidi" w:cstheme="majorBidi"/>
          <w:sz w:val="20"/>
          <w:szCs w:val="20"/>
        </w:rPr>
      </w:pPr>
      <w:r w:rsidRPr="008E2F57">
        <w:rPr>
          <w:rFonts w:asciiTheme="majorBidi" w:hAnsiTheme="majorBidi" w:cstheme="majorBidi"/>
          <w:sz w:val="20"/>
          <w:szCs w:val="20"/>
        </w:rPr>
        <w:fldChar w:fldCharType="end"/>
      </w:r>
    </w:p>
    <w:p w14:paraId="55D526A4" w14:textId="77777777" w:rsidR="00380A5C" w:rsidRPr="008E2F57" w:rsidRDefault="00380A5C" w:rsidP="008E2F57">
      <w:pPr>
        <w:spacing w:after="0" w:line="360" w:lineRule="auto"/>
        <w:jc w:val="both"/>
        <w:rPr>
          <w:rFonts w:asciiTheme="majorBidi" w:hAnsiTheme="majorBidi" w:cstheme="majorBidi"/>
          <w:sz w:val="20"/>
          <w:szCs w:val="20"/>
        </w:rPr>
      </w:pPr>
    </w:p>
    <w:p w14:paraId="6D38436F" w14:textId="77777777" w:rsidR="00380A5C" w:rsidRPr="008E2F57" w:rsidRDefault="00380A5C" w:rsidP="008E2F57">
      <w:pPr>
        <w:spacing w:after="0" w:line="360" w:lineRule="auto"/>
        <w:jc w:val="both"/>
        <w:rPr>
          <w:rFonts w:asciiTheme="majorBidi" w:hAnsiTheme="majorBidi" w:cstheme="majorBidi"/>
          <w:sz w:val="20"/>
          <w:szCs w:val="20"/>
        </w:rPr>
      </w:pPr>
    </w:p>
    <w:p w14:paraId="227FDBB5" w14:textId="77777777" w:rsidR="00380A5C" w:rsidRPr="008E2F57" w:rsidRDefault="00380A5C" w:rsidP="008E2F57">
      <w:pPr>
        <w:spacing w:after="0" w:line="360" w:lineRule="auto"/>
        <w:jc w:val="both"/>
        <w:rPr>
          <w:rFonts w:asciiTheme="majorBidi" w:hAnsiTheme="majorBidi" w:cstheme="majorBidi"/>
          <w:b/>
          <w:bCs/>
          <w:sz w:val="20"/>
          <w:szCs w:val="20"/>
        </w:rPr>
      </w:pPr>
    </w:p>
    <w:p w14:paraId="1E1C7544" w14:textId="77777777" w:rsidR="00380A5C" w:rsidRPr="008E2F57" w:rsidRDefault="00380A5C" w:rsidP="008E2F57">
      <w:pPr>
        <w:spacing w:after="0" w:line="360" w:lineRule="auto"/>
        <w:jc w:val="both"/>
        <w:rPr>
          <w:rFonts w:asciiTheme="majorBidi" w:hAnsiTheme="majorBidi" w:cstheme="majorBidi"/>
          <w:b/>
          <w:bCs/>
          <w:sz w:val="20"/>
          <w:szCs w:val="20"/>
        </w:rPr>
      </w:pPr>
    </w:p>
    <w:p w14:paraId="44CB6242" w14:textId="77777777" w:rsidR="00380A5C" w:rsidRPr="008E2F57" w:rsidRDefault="00380A5C" w:rsidP="008E2F57">
      <w:pPr>
        <w:spacing w:after="0" w:line="360" w:lineRule="auto"/>
        <w:jc w:val="both"/>
        <w:rPr>
          <w:rFonts w:asciiTheme="majorBidi" w:hAnsiTheme="majorBidi" w:cstheme="majorBidi"/>
          <w:b/>
          <w:bCs/>
          <w:sz w:val="20"/>
          <w:szCs w:val="20"/>
        </w:rPr>
      </w:pPr>
    </w:p>
    <w:p w14:paraId="49854C6D" w14:textId="77777777" w:rsidR="00380A5C" w:rsidRPr="008E2F57" w:rsidRDefault="00380A5C" w:rsidP="008E2F57">
      <w:pPr>
        <w:spacing w:after="0" w:line="360" w:lineRule="auto"/>
        <w:jc w:val="both"/>
        <w:rPr>
          <w:rFonts w:asciiTheme="majorBidi" w:hAnsiTheme="majorBidi" w:cstheme="majorBidi"/>
          <w:b/>
          <w:bCs/>
          <w:sz w:val="20"/>
          <w:szCs w:val="20"/>
        </w:rPr>
      </w:pPr>
    </w:p>
    <w:p w14:paraId="19D1D242" w14:textId="77777777" w:rsidR="00380A5C" w:rsidRPr="008E2F57" w:rsidRDefault="00380A5C" w:rsidP="008E2F57">
      <w:pPr>
        <w:spacing w:after="0" w:line="360" w:lineRule="auto"/>
        <w:jc w:val="both"/>
        <w:rPr>
          <w:rFonts w:asciiTheme="majorBidi" w:hAnsiTheme="majorBidi" w:cstheme="majorBidi"/>
          <w:b/>
          <w:bCs/>
          <w:sz w:val="20"/>
          <w:szCs w:val="20"/>
        </w:rPr>
      </w:pPr>
    </w:p>
    <w:p w14:paraId="217BED98" w14:textId="77777777" w:rsidR="00380A5C" w:rsidRPr="008E2F57" w:rsidRDefault="00380A5C" w:rsidP="008E2F57">
      <w:pPr>
        <w:spacing w:after="0" w:line="360" w:lineRule="auto"/>
        <w:jc w:val="both"/>
        <w:rPr>
          <w:rFonts w:asciiTheme="majorBidi" w:hAnsiTheme="majorBidi" w:cstheme="majorBidi"/>
          <w:b/>
          <w:bCs/>
          <w:sz w:val="20"/>
          <w:szCs w:val="20"/>
        </w:rPr>
      </w:pPr>
    </w:p>
    <w:p w14:paraId="2A569BDD" w14:textId="77777777" w:rsidR="00380A5C" w:rsidRPr="008E2F57" w:rsidRDefault="00380A5C" w:rsidP="008E2F57">
      <w:pPr>
        <w:spacing w:after="0" w:line="360" w:lineRule="auto"/>
        <w:jc w:val="both"/>
        <w:rPr>
          <w:rFonts w:asciiTheme="majorBidi" w:hAnsiTheme="majorBidi" w:cstheme="majorBidi"/>
          <w:b/>
          <w:bCs/>
          <w:sz w:val="20"/>
          <w:szCs w:val="20"/>
        </w:rPr>
      </w:pPr>
    </w:p>
    <w:p w14:paraId="57A6373D" w14:textId="77777777" w:rsidR="00380A5C" w:rsidRPr="008E2F57" w:rsidRDefault="00380A5C" w:rsidP="008E2F57">
      <w:pPr>
        <w:spacing w:after="0" w:line="360" w:lineRule="auto"/>
        <w:jc w:val="both"/>
        <w:rPr>
          <w:rFonts w:asciiTheme="majorBidi" w:hAnsiTheme="majorBidi" w:cstheme="majorBidi"/>
          <w:b/>
          <w:bCs/>
          <w:sz w:val="20"/>
          <w:szCs w:val="20"/>
        </w:rPr>
      </w:pPr>
    </w:p>
    <w:p w14:paraId="1EA203B7" w14:textId="77777777" w:rsidR="00FF5C31" w:rsidRPr="008E2F57" w:rsidRDefault="00FF5C31" w:rsidP="008E2F57">
      <w:pPr>
        <w:spacing w:after="0" w:line="360" w:lineRule="auto"/>
        <w:jc w:val="both"/>
        <w:rPr>
          <w:rFonts w:asciiTheme="majorBidi" w:hAnsiTheme="majorBidi" w:cstheme="majorBidi"/>
          <w:b/>
          <w:bCs/>
          <w:sz w:val="20"/>
          <w:szCs w:val="20"/>
        </w:rPr>
      </w:pPr>
    </w:p>
    <w:p w14:paraId="4875542E" w14:textId="77777777" w:rsidR="00FF5C31" w:rsidRPr="008E2F57" w:rsidRDefault="00FF5C31" w:rsidP="008E2F57">
      <w:pPr>
        <w:spacing w:after="0" w:line="360" w:lineRule="auto"/>
        <w:jc w:val="both"/>
        <w:rPr>
          <w:rFonts w:asciiTheme="majorBidi" w:hAnsiTheme="majorBidi" w:cstheme="majorBidi"/>
          <w:b/>
          <w:bCs/>
          <w:sz w:val="20"/>
          <w:szCs w:val="20"/>
        </w:rPr>
      </w:pPr>
    </w:p>
    <w:p w14:paraId="582B343D" w14:textId="77777777" w:rsidR="00FF5C31" w:rsidRPr="008E2F57" w:rsidRDefault="00FF5C31" w:rsidP="008E2F57">
      <w:pPr>
        <w:spacing w:after="0" w:line="360" w:lineRule="auto"/>
        <w:jc w:val="both"/>
        <w:rPr>
          <w:rFonts w:asciiTheme="majorBidi" w:hAnsiTheme="majorBidi" w:cstheme="majorBidi"/>
          <w:b/>
          <w:bCs/>
          <w:sz w:val="20"/>
          <w:szCs w:val="20"/>
        </w:rPr>
      </w:pPr>
    </w:p>
    <w:p w14:paraId="0C7FE599" w14:textId="77777777" w:rsidR="00380A5C" w:rsidRPr="008E2F57" w:rsidRDefault="00380A5C" w:rsidP="008E2F57">
      <w:pPr>
        <w:spacing w:after="0" w:line="360" w:lineRule="auto"/>
        <w:jc w:val="both"/>
        <w:rPr>
          <w:rFonts w:asciiTheme="majorBidi" w:hAnsiTheme="majorBidi" w:cstheme="majorBidi"/>
          <w:b/>
          <w:bCs/>
          <w:sz w:val="20"/>
          <w:szCs w:val="20"/>
        </w:rPr>
      </w:pPr>
    </w:p>
    <w:p w14:paraId="2197E577" w14:textId="77777777" w:rsidR="00380A5C" w:rsidRPr="008E2F57" w:rsidRDefault="00380A5C" w:rsidP="008E2F57">
      <w:pPr>
        <w:spacing w:after="0" w:line="360" w:lineRule="auto"/>
        <w:jc w:val="both"/>
        <w:rPr>
          <w:rFonts w:asciiTheme="majorBidi" w:hAnsiTheme="majorBidi" w:cstheme="majorBidi"/>
          <w:b/>
          <w:bCs/>
          <w:sz w:val="20"/>
          <w:szCs w:val="20"/>
        </w:rPr>
      </w:pPr>
    </w:p>
    <w:p w14:paraId="5B4AD9A0" w14:textId="77777777" w:rsidR="00380A5C" w:rsidRPr="008E2F57" w:rsidRDefault="00380A5C" w:rsidP="008E2F57">
      <w:pPr>
        <w:spacing w:after="0" w:line="360" w:lineRule="auto"/>
        <w:jc w:val="both"/>
        <w:rPr>
          <w:rFonts w:asciiTheme="majorBidi" w:hAnsiTheme="majorBidi" w:cstheme="majorBidi"/>
          <w:b/>
          <w:bCs/>
          <w:sz w:val="20"/>
          <w:szCs w:val="20"/>
        </w:rPr>
      </w:pPr>
    </w:p>
    <w:p w14:paraId="618BAF55" w14:textId="77777777" w:rsidR="00224E5E" w:rsidRPr="008E2F57" w:rsidRDefault="00224E5E" w:rsidP="008E2F57">
      <w:pPr>
        <w:spacing w:after="0" w:line="360" w:lineRule="auto"/>
        <w:jc w:val="both"/>
        <w:rPr>
          <w:rFonts w:asciiTheme="majorBidi" w:hAnsiTheme="majorBidi" w:cstheme="majorBidi"/>
          <w:sz w:val="20"/>
          <w:szCs w:val="20"/>
        </w:rPr>
      </w:pPr>
    </w:p>
    <w:p w14:paraId="05DAA160" w14:textId="77777777" w:rsidR="0043302E" w:rsidRDefault="0043302E">
      <w:pPr>
        <w:rPr>
          <w:rFonts w:asciiTheme="majorBidi" w:eastAsiaTheme="majorEastAsia" w:hAnsiTheme="majorBidi" w:cstheme="majorBidi"/>
          <w:bCs/>
          <w:kern w:val="2"/>
          <w:sz w:val="20"/>
          <w:szCs w:val="20"/>
          <w:lang w:eastAsia="zh-TW" w:bidi="ar-SA"/>
          <w14:ligatures w14:val="standardContextual"/>
        </w:rPr>
      </w:pPr>
      <w:r>
        <w:rPr>
          <w:rFonts w:asciiTheme="majorBidi" w:hAnsiTheme="majorBidi"/>
          <w:b/>
          <w:bCs/>
          <w:sz w:val="20"/>
          <w:szCs w:val="20"/>
        </w:rPr>
        <w:br w:type="page"/>
      </w:r>
    </w:p>
    <w:p w14:paraId="03FAE371" w14:textId="77777777" w:rsidR="00103487" w:rsidRPr="00103487" w:rsidRDefault="00103487" w:rsidP="002F0FED">
      <w:pPr>
        <w:pStyle w:val="NormalWeb"/>
        <w:spacing w:before="0" w:beforeAutospacing="0" w:after="0" w:afterAutospacing="0" w:line="360" w:lineRule="auto"/>
        <w:ind w:firstLine="397"/>
        <w:jc w:val="both"/>
        <w:rPr>
          <w:sz w:val="20"/>
          <w:szCs w:val="20"/>
        </w:rPr>
      </w:pPr>
      <w:r w:rsidRPr="00103487">
        <w:rPr>
          <w:sz w:val="20"/>
          <w:szCs w:val="20"/>
        </w:rPr>
        <w:lastRenderedPageBreak/>
        <w:t>Platforms (LsDT), highlighting how this technological convergence can substantially enhance real-time broadcasting experiences. Digital Twins serve as virtual replicas of physical systems, utilizing real-time data from various sensors and Internet of Things (IoT) technologies to not only simulate but also predict real-world behaviors and outcomes accurately. This capability becomes critically important in livestreaming environments, where immediate data analysis and interaction are paramount.</w:t>
      </w:r>
    </w:p>
    <w:p w14:paraId="4AF425D0" w14:textId="77777777" w:rsidR="00103487" w:rsidRPr="00103487" w:rsidRDefault="00103487" w:rsidP="002F0FED">
      <w:pPr>
        <w:pStyle w:val="NormalWeb"/>
        <w:spacing w:before="0" w:beforeAutospacing="0" w:after="0" w:afterAutospacing="0" w:line="360" w:lineRule="auto"/>
        <w:ind w:firstLine="397"/>
        <w:jc w:val="both"/>
        <w:rPr>
          <w:sz w:val="20"/>
          <w:szCs w:val="20"/>
        </w:rPr>
      </w:pPr>
      <w:r w:rsidRPr="00103487">
        <w:rPr>
          <w:sz w:val="20"/>
          <w:szCs w:val="20"/>
        </w:rPr>
        <w:t>Web Appendix 1 focuses on explicating the fundamental concepts and applications of DT in general and their specific adaptations in livestreaming scenarios. Here, we explore how Digital Twins can revolutionize live broadcasts by providing broadcasters with tools to predict and resolve issues proactively, ensuring high-quality streaming and personalized viewer engagement.</w:t>
      </w:r>
    </w:p>
    <w:p w14:paraId="135B8C82" w14:textId="77777777" w:rsidR="00103487" w:rsidRPr="00103487" w:rsidRDefault="00103487" w:rsidP="002F0FED">
      <w:pPr>
        <w:pStyle w:val="NormalWeb"/>
        <w:spacing w:before="0" w:beforeAutospacing="0" w:after="0" w:afterAutospacing="0" w:line="360" w:lineRule="auto"/>
        <w:ind w:firstLine="397"/>
        <w:jc w:val="both"/>
        <w:rPr>
          <w:sz w:val="20"/>
          <w:szCs w:val="20"/>
        </w:rPr>
      </w:pPr>
      <w:r w:rsidRPr="00103487">
        <w:rPr>
          <w:sz w:val="20"/>
          <w:szCs w:val="20"/>
        </w:rPr>
        <w:t>Web Appendix 2 extends this discussion by listing detailed references that support the advanced applications of DT in live broadcasting mentioned in the first appendix. This includes scholarly references and practical case studies that exemplify the successful implementation of these technologies in diverse industries.</w:t>
      </w:r>
    </w:p>
    <w:p w14:paraId="3A2A18F0" w14:textId="3F6929D7" w:rsidR="00103487" w:rsidRDefault="00103487" w:rsidP="002F0FED">
      <w:pPr>
        <w:pStyle w:val="NormalWeb"/>
        <w:spacing w:before="0" w:beforeAutospacing="0" w:after="0" w:afterAutospacing="0" w:line="360" w:lineRule="auto"/>
        <w:jc w:val="both"/>
        <w:rPr>
          <w:sz w:val="20"/>
          <w:szCs w:val="20"/>
        </w:rPr>
      </w:pPr>
      <w:r w:rsidRPr="00103487">
        <w:rPr>
          <w:sz w:val="20"/>
          <w:szCs w:val="20"/>
        </w:rPr>
        <w:t>Together, these appendices aim to provide a comprehensive understanding of how Digital Twins can be leveraged to not only foresee and mitigate streaming issues but also to enhance the interactive experience for viewers, making livestreaming platforms more engaging and responsive.</w:t>
      </w:r>
    </w:p>
    <w:p w14:paraId="2C06D4F4" w14:textId="77777777" w:rsidR="00103487" w:rsidRPr="00103487" w:rsidRDefault="00103487" w:rsidP="002F0FED">
      <w:pPr>
        <w:pStyle w:val="NormalWeb"/>
        <w:spacing w:before="0" w:beforeAutospacing="0" w:after="0" w:afterAutospacing="0" w:line="360" w:lineRule="auto"/>
        <w:jc w:val="both"/>
        <w:rPr>
          <w:sz w:val="20"/>
          <w:szCs w:val="20"/>
        </w:rPr>
      </w:pPr>
    </w:p>
    <w:p w14:paraId="46D23269" w14:textId="61960134" w:rsidR="00380A5C" w:rsidRPr="00FA6392" w:rsidRDefault="00FF5C31" w:rsidP="00103487">
      <w:pPr>
        <w:pStyle w:val="Heading1"/>
        <w:spacing w:line="360" w:lineRule="auto"/>
        <w:contextualSpacing w:val="0"/>
        <w:jc w:val="both"/>
        <w:rPr>
          <w:rFonts w:asciiTheme="majorBidi" w:hAnsiTheme="majorBidi"/>
          <w:szCs w:val="24"/>
        </w:rPr>
      </w:pPr>
      <w:r w:rsidRPr="00FA6392">
        <w:rPr>
          <w:rFonts w:asciiTheme="majorBidi" w:hAnsiTheme="majorBidi"/>
          <w:szCs w:val="24"/>
        </w:rPr>
        <w:t>Web Appendix 1</w:t>
      </w:r>
      <w:r w:rsidR="00FA6392" w:rsidRPr="00FA6392">
        <w:rPr>
          <w:rFonts w:asciiTheme="majorBidi" w:hAnsiTheme="majorBidi"/>
          <w:szCs w:val="24"/>
        </w:rPr>
        <w:t xml:space="preserve">. </w:t>
      </w:r>
      <w:r w:rsidR="00F45FF4" w:rsidRPr="00FA6392">
        <w:rPr>
          <w:rFonts w:asciiTheme="majorBidi" w:hAnsiTheme="majorBidi"/>
          <w:szCs w:val="24"/>
        </w:rPr>
        <w:t>More on DT and Ls</w:t>
      </w:r>
      <w:r w:rsidR="00380A5C" w:rsidRPr="00FA6392">
        <w:rPr>
          <w:rFonts w:asciiTheme="majorBidi" w:hAnsiTheme="majorBidi"/>
          <w:szCs w:val="24"/>
        </w:rPr>
        <w:t>DT</w:t>
      </w:r>
    </w:p>
    <w:p w14:paraId="08E4BA84" w14:textId="77777777" w:rsidR="00380A5C" w:rsidRPr="008E2F57" w:rsidRDefault="00380A5C" w:rsidP="0043302E">
      <w:pPr>
        <w:spacing w:after="0" w:line="360" w:lineRule="auto"/>
        <w:ind w:firstLine="397"/>
        <w:jc w:val="both"/>
        <w:rPr>
          <w:rFonts w:asciiTheme="majorBidi" w:hAnsiTheme="majorBidi" w:cstheme="majorBidi"/>
          <w:sz w:val="20"/>
          <w:szCs w:val="20"/>
        </w:rPr>
      </w:pPr>
      <w:r w:rsidRPr="008E2F57">
        <w:rPr>
          <w:rFonts w:asciiTheme="majorBidi" w:hAnsiTheme="majorBidi" w:cstheme="majorBidi"/>
          <w:sz w:val="20"/>
          <w:szCs w:val="20"/>
        </w:rPr>
        <w:t xml:space="preserve">A digital twin is a virtual representation of a real-world entity or a system; in other words, a counterpart of a physical object and a process powered by technologies like machine learning (ML), the </w:t>
      </w:r>
      <w:r w:rsidR="00FF5C31" w:rsidRPr="008E2F57">
        <w:rPr>
          <w:rFonts w:asciiTheme="majorBidi" w:hAnsiTheme="majorBidi" w:cstheme="majorBidi"/>
          <w:sz w:val="20"/>
          <w:szCs w:val="20"/>
        </w:rPr>
        <w:t>Internet</w:t>
      </w:r>
      <w:r w:rsidRPr="008E2F57">
        <w:rPr>
          <w:rFonts w:asciiTheme="majorBidi" w:hAnsiTheme="majorBidi" w:cstheme="majorBidi"/>
          <w:sz w:val="20"/>
          <w:szCs w:val="20"/>
        </w:rPr>
        <w:t xml:space="preserve"> of things (IoT), and analytics. When developing expensive hardware like a cellphone, car, or fighter jet, a virtual model enables virtual collaboration, simulation, or data acquisition for better iterative design. It helps you understand the system’s performance and behavior in a real-world scenario. The virtual replication gives you the answers to the “what if” methods without breaking the prototype. One of the main advantages of a digital twin is that the physical system and its digital twin can co-exist, communicate, and use real-life data from the physical system to improve the simulation.  The DT solution has many layers: For example, the major layer is the IoT edge that can connect a sensor with IoT cloud services.  Sensors can be connected using a WiFi gateway and a Message Queuing Telemetry Transport (MQTT) message broker. </w:t>
      </w:r>
      <w:r w:rsidRPr="008E2F57">
        <w:rPr>
          <w:rFonts w:asciiTheme="majorBidi" w:eastAsia="Times New Roman" w:hAnsiTheme="majorBidi" w:cstheme="majorBidi"/>
          <w:sz w:val="20"/>
          <w:szCs w:val="20"/>
        </w:rPr>
        <w:t>DT technology enables the creation of interactive 3D models within a virtual space, opening up a world of new possibilities for designers, managers, and researchers (Attaran et al., 2024). Indeed, it is considered the core digital technology for realizing cyber-physical systems (CPS).</w:t>
      </w:r>
      <w:r w:rsidRPr="008E2F57">
        <w:rPr>
          <w:rFonts w:asciiTheme="majorBidi" w:hAnsiTheme="majorBidi" w:cstheme="majorBidi"/>
          <w:sz w:val="20"/>
          <w:szCs w:val="20"/>
        </w:rPr>
        <w:t xml:space="preserve"> Digital twins are used across industries in several ways. For example, healthcare utilizes this capability for clinical diagnoses, learning, and training, while sectors such as automotive use the ability to optimize the manufacturing value chain, supply chain, product innovation, and enhancements. </w:t>
      </w:r>
    </w:p>
    <w:p w14:paraId="49D421A9" w14:textId="512F69C8" w:rsidR="00380A5C" w:rsidRPr="008E2F57" w:rsidRDefault="00380A5C" w:rsidP="0043302E">
      <w:pPr>
        <w:spacing w:after="0" w:line="360" w:lineRule="auto"/>
        <w:ind w:firstLine="397"/>
        <w:jc w:val="both"/>
        <w:rPr>
          <w:rFonts w:asciiTheme="majorBidi" w:hAnsiTheme="majorBidi" w:cstheme="majorBidi"/>
          <w:sz w:val="20"/>
          <w:szCs w:val="20"/>
        </w:rPr>
      </w:pPr>
      <w:r w:rsidRPr="008E2F57">
        <w:rPr>
          <w:rFonts w:asciiTheme="majorBidi" w:hAnsiTheme="majorBidi" w:cstheme="majorBidi"/>
          <w:sz w:val="20"/>
          <w:szCs w:val="20"/>
        </w:rPr>
        <w:t>Why are digital twins important? Hardware-software partitioning in a parallel design cycle development environment accelerates design schedules. An integrated emulation and prototyping solution can maintain the design integrity that enables iterative and simultaneous verification, which can handle tasks of varied sizes and execution lengths, from smaller IP blocks to subsystems up to the system on a chip (SoC) level. It is also essential to extend this verification effort across the enterprise to other designs being developed concurrently. When managing multiple SoC design projects, it is critical to have a platform that bridges the verification productivity gap to accelerate the verification of SoCs, subsystems, IP blocks, and system-level validation. It is also essential to take a holistic view of the parameters when evaluating emulation throughput. Using a digital twin allows you to verify a chip and the software on that chip. The combined use of the Dynamic Duo emulation and prototyping platforms makes it possible to transition quickly and effortlessly from debugging a chip on the emulation platform to debugging the software running on that chip with the prototyping platform. Digital twins play a crucial role in redefining the emulation architecture with microprocessor-based technology. With digital twin deployments, customers immediately realize improved access to data. As a digital twin matures, other benefits include reduced maintenance costs, more informed process change decisions with large potential savings, and improvements in maintenance and operational efficiency. Having better designs from the start pays dividends over a project’s lifetime, as 80–90% of costs incurred during the production, use, and maintenance of a facility are determined at the design stage. Using digital twins in marketing can improve multiuser collaboration and communication. The ability to interact with data in real-time is changing the way marketing makes decisions. The power to visualize and simulate complex operations in real-time 3D has elevated how people interact with their assets, transforming the way virtually every physical space and asset on the planet is created, built, and operated. The logical design patters for DTs can be found in the article by Sanabria et al. (2022) also outline the integration levels of DTs:</w:t>
      </w:r>
    </w:p>
    <w:p w14:paraId="31898B92" w14:textId="77777777" w:rsidR="00616FEC" w:rsidRDefault="00616FEC" w:rsidP="008E2F57">
      <w:pPr>
        <w:spacing w:after="0" w:line="360" w:lineRule="auto"/>
        <w:jc w:val="both"/>
        <w:rPr>
          <w:rFonts w:asciiTheme="majorBidi" w:hAnsiTheme="majorBidi" w:cstheme="majorBidi"/>
          <w:b/>
          <w:bCs/>
          <w:sz w:val="20"/>
          <w:szCs w:val="20"/>
        </w:rPr>
      </w:pPr>
    </w:p>
    <w:p w14:paraId="5492FCB8" w14:textId="06E8F19B" w:rsidR="00380A5C" w:rsidRPr="00FA6392" w:rsidRDefault="00F45FF4" w:rsidP="008E2F57">
      <w:pPr>
        <w:spacing w:after="0" w:line="360" w:lineRule="auto"/>
        <w:jc w:val="both"/>
        <w:rPr>
          <w:rFonts w:asciiTheme="majorBidi" w:hAnsiTheme="majorBidi" w:cstheme="majorBidi"/>
          <w:b/>
          <w:bCs/>
          <w:sz w:val="20"/>
          <w:szCs w:val="20"/>
        </w:rPr>
      </w:pPr>
      <w:r w:rsidRPr="00FA6392">
        <w:rPr>
          <w:rFonts w:asciiTheme="majorBidi" w:hAnsiTheme="majorBidi" w:cstheme="majorBidi"/>
          <w:b/>
          <w:bCs/>
          <w:sz w:val="20"/>
          <w:szCs w:val="20"/>
        </w:rPr>
        <w:t>Ls</w:t>
      </w:r>
      <w:r w:rsidR="00380A5C" w:rsidRPr="00FA6392">
        <w:rPr>
          <w:rFonts w:asciiTheme="majorBidi" w:hAnsiTheme="majorBidi" w:cstheme="majorBidi"/>
          <w:b/>
          <w:bCs/>
          <w:sz w:val="20"/>
          <w:szCs w:val="20"/>
        </w:rPr>
        <w:t>DT</w:t>
      </w:r>
    </w:p>
    <w:p w14:paraId="25F6057F" w14:textId="77777777" w:rsidR="00380A5C" w:rsidRPr="008E2F57" w:rsidRDefault="00F45FF4" w:rsidP="0043302E">
      <w:pPr>
        <w:spacing w:after="0" w:line="360" w:lineRule="auto"/>
        <w:ind w:firstLine="397"/>
        <w:jc w:val="both"/>
        <w:rPr>
          <w:rFonts w:asciiTheme="majorBidi" w:hAnsiTheme="majorBidi" w:cstheme="majorBidi"/>
          <w:sz w:val="20"/>
          <w:szCs w:val="20"/>
        </w:rPr>
      </w:pPr>
      <w:r w:rsidRPr="008E2F57">
        <w:rPr>
          <w:rFonts w:asciiTheme="majorBidi" w:hAnsiTheme="majorBidi" w:cstheme="majorBidi"/>
          <w:sz w:val="20"/>
          <w:szCs w:val="20"/>
        </w:rPr>
        <w:t>Ls</w:t>
      </w:r>
      <w:r w:rsidR="00380A5C" w:rsidRPr="008E2F57">
        <w:rPr>
          <w:rFonts w:asciiTheme="majorBidi" w:hAnsiTheme="majorBidi" w:cstheme="majorBidi"/>
          <w:sz w:val="20"/>
          <w:szCs w:val="20"/>
        </w:rPr>
        <w:t>DT refers to a virtual representation or model of a smart interactions, incorporating various aspects of their physical, biological, and behavioral characteristics. This concept is part of the broader trend of creating cockpit digital twins, which are virtual replicas of real-world entit</w:t>
      </w:r>
      <w:r w:rsidRPr="008E2F57">
        <w:rPr>
          <w:rFonts w:asciiTheme="majorBidi" w:hAnsiTheme="majorBidi" w:cstheme="majorBidi"/>
          <w:sz w:val="20"/>
          <w:szCs w:val="20"/>
        </w:rPr>
        <w:t>ies or systems. The goal of a Ls</w:t>
      </w:r>
      <w:r w:rsidR="00380A5C" w:rsidRPr="008E2F57">
        <w:rPr>
          <w:rFonts w:asciiTheme="majorBidi" w:hAnsiTheme="majorBidi" w:cstheme="majorBidi"/>
          <w:sz w:val="20"/>
          <w:szCs w:val="20"/>
        </w:rPr>
        <w:t>DT is to simulate and analyze different facets of a smart product. This can be achieved by collecting and integrating data from various sources, including wearable devices, company records, social media activity, and more.</w:t>
      </w:r>
    </w:p>
    <w:p w14:paraId="6A3DAD21" w14:textId="77777777" w:rsidR="00380A5C" w:rsidRPr="008E2F57" w:rsidRDefault="00F45FF4" w:rsidP="0043302E">
      <w:pPr>
        <w:spacing w:after="0" w:line="360" w:lineRule="auto"/>
        <w:ind w:firstLine="397"/>
        <w:jc w:val="both"/>
        <w:rPr>
          <w:rFonts w:asciiTheme="majorBidi" w:eastAsia="Calibri" w:hAnsiTheme="majorBidi" w:cstheme="majorBidi"/>
          <w:sz w:val="20"/>
          <w:szCs w:val="20"/>
          <w:shd w:val="clear" w:color="auto" w:fill="FFFFFF"/>
        </w:rPr>
      </w:pPr>
      <w:r w:rsidRPr="008E2F57">
        <w:rPr>
          <w:rFonts w:asciiTheme="majorBidi" w:hAnsiTheme="majorBidi" w:cstheme="majorBidi"/>
          <w:sz w:val="20"/>
          <w:szCs w:val="20"/>
        </w:rPr>
        <w:t>The Ls</w:t>
      </w:r>
      <w:r w:rsidR="00380A5C" w:rsidRPr="008E2F57">
        <w:rPr>
          <w:rFonts w:asciiTheme="majorBidi" w:hAnsiTheme="majorBidi" w:cstheme="majorBidi"/>
          <w:sz w:val="20"/>
          <w:szCs w:val="20"/>
        </w:rPr>
        <w:t xml:space="preserve">DT concept has potential applications in an array of interactive marketing domains, including healthcare, and overall well-being. By creating an accurate and dynamic digital representation of a smart product, researchers and managers can gain insights into product status, predict potential issues, and tailor interventions or recommendations to specific needs. </w:t>
      </w:r>
      <w:r w:rsidRPr="008E2F57">
        <w:rPr>
          <w:rFonts w:asciiTheme="majorBidi" w:eastAsia="Calibri" w:hAnsiTheme="majorBidi" w:cstheme="majorBidi"/>
          <w:sz w:val="20"/>
          <w:szCs w:val="20"/>
          <w:shd w:val="clear" w:color="auto" w:fill="FFFFFF"/>
        </w:rPr>
        <w:t>Ls</w:t>
      </w:r>
      <w:r w:rsidR="00380A5C" w:rsidRPr="008E2F57">
        <w:rPr>
          <w:rFonts w:asciiTheme="majorBidi" w:eastAsia="Calibri" w:hAnsiTheme="majorBidi" w:cstheme="majorBidi"/>
          <w:sz w:val="20"/>
          <w:szCs w:val="20"/>
          <w:shd w:val="clear" w:color="auto" w:fill="FFFFFF"/>
        </w:rPr>
        <w:t>DT takes into account real-time data, simulation data, and the fusion of physical and virtual data to meet the needs for personalization and responsiveness. Based</w:t>
      </w:r>
      <w:r w:rsidRPr="008E2F57">
        <w:rPr>
          <w:rFonts w:asciiTheme="majorBidi" w:eastAsia="Calibri" w:hAnsiTheme="majorBidi" w:cstheme="majorBidi"/>
          <w:sz w:val="20"/>
          <w:szCs w:val="20"/>
          <w:shd w:val="clear" w:color="auto" w:fill="FFFFFF"/>
        </w:rPr>
        <w:t xml:space="preserve"> on abundant data and models, Ls</w:t>
      </w:r>
      <w:r w:rsidR="00380A5C" w:rsidRPr="008E2F57">
        <w:rPr>
          <w:rFonts w:asciiTheme="majorBidi" w:eastAsia="Calibri" w:hAnsiTheme="majorBidi" w:cstheme="majorBidi"/>
          <w:sz w:val="20"/>
          <w:szCs w:val="20"/>
          <w:shd w:val="clear" w:color="auto" w:fill="FFFFFF"/>
        </w:rPr>
        <w:t>DT can construct multi-scale product models to fit different application scenarios and needs for fidelity.</w:t>
      </w:r>
    </w:p>
    <w:p w14:paraId="22B8569F" w14:textId="77777777" w:rsidR="0043302E" w:rsidRDefault="0043302E" w:rsidP="0043302E">
      <w:pPr>
        <w:spacing w:after="0" w:line="360" w:lineRule="auto"/>
        <w:jc w:val="center"/>
        <w:rPr>
          <w:rFonts w:asciiTheme="majorBidi" w:eastAsia="Calibri" w:hAnsiTheme="majorBidi" w:cstheme="majorBidi"/>
          <w:b/>
          <w:bCs/>
          <w:sz w:val="20"/>
          <w:szCs w:val="20"/>
        </w:rPr>
      </w:pPr>
    </w:p>
    <w:p w14:paraId="1DB7D6C8" w14:textId="77777777" w:rsidR="002F0FED" w:rsidRDefault="002F0FED">
      <w:pPr>
        <w:rPr>
          <w:rFonts w:asciiTheme="majorBidi" w:eastAsia="Calibri" w:hAnsiTheme="majorBidi" w:cstheme="majorBidi"/>
          <w:b/>
          <w:bCs/>
          <w:sz w:val="20"/>
          <w:szCs w:val="20"/>
        </w:rPr>
      </w:pPr>
      <w:r>
        <w:rPr>
          <w:rFonts w:asciiTheme="majorBidi" w:eastAsia="Calibri" w:hAnsiTheme="majorBidi" w:cstheme="majorBidi"/>
          <w:b/>
          <w:bCs/>
          <w:sz w:val="20"/>
          <w:szCs w:val="20"/>
        </w:rPr>
        <w:br w:type="page"/>
      </w:r>
    </w:p>
    <w:p w14:paraId="437451E9" w14:textId="3962C8A3" w:rsidR="00380A5C" w:rsidRPr="0043302E" w:rsidRDefault="00380A5C" w:rsidP="0043302E">
      <w:pPr>
        <w:spacing w:after="0" w:line="360" w:lineRule="auto"/>
        <w:jc w:val="center"/>
        <w:rPr>
          <w:rFonts w:asciiTheme="majorBidi" w:eastAsia="Calibri" w:hAnsiTheme="majorBidi" w:cstheme="majorBidi"/>
          <w:b/>
          <w:bCs/>
          <w:sz w:val="20"/>
          <w:szCs w:val="20"/>
        </w:rPr>
      </w:pPr>
      <w:r w:rsidRPr="0043302E">
        <w:rPr>
          <w:rFonts w:asciiTheme="majorBidi" w:eastAsia="Calibri" w:hAnsiTheme="majorBidi" w:cstheme="majorBidi"/>
          <w:b/>
          <w:bCs/>
          <w:sz w:val="20"/>
          <w:szCs w:val="20"/>
        </w:rPr>
        <w:t>Table 1</w:t>
      </w:r>
      <w:r w:rsidR="0043302E">
        <w:rPr>
          <w:rFonts w:asciiTheme="majorBidi" w:eastAsia="Calibri" w:hAnsiTheme="majorBidi" w:cstheme="majorBidi"/>
          <w:b/>
          <w:bCs/>
          <w:sz w:val="20"/>
          <w:szCs w:val="20"/>
        </w:rPr>
        <w:t xml:space="preserve">. </w:t>
      </w:r>
      <w:r w:rsidRPr="0043302E">
        <w:rPr>
          <w:rFonts w:asciiTheme="majorBidi" w:eastAsia="Calibri" w:hAnsiTheme="majorBidi" w:cstheme="majorBidi"/>
          <w:b/>
          <w:bCs/>
          <w:sz w:val="20"/>
          <w:szCs w:val="20"/>
        </w:rPr>
        <w:t>Major DT Characteristics</w:t>
      </w:r>
    </w:p>
    <w:tbl>
      <w:tblPr>
        <w:tblStyle w:val="TableGrid"/>
        <w:tblpPr w:leftFromText="180" w:rightFromText="180" w:vertAnchor="text" w:tblpXSpec="center" w:tblpY="1"/>
        <w:tblOverlap w:val="never"/>
        <w:tblW w:w="940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871"/>
        <w:gridCol w:w="7536"/>
      </w:tblGrid>
      <w:tr w:rsidR="00380A5C" w:rsidRPr="00380A5C" w14:paraId="099FE2E6" w14:textId="77777777" w:rsidTr="0043302E">
        <w:trPr>
          <w:trHeight w:val="170"/>
          <w:jc w:val="center"/>
        </w:trPr>
        <w:tc>
          <w:tcPr>
            <w:tcW w:w="1871" w:type="dxa"/>
            <w:tcBorders>
              <w:top w:val="single" w:sz="12" w:space="0" w:color="auto"/>
              <w:bottom w:val="single" w:sz="4" w:space="0" w:color="auto"/>
            </w:tcBorders>
            <w:vAlign w:val="center"/>
          </w:tcPr>
          <w:p w14:paraId="60773F6B" w14:textId="77777777" w:rsidR="00380A5C" w:rsidRPr="00217196" w:rsidRDefault="00380A5C" w:rsidP="002E12BC">
            <w:pPr>
              <w:rPr>
                <w:rFonts w:asciiTheme="majorBidi" w:eastAsia="Calibri" w:hAnsiTheme="majorBidi" w:cstheme="majorBidi"/>
                <w:sz w:val="20"/>
                <w:szCs w:val="20"/>
              </w:rPr>
            </w:pPr>
            <w:r w:rsidRPr="00217196">
              <w:rPr>
                <w:rFonts w:asciiTheme="majorBidi" w:eastAsia="Calibri" w:hAnsiTheme="majorBidi" w:cstheme="majorBidi"/>
                <w:sz w:val="20"/>
                <w:szCs w:val="20"/>
              </w:rPr>
              <w:t>Characteristics</w:t>
            </w:r>
          </w:p>
        </w:tc>
        <w:tc>
          <w:tcPr>
            <w:tcW w:w="7536" w:type="dxa"/>
            <w:tcBorders>
              <w:top w:val="single" w:sz="12" w:space="0" w:color="auto"/>
              <w:bottom w:val="single" w:sz="4" w:space="0" w:color="auto"/>
            </w:tcBorders>
            <w:vAlign w:val="center"/>
          </w:tcPr>
          <w:p w14:paraId="59C8DBAA" w14:textId="77777777" w:rsidR="00380A5C" w:rsidRPr="00217196" w:rsidRDefault="00380A5C" w:rsidP="002E12BC">
            <w:pPr>
              <w:jc w:val="center"/>
              <w:rPr>
                <w:rFonts w:asciiTheme="majorBidi" w:eastAsia="Calibri" w:hAnsiTheme="majorBidi" w:cstheme="majorBidi"/>
                <w:sz w:val="20"/>
                <w:szCs w:val="20"/>
              </w:rPr>
            </w:pPr>
            <w:r w:rsidRPr="00217196">
              <w:rPr>
                <w:rFonts w:asciiTheme="majorBidi" w:eastAsia="Calibri" w:hAnsiTheme="majorBidi" w:cstheme="majorBidi"/>
                <w:sz w:val="20"/>
                <w:szCs w:val="20"/>
              </w:rPr>
              <w:t>Description</w:t>
            </w:r>
          </w:p>
        </w:tc>
      </w:tr>
      <w:tr w:rsidR="00380A5C" w:rsidRPr="00380A5C" w14:paraId="6CA07166" w14:textId="77777777" w:rsidTr="0043302E">
        <w:trPr>
          <w:trHeight w:val="170"/>
          <w:jc w:val="center"/>
        </w:trPr>
        <w:tc>
          <w:tcPr>
            <w:tcW w:w="1871" w:type="dxa"/>
            <w:tcBorders>
              <w:top w:val="single" w:sz="4" w:space="0" w:color="auto"/>
              <w:bottom w:val="nil"/>
            </w:tcBorders>
            <w:vAlign w:val="center"/>
          </w:tcPr>
          <w:p w14:paraId="55D058BC"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State</w:t>
            </w:r>
          </w:p>
        </w:tc>
        <w:tc>
          <w:tcPr>
            <w:tcW w:w="7536" w:type="dxa"/>
            <w:tcBorders>
              <w:top w:val="single" w:sz="4" w:space="0" w:color="auto"/>
              <w:bottom w:val="nil"/>
            </w:tcBorders>
            <w:vAlign w:val="center"/>
          </w:tcPr>
          <w:p w14:paraId="34E91391"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The value of all parameters of both the physical and virtual twin in their environment</w:t>
            </w:r>
          </w:p>
        </w:tc>
      </w:tr>
      <w:tr w:rsidR="00380A5C" w:rsidRPr="00380A5C" w14:paraId="6300188A" w14:textId="77777777" w:rsidTr="0043302E">
        <w:trPr>
          <w:trHeight w:val="170"/>
          <w:jc w:val="center"/>
        </w:trPr>
        <w:tc>
          <w:tcPr>
            <w:tcW w:w="1871" w:type="dxa"/>
            <w:tcBorders>
              <w:top w:val="nil"/>
              <w:bottom w:val="nil"/>
            </w:tcBorders>
            <w:vAlign w:val="center"/>
          </w:tcPr>
          <w:p w14:paraId="622B3A15"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Physical process</w:t>
            </w:r>
          </w:p>
        </w:tc>
        <w:tc>
          <w:tcPr>
            <w:tcW w:w="7536" w:type="dxa"/>
            <w:tcBorders>
              <w:top w:val="nil"/>
              <w:bottom w:val="nil"/>
            </w:tcBorders>
            <w:vAlign w:val="center"/>
          </w:tcPr>
          <w:p w14:paraId="2F60245A"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 xml:space="preserve">The process in the real-system environment that will change or  </w:t>
            </w:r>
          </w:p>
          <w:p w14:paraId="165F59AE"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impact the state of the physical twin</w:t>
            </w:r>
          </w:p>
        </w:tc>
      </w:tr>
      <w:tr w:rsidR="00380A5C" w:rsidRPr="00380A5C" w14:paraId="625A1D85" w14:textId="77777777" w:rsidTr="0043302E">
        <w:trPr>
          <w:trHeight w:val="170"/>
          <w:jc w:val="center"/>
        </w:trPr>
        <w:tc>
          <w:tcPr>
            <w:tcW w:w="1871" w:type="dxa"/>
            <w:tcBorders>
              <w:top w:val="nil"/>
              <w:bottom w:val="nil"/>
            </w:tcBorders>
          </w:tcPr>
          <w:p w14:paraId="15BA460B"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 xml:space="preserve">Virtual process                                  </w:t>
            </w:r>
          </w:p>
        </w:tc>
        <w:tc>
          <w:tcPr>
            <w:tcW w:w="7536" w:type="dxa"/>
            <w:tcBorders>
              <w:top w:val="nil"/>
              <w:bottom w:val="nil"/>
            </w:tcBorders>
          </w:tcPr>
          <w:p w14:paraId="261DDAA8"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The process in the virtual environment (e.g., research) that will change or impact the state of the virtual twin</w:t>
            </w:r>
          </w:p>
        </w:tc>
      </w:tr>
      <w:tr w:rsidR="00380A5C" w:rsidRPr="00380A5C" w14:paraId="5E5D35F2" w14:textId="77777777" w:rsidTr="0043302E">
        <w:trPr>
          <w:trHeight w:val="170"/>
          <w:jc w:val="center"/>
        </w:trPr>
        <w:tc>
          <w:tcPr>
            <w:tcW w:w="1871" w:type="dxa"/>
            <w:tcBorders>
              <w:top w:val="nil"/>
              <w:bottom w:val="nil"/>
            </w:tcBorders>
            <w:vAlign w:val="center"/>
          </w:tcPr>
          <w:p w14:paraId="362B63E3"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Virtual environment</w:t>
            </w:r>
          </w:p>
        </w:tc>
        <w:tc>
          <w:tcPr>
            <w:tcW w:w="7536" w:type="dxa"/>
            <w:tcBorders>
              <w:top w:val="nil"/>
              <w:bottom w:val="nil"/>
            </w:tcBorders>
            <w:vAlign w:val="center"/>
          </w:tcPr>
          <w:p w14:paraId="39A3DCDF"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The technology-based environment in which the virtual twin exists</w:t>
            </w:r>
          </w:p>
        </w:tc>
      </w:tr>
      <w:tr w:rsidR="00380A5C" w:rsidRPr="00380A5C" w14:paraId="581CCDA5" w14:textId="77777777" w:rsidTr="0043302E">
        <w:trPr>
          <w:trHeight w:val="170"/>
          <w:jc w:val="center"/>
        </w:trPr>
        <w:tc>
          <w:tcPr>
            <w:tcW w:w="1871" w:type="dxa"/>
            <w:tcBorders>
              <w:top w:val="nil"/>
              <w:bottom w:val="nil"/>
            </w:tcBorders>
            <w:vAlign w:val="center"/>
          </w:tcPr>
          <w:p w14:paraId="38EB6413"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Physical entity (twin)</w:t>
            </w:r>
          </w:p>
        </w:tc>
        <w:tc>
          <w:tcPr>
            <w:tcW w:w="7536" w:type="dxa"/>
            <w:tcBorders>
              <w:top w:val="nil"/>
              <w:bottom w:val="nil"/>
            </w:tcBorders>
            <w:vAlign w:val="center"/>
          </w:tcPr>
          <w:p w14:paraId="396AFA9B"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The real entity (e.g., products, consumers, firms, devices)</w:t>
            </w:r>
          </w:p>
        </w:tc>
      </w:tr>
      <w:tr w:rsidR="00380A5C" w:rsidRPr="00380A5C" w14:paraId="6562F809" w14:textId="77777777" w:rsidTr="0043302E">
        <w:trPr>
          <w:trHeight w:val="170"/>
          <w:jc w:val="center"/>
        </w:trPr>
        <w:tc>
          <w:tcPr>
            <w:tcW w:w="1871" w:type="dxa"/>
            <w:tcBorders>
              <w:top w:val="nil"/>
              <w:bottom w:val="nil"/>
            </w:tcBorders>
            <w:vAlign w:val="center"/>
          </w:tcPr>
          <w:p w14:paraId="640A1BC4"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Virtuality</w:t>
            </w:r>
          </w:p>
        </w:tc>
        <w:tc>
          <w:tcPr>
            <w:tcW w:w="7536" w:type="dxa"/>
            <w:tcBorders>
              <w:top w:val="nil"/>
              <w:bottom w:val="nil"/>
            </w:tcBorders>
            <w:vAlign w:val="center"/>
          </w:tcPr>
          <w:p w14:paraId="72D80C76"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The virtual digital twin synchronized with the physical</w:t>
            </w:r>
            <w:r w:rsidRPr="0043302E">
              <w:rPr>
                <w:rFonts w:asciiTheme="majorBidi" w:eastAsia="Calibri" w:hAnsiTheme="majorBidi" w:cstheme="majorBidi"/>
                <w:sz w:val="20"/>
                <w:szCs w:val="20"/>
                <w:rtl/>
              </w:rPr>
              <w:t xml:space="preserve"> </w:t>
            </w:r>
            <w:r w:rsidRPr="0043302E">
              <w:rPr>
                <w:rFonts w:asciiTheme="majorBidi" w:eastAsia="Calibri" w:hAnsiTheme="majorBidi" w:cstheme="majorBidi"/>
                <w:sz w:val="20"/>
                <w:szCs w:val="20"/>
              </w:rPr>
              <w:t>entity at a twinning rate</w:t>
            </w:r>
          </w:p>
        </w:tc>
      </w:tr>
      <w:tr w:rsidR="00380A5C" w:rsidRPr="00380A5C" w14:paraId="52275957" w14:textId="77777777" w:rsidTr="0043302E">
        <w:trPr>
          <w:trHeight w:val="170"/>
          <w:jc w:val="center"/>
        </w:trPr>
        <w:tc>
          <w:tcPr>
            <w:tcW w:w="1871" w:type="dxa"/>
            <w:tcBorders>
              <w:top w:val="nil"/>
              <w:bottom w:val="nil"/>
            </w:tcBorders>
            <w:vAlign w:val="center"/>
          </w:tcPr>
          <w:p w14:paraId="20D26423"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Synchronization &amp; integration (twinning)</w:t>
            </w:r>
            <w:r w:rsidRPr="0043302E">
              <w:rPr>
                <w:rFonts w:asciiTheme="majorBidi" w:eastAsia="Calibri" w:hAnsiTheme="majorBidi" w:cstheme="majorBidi"/>
                <w:sz w:val="20"/>
                <w:szCs w:val="20"/>
              </w:rPr>
              <w:tab/>
            </w:r>
          </w:p>
        </w:tc>
        <w:tc>
          <w:tcPr>
            <w:tcW w:w="7536" w:type="dxa"/>
            <w:tcBorders>
              <w:top w:val="nil"/>
              <w:bottom w:val="nil"/>
            </w:tcBorders>
            <w:vAlign w:val="center"/>
          </w:tcPr>
          <w:p w14:paraId="425857A6"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Real-time integration and convergence of physical systems and their digital</w:t>
            </w:r>
            <w:r w:rsidRPr="0043302E">
              <w:rPr>
                <w:rFonts w:asciiTheme="majorBidi" w:eastAsia="Calibri" w:hAnsiTheme="majorBidi" w:cstheme="majorBidi"/>
                <w:sz w:val="20"/>
                <w:szCs w:val="20"/>
                <w:rtl/>
              </w:rPr>
              <w:t xml:space="preserve"> </w:t>
            </w:r>
            <w:r w:rsidRPr="0043302E">
              <w:rPr>
                <w:rFonts w:asciiTheme="majorBidi" w:eastAsia="Calibri" w:hAnsiTheme="majorBidi" w:cstheme="majorBidi"/>
                <w:sz w:val="20"/>
                <w:szCs w:val="20"/>
              </w:rPr>
              <w:t>counterparts</w:t>
            </w:r>
          </w:p>
        </w:tc>
      </w:tr>
      <w:tr w:rsidR="00380A5C" w:rsidRPr="00380A5C" w14:paraId="4DA758AD" w14:textId="77777777" w:rsidTr="0043302E">
        <w:trPr>
          <w:trHeight w:val="170"/>
          <w:jc w:val="center"/>
        </w:trPr>
        <w:tc>
          <w:tcPr>
            <w:tcW w:w="1871" w:type="dxa"/>
            <w:tcBorders>
              <w:top w:val="nil"/>
              <w:bottom w:val="nil"/>
            </w:tcBorders>
            <w:vAlign w:val="center"/>
          </w:tcPr>
          <w:p w14:paraId="4A9B36DF"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Twinning rate</w:t>
            </w:r>
          </w:p>
        </w:tc>
        <w:tc>
          <w:tcPr>
            <w:tcW w:w="7536" w:type="dxa"/>
            <w:tcBorders>
              <w:top w:val="nil"/>
              <w:bottom w:val="nil"/>
            </w:tcBorders>
            <w:vAlign w:val="center"/>
          </w:tcPr>
          <w:p w14:paraId="3F94E1CD"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The rate or frequency at which synchronization occurs</w:t>
            </w:r>
          </w:p>
        </w:tc>
      </w:tr>
      <w:tr w:rsidR="00380A5C" w:rsidRPr="00380A5C" w14:paraId="4B9B7182" w14:textId="77777777" w:rsidTr="0043302E">
        <w:trPr>
          <w:trHeight w:val="170"/>
          <w:jc w:val="center"/>
        </w:trPr>
        <w:tc>
          <w:tcPr>
            <w:tcW w:w="1871" w:type="dxa"/>
            <w:tcBorders>
              <w:top w:val="nil"/>
              <w:bottom w:val="nil"/>
            </w:tcBorders>
            <w:vAlign w:val="center"/>
          </w:tcPr>
          <w:p w14:paraId="2801D192"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Networking devices</w:t>
            </w:r>
          </w:p>
        </w:tc>
        <w:tc>
          <w:tcPr>
            <w:tcW w:w="7536" w:type="dxa"/>
            <w:tcBorders>
              <w:top w:val="nil"/>
              <w:bottom w:val="nil"/>
            </w:tcBorders>
            <w:vAlign w:val="center"/>
          </w:tcPr>
          <w:p w14:paraId="68D19704"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Physical or cloud-based communication devices for data exchange</w:t>
            </w:r>
          </w:p>
        </w:tc>
      </w:tr>
      <w:tr w:rsidR="00380A5C" w:rsidRPr="00380A5C" w14:paraId="3F4C9A5E" w14:textId="77777777" w:rsidTr="0043302E">
        <w:trPr>
          <w:trHeight w:val="170"/>
          <w:jc w:val="center"/>
        </w:trPr>
        <w:tc>
          <w:tcPr>
            <w:tcW w:w="1871" w:type="dxa"/>
            <w:tcBorders>
              <w:top w:val="nil"/>
              <w:bottom w:val="nil"/>
            </w:tcBorders>
            <w:vAlign w:val="center"/>
          </w:tcPr>
          <w:p w14:paraId="255E6823"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Cloud computing</w:t>
            </w:r>
          </w:p>
        </w:tc>
        <w:tc>
          <w:tcPr>
            <w:tcW w:w="7536" w:type="dxa"/>
            <w:tcBorders>
              <w:top w:val="nil"/>
              <w:bottom w:val="nil"/>
            </w:tcBorders>
            <w:vAlign w:val="center"/>
          </w:tcPr>
          <w:p w14:paraId="31CDCD60"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The delivery of computing services, including servers, storage, databases, networking, software, research, and intelligence—over the internet (“the cloud”) to offer faster innovation, flexible resources, and economies of scale</w:t>
            </w:r>
          </w:p>
        </w:tc>
      </w:tr>
      <w:tr w:rsidR="00380A5C" w:rsidRPr="00380A5C" w14:paraId="26AA662B" w14:textId="77777777" w:rsidTr="0043302E">
        <w:trPr>
          <w:trHeight w:val="170"/>
          <w:jc w:val="center"/>
        </w:trPr>
        <w:tc>
          <w:tcPr>
            <w:tcW w:w="1871" w:type="dxa"/>
            <w:tcBorders>
              <w:top w:val="nil"/>
              <w:bottom w:val="nil"/>
            </w:tcBorders>
            <w:vAlign w:val="center"/>
          </w:tcPr>
          <w:p w14:paraId="78CACE5A"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Data storage</w:t>
            </w:r>
          </w:p>
        </w:tc>
        <w:tc>
          <w:tcPr>
            <w:tcW w:w="7536" w:type="dxa"/>
            <w:tcBorders>
              <w:top w:val="nil"/>
              <w:bottom w:val="nil"/>
            </w:tcBorders>
            <w:vAlign w:val="center"/>
          </w:tcPr>
          <w:p w14:paraId="175B5A78"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Acquiring historic data of an entity for data comprehension</w:t>
            </w:r>
          </w:p>
        </w:tc>
      </w:tr>
      <w:tr w:rsidR="00380A5C" w:rsidRPr="00380A5C" w14:paraId="6D727ED0" w14:textId="77777777" w:rsidTr="0043302E">
        <w:trPr>
          <w:trHeight w:val="170"/>
          <w:jc w:val="center"/>
        </w:trPr>
        <w:tc>
          <w:tcPr>
            <w:tcW w:w="1871" w:type="dxa"/>
            <w:tcBorders>
              <w:top w:val="nil"/>
              <w:bottom w:val="nil"/>
            </w:tcBorders>
            <w:vAlign w:val="center"/>
          </w:tcPr>
          <w:p w14:paraId="721E386A"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Heterogeneous data </w:t>
            </w:r>
          </w:p>
        </w:tc>
        <w:tc>
          <w:tcPr>
            <w:tcW w:w="7536" w:type="dxa"/>
            <w:tcBorders>
              <w:top w:val="nil"/>
              <w:bottom w:val="nil"/>
            </w:tcBorders>
            <w:vAlign w:val="center"/>
          </w:tcPr>
          <w:p w14:paraId="0C672E93"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Ability to handle large amounts of data from different sources and formats</w:t>
            </w:r>
          </w:p>
        </w:tc>
      </w:tr>
      <w:tr w:rsidR="00380A5C" w:rsidRPr="00380A5C" w14:paraId="5C7E7DB5" w14:textId="77777777" w:rsidTr="0043302E">
        <w:trPr>
          <w:trHeight w:val="170"/>
          <w:jc w:val="center"/>
        </w:trPr>
        <w:tc>
          <w:tcPr>
            <w:tcW w:w="1871" w:type="dxa"/>
            <w:tcBorders>
              <w:top w:val="nil"/>
              <w:bottom w:val="nil"/>
            </w:tcBorders>
            <w:vAlign w:val="center"/>
          </w:tcPr>
          <w:p w14:paraId="5C77E15B"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Self-adjustment</w:t>
            </w:r>
          </w:p>
        </w:tc>
        <w:tc>
          <w:tcPr>
            <w:tcW w:w="7536" w:type="dxa"/>
            <w:tcBorders>
              <w:top w:val="nil"/>
              <w:bottom w:val="nil"/>
            </w:tcBorders>
            <w:vAlign w:val="center"/>
          </w:tcPr>
          <w:p w14:paraId="7E0D3A32"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Self-adaptation and parameterization capabilities following changes in the system during its lifecycle</w:t>
            </w:r>
          </w:p>
        </w:tc>
      </w:tr>
      <w:tr w:rsidR="00380A5C" w:rsidRPr="00380A5C" w14:paraId="123C4EE2" w14:textId="77777777" w:rsidTr="0043302E">
        <w:trPr>
          <w:trHeight w:val="170"/>
          <w:jc w:val="center"/>
        </w:trPr>
        <w:tc>
          <w:tcPr>
            <w:tcW w:w="1871" w:type="dxa"/>
            <w:tcBorders>
              <w:top w:val="nil"/>
              <w:bottom w:val="nil"/>
            </w:tcBorders>
            <w:vAlign w:val="center"/>
          </w:tcPr>
          <w:p w14:paraId="7BA9782B"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Information selection</w:t>
            </w:r>
          </w:p>
        </w:tc>
        <w:tc>
          <w:tcPr>
            <w:tcW w:w="7536" w:type="dxa"/>
            <w:tcBorders>
              <w:top w:val="nil"/>
              <w:bottom w:val="nil"/>
            </w:tcBorders>
            <w:vAlign w:val="center"/>
          </w:tcPr>
          <w:p w14:paraId="2F740DA5"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Identifying, extracting, and storing useful information</w:t>
            </w:r>
          </w:p>
        </w:tc>
      </w:tr>
      <w:tr w:rsidR="00380A5C" w:rsidRPr="00380A5C" w14:paraId="5287C12F" w14:textId="77777777" w:rsidTr="0043302E">
        <w:trPr>
          <w:trHeight w:val="170"/>
          <w:jc w:val="center"/>
        </w:trPr>
        <w:tc>
          <w:tcPr>
            <w:tcW w:w="1871" w:type="dxa"/>
            <w:tcBorders>
              <w:top w:val="nil"/>
              <w:bottom w:val="nil"/>
            </w:tcBorders>
            <w:vAlign w:val="center"/>
          </w:tcPr>
          <w:p w14:paraId="2EAAE2B5"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Pattern identification</w:t>
            </w:r>
          </w:p>
        </w:tc>
        <w:tc>
          <w:tcPr>
            <w:tcW w:w="7536" w:type="dxa"/>
            <w:tcBorders>
              <w:top w:val="nil"/>
              <w:bottom w:val="nil"/>
            </w:tcBorders>
            <w:vAlign w:val="center"/>
          </w:tcPr>
          <w:p w14:paraId="6CC812D7"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Identifying changes and trends via data analysis</w:t>
            </w:r>
          </w:p>
        </w:tc>
      </w:tr>
      <w:tr w:rsidR="00380A5C" w:rsidRPr="00380A5C" w14:paraId="2C460C1A" w14:textId="77777777" w:rsidTr="0043302E">
        <w:trPr>
          <w:trHeight w:val="170"/>
          <w:jc w:val="center"/>
        </w:trPr>
        <w:tc>
          <w:tcPr>
            <w:tcW w:w="1871" w:type="dxa"/>
            <w:tcBorders>
              <w:top w:val="nil"/>
              <w:bottom w:val="nil"/>
            </w:tcBorders>
            <w:vAlign w:val="center"/>
          </w:tcPr>
          <w:p w14:paraId="3D0B0450"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Physical-to-virtual connection</w:t>
            </w:r>
          </w:p>
        </w:tc>
        <w:tc>
          <w:tcPr>
            <w:tcW w:w="7536" w:type="dxa"/>
            <w:tcBorders>
              <w:top w:val="nil"/>
              <w:bottom w:val="nil"/>
            </w:tcBorders>
            <w:vAlign w:val="center"/>
          </w:tcPr>
          <w:p w14:paraId="6AB13B8A"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Data transfer from the physical entity to the virtual</w:t>
            </w:r>
            <w:r w:rsidRPr="0043302E">
              <w:rPr>
                <w:rFonts w:asciiTheme="majorBidi" w:eastAsia="Calibri" w:hAnsiTheme="majorBidi" w:cstheme="majorBidi"/>
                <w:sz w:val="20"/>
                <w:szCs w:val="20"/>
                <w:rtl/>
              </w:rPr>
              <w:t xml:space="preserve"> </w:t>
            </w:r>
            <w:r w:rsidRPr="0043302E">
              <w:rPr>
                <w:rFonts w:asciiTheme="majorBidi" w:eastAsia="Calibri" w:hAnsiTheme="majorBidi" w:cstheme="majorBidi"/>
                <w:sz w:val="20"/>
                <w:szCs w:val="20"/>
              </w:rPr>
              <w:t>environment</w:t>
            </w:r>
          </w:p>
        </w:tc>
      </w:tr>
      <w:tr w:rsidR="00380A5C" w:rsidRPr="00380A5C" w14:paraId="39C8EFA5" w14:textId="77777777" w:rsidTr="0043302E">
        <w:trPr>
          <w:trHeight w:val="170"/>
          <w:jc w:val="center"/>
        </w:trPr>
        <w:tc>
          <w:tcPr>
            <w:tcW w:w="1871" w:type="dxa"/>
            <w:tcBorders>
              <w:top w:val="nil"/>
              <w:bottom w:val="nil"/>
            </w:tcBorders>
            <w:vAlign w:val="center"/>
          </w:tcPr>
          <w:p w14:paraId="164B1BA9"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Close-loop feedback</w:t>
            </w:r>
          </w:p>
        </w:tc>
        <w:tc>
          <w:tcPr>
            <w:tcW w:w="7536" w:type="dxa"/>
            <w:tcBorders>
              <w:top w:val="nil"/>
              <w:bottom w:val="nil"/>
            </w:tcBorders>
            <w:vAlign w:val="center"/>
          </w:tcPr>
          <w:p w14:paraId="5A70F08B"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Feedback is provided to the systems and other digital twins,</w:t>
            </w:r>
            <w:r w:rsidRPr="0043302E">
              <w:rPr>
                <w:rFonts w:asciiTheme="majorBidi" w:eastAsia="Calibri" w:hAnsiTheme="majorBidi" w:cstheme="majorBidi"/>
                <w:sz w:val="20"/>
                <w:szCs w:val="20"/>
                <w:rtl/>
              </w:rPr>
              <w:t xml:space="preserve"> </w:t>
            </w:r>
            <w:r w:rsidRPr="0043302E">
              <w:rPr>
                <w:rFonts w:asciiTheme="majorBidi" w:eastAsia="Calibri" w:hAnsiTheme="majorBidi" w:cstheme="majorBidi"/>
                <w:sz w:val="20"/>
                <w:szCs w:val="20"/>
              </w:rPr>
              <w:t>using interfaces to assess the computing information</w:t>
            </w:r>
          </w:p>
        </w:tc>
      </w:tr>
      <w:tr w:rsidR="00380A5C" w:rsidRPr="00380A5C" w14:paraId="278B221F" w14:textId="77777777" w:rsidTr="0043302E">
        <w:trPr>
          <w:trHeight w:val="170"/>
          <w:jc w:val="center"/>
        </w:trPr>
        <w:tc>
          <w:tcPr>
            <w:tcW w:w="1871" w:type="dxa"/>
            <w:tcBorders>
              <w:top w:val="nil"/>
              <w:bottom w:val="nil"/>
            </w:tcBorders>
            <w:vAlign w:val="center"/>
          </w:tcPr>
          <w:p w14:paraId="6C9E5D0A"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Metrology</w:t>
            </w:r>
          </w:p>
        </w:tc>
        <w:tc>
          <w:tcPr>
            <w:tcW w:w="7536" w:type="dxa"/>
            <w:tcBorders>
              <w:top w:val="nil"/>
              <w:bottom w:val="nil"/>
            </w:tcBorders>
            <w:vAlign w:val="center"/>
          </w:tcPr>
          <w:p w14:paraId="12642925"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Measuring the current state of the physical/virtual entity</w:t>
            </w:r>
          </w:p>
        </w:tc>
      </w:tr>
      <w:tr w:rsidR="00380A5C" w:rsidRPr="00380A5C" w14:paraId="1F7E0253" w14:textId="77777777" w:rsidTr="0043302E">
        <w:trPr>
          <w:trHeight w:val="170"/>
          <w:jc w:val="center"/>
        </w:trPr>
        <w:tc>
          <w:tcPr>
            <w:tcW w:w="1871" w:type="dxa"/>
            <w:tcBorders>
              <w:top w:val="nil"/>
              <w:bottom w:val="nil"/>
            </w:tcBorders>
            <w:vAlign w:val="center"/>
          </w:tcPr>
          <w:p w14:paraId="1FA8C326"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Optimization</w:t>
            </w:r>
          </w:p>
        </w:tc>
        <w:tc>
          <w:tcPr>
            <w:tcW w:w="7536" w:type="dxa"/>
            <w:tcBorders>
              <w:top w:val="nil"/>
              <w:bottom w:val="nil"/>
            </w:tcBorders>
            <w:vAlign w:val="center"/>
          </w:tcPr>
          <w:p w14:paraId="28535203"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Achieving best outcomes while addressing data</w:t>
            </w:r>
            <w:r w:rsidRPr="0043302E">
              <w:rPr>
                <w:rFonts w:asciiTheme="majorBidi" w:eastAsia="Calibri" w:hAnsiTheme="majorBidi" w:cstheme="majorBidi"/>
                <w:sz w:val="20"/>
                <w:szCs w:val="20"/>
                <w:rtl/>
              </w:rPr>
              <w:t xml:space="preserve"> </w:t>
            </w:r>
            <w:r w:rsidRPr="0043302E">
              <w:rPr>
                <w:rFonts w:asciiTheme="majorBidi" w:eastAsia="Calibri" w:hAnsiTheme="majorBidi" w:cstheme="majorBidi"/>
                <w:sz w:val="20"/>
                <w:szCs w:val="20"/>
              </w:rPr>
              <w:t>uncertainty</w:t>
            </w:r>
          </w:p>
        </w:tc>
      </w:tr>
      <w:tr w:rsidR="00380A5C" w:rsidRPr="00380A5C" w14:paraId="78BD767C" w14:textId="77777777" w:rsidTr="0043302E">
        <w:trPr>
          <w:trHeight w:val="170"/>
          <w:jc w:val="center"/>
        </w:trPr>
        <w:tc>
          <w:tcPr>
            <w:tcW w:w="1871" w:type="dxa"/>
            <w:tcBorders>
              <w:top w:val="nil"/>
              <w:bottom w:val="nil"/>
            </w:tcBorders>
            <w:vAlign w:val="center"/>
          </w:tcPr>
          <w:p w14:paraId="402BFDB3"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Simulation</w:t>
            </w:r>
          </w:p>
        </w:tc>
        <w:tc>
          <w:tcPr>
            <w:tcW w:w="7536" w:type="dxa"/>
            <w:tcBorders>
              <w:top w:val="nil"/>
              <w:bottom w:val="nil"/>
            </w:tcBorders>
            <w:vAlign w:val="center"/>
          </w:tcPr>
          <w:p w14:paraId="72B083CE"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Representing current status and what-if scenarios</w:t>
            </w:r>
          </w:p>
        </w:tc>
      </w:tr>
      <w:tr w:rsidR="00380A5C" w:rsidRPr="00380A5C" w14:paraId="7A6984C5" w14:textId="77777777" w:rsidTr="0043302E">
        <w:trPr>
          <w:trHeight w:val="170"/>
          <w:jc w:val="center"/>
        </w:trPr>
        <w:tc>
          <w:tcPr>
            <w:tcW w:w="1871" w:type="dxa"/>
            <w:tcBorders>
              <w:top w:val="nil"/>
              <w:bottom w:val="single" w:sz="12" w:space="0" w:color="auto"/>
            </w:tcBorders>
            <w:vAlign w:val="center"/>
          </w:tcPr>
          <w:p w14:paraId="17776E9B"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Location</w:t>
            </w:r>
          </w:p>
        </w:tc>
        <w:tc>
          <w:tcPr>
            <w:tcW w:w="7536" w:type="dxa"/>
            <w:tcBorders>
              <w:top w:val="nil"/>
              <w:bottom w:val="single" w:sz="12" w:space="0" w:color="auto"/>
            </w:tcBorders>
            <w:vAlign w:val="center"/>
          </w:tcPr>
          <w:p w14:paraId="5BDAF803" w14:textId="77777777" w:rsidR="00380A5C" w:rsidRPr="0043302E" w:rsidRDefault="00380A5C" w:rsidP="002E12BC">
            <w:pPr>
              <w:rPr>
                <w:rFonts w:asciiTheme="majorBidi" w:eastAsia="Calibri" w:hAnsiTheme="majorBidi" w:cstheme="majorBidi"/>
                <w:sz w:val="20"/>
                <w:szCs w:val="20"/>
              </w:rPr>
            </w:pPr>
            <w:r w:rsidRPr="0043302E">
              <w:rPr>
                <w:rFonts w:asciiTheme="majorBidi" w:eastAsia="Calibri" w:hAnsiTheme="majorBidi" w:cstheme="majorBidi"/>
                <w:sz w:val="20"/>
                <w:szCs w:val="20"/>
              </w:rPr>
              <w:t>Enables users not co-located to collaborate in design and implementation</w:t>
            </w:r>
          </w:p>
        </w:tc>
      </w:tr>
    </w:tbl>
    <w:p w14:paraId="0710904C" w14:textId="77777777" w:rsidR="002F0FED" w:rsidRDefault="002F0FED" w:rsidP="00224E5E">
      <w:pPr>
        <w:pStyle w:val="Default"/>
        <w:rPr>
          <w:rFonts w:asciiTheme="majorBidi" w:hAnsiTheme="majorBidi" w:cstheme="majorBidi"/>
          <w:b/>
          <w:bCs/>
        </w:rPr>
      </w:pPr>
    </w:p>
    <w:p w14:paraId="39DC8793" w14:textId="77777777" w:rsidR="002F0FED" w:rsidRDefault="002F0FED">
      <w:pPr>
        <w:rPr>
          <w:rFonts w:asciiTheme="majorBidi" w:hAnsiTheme="majorBidi" w:cstheme="majorBidi"/>
          <w:b/>
          <w:bCs/>
          <w:color w:val="000000"/>
          <w:sz w:val="24"/>
          <w:szCs w:val="24"/>
        </w:rPr>
      </w:pPr>
      <w:r>
        <w:rPr>
          <w:rFonts w:asciiTheme="majorBidi" w:hAnsiTheme="majorBidi" w:cstheme="majorBidi"/>
          <w:b/>
          <w:bCs/>
        </w:rPr>
        <w:br w:type="page"/>
      </w:r>
    </w:p>
    <w:p w14:paraId="7DAB24F0" w14:textId="217C552E" w:rsidR="00224E5E" w:rsidRPr="00FA6392" w:rsidRDefault="00224E5E" w:rsidP="00224E5E">
      <w:pPr>
        <w:pStyle w:val="Default"/>
        <w:rPr>
          <w:rFonts w:asciiTheme="majorBidi" w:hAnsiTheme="majorBidi" w:cstheme="majorBidi"/>
          <w:b/>
          <w:bCs/>
        </w:rPr>
      </w:pPr>
      <w:r w:rsidRPr="00FA6392">
        <w:rPr>
          <w:rFonts w:asciiTheme="majorBidi" w:hAnsiTheme="majorBidi" w:cstheme="majorBidi"/>
          <w:b/>
          <w:bCs/>
        </w:rPr>
        <w:t>Web appendix</w:t>
      </w:r>
      <w:r w:rsidR="00FF5C31" w:rsidRPr="00FA6392">
        <w:rPr>
          <w:rFonts w:asciiTheme="majorBidi" w:hAnsiTheme="majorBidi" w:cstheme="majorBidi"/>
          <w:b/>
          <w:bCs/>
        </w:rPr>
        <w:t xml:space="preserve"> 2</w:t>
      </w:r>
      <w:r w:rsidR="00FA6392">
        <w:rPr>
          <w:rFonts w:asciiTheme="majorBidi" w:hAnsiTheme="majorBidi" w:cstheme="majorBidi"/>
          <w:b/>
          <w:bCs/>
        </w:rPr>
        <w:t xml:space="preserve">. </w:t>
      </w:r>
      <w:r w:rsidRPr="00FA6392">
        <w:rPr>
          <w:rFonts w:asciiTheme="majorBidi" w:hAnsiTheme="majorBidi" w:cstheme="majorBidi"/>
          <w:b/>
          <w:bCs/>
        </w:rPr>
        <w:t>References list for Table</w:t>
      </w:r>
      <w:r w:rsidR="00FF5C31" w:rsidRPr="00FA6392">
        <w:rPr>
          <w:rFonts w:asciiTheme="majorBidi" w:hAnsiTheme="majorBidi" w:cstheme="majorBidi"/>
          <w:b/>
          <w:bCs/>
        </w:rPr>
        <w:t xml:space="preserve"> 2</w:t>
      </w:r>
    </w:p>
    <w:p w14:paraId="29B50386" w14:textId="77777777" w:rsidR="00224E5E" w:rsidRPr="00FF5C31" w:rsidRDefault="00224E5E" w:rsidP="00224E5E">
      <w:pPr>
        <w:pStyle w:val="Default"/>
      </w:pPr>
    </w:p>
    <w:p w14:paraId="2054FABB" w14:textId="77777777" w:rsidR="00224E5E" w:rsidRPr="002F0FED" w:rsidRDefault="00224E5E" w:rsidP="00FA6392">
      <w:pPr>
        <w:pStyle w:val="Default"/>
        <w:jc w:val="both"/>
        <w:rPr>
          <w:rFonts w:asciiTheme="majorBidi" w:hAnsiTheme="majorBidi" w:cstheme="majorBidi"/>
          <w:sz w:val="20"/>
          <w:szCs w:val="20"/>
        </w:rPr>
      </w:pPr>
      <w:r w:rsidRPr="002F0FED">
        <w:rPr>
          <w:rFonts w:asciiTheme="majorBidi" w:hAnsiTheme="majorBidi" w:cstheme="majorBidi"/>
          <w:sz w:val="20"/>
          <w:szCs w:val="20"/>
        </w:rPr>
        <w:t xml:space="preserve">Bryant, D. J. (2014). “Information foraging theory: A framework for intelligence analysis. </w:t>
      </w:r>
      <w:r w:rsidRPr="002F0FED">
        <w:rPr>
          <w:rFonts w:asciiTheme="majorBidi" w:hAnsiTheme="majorBidi" w:cstheme="majorBidi"/>
          <w:i/>
          <w:iCs/>
          <w:sz w:val="20"/>
          <w:szCs w:val="20"/>
        </w:rPr>
        <w:t>Defence Research and Development Canad</w:t>
      </w:r>
      <w:r w:rsidRPr="002F0FED">
        <w:rPr>
          <w:rFonts w:asciiTheme="majorBidi" w:hAnsiTheme="majorBidi" w:cstheme="majorBidi"/>
          <w:sz w:val="20"/>
          <w:szCs w:val="20"/>
        </w:rPr>
        <w:t>a</w:t>
      </w:r>
      <w:r w:rsidRPr="002F0FED">
        <w:rPr>
          <w:rFonts w:asciiTheme="majorBidi" w:hAnsiTheme="majorBidi" w:cstheme="majorBidi"/>
          <w:sz w:val="20"/>
          <w:szCs w:val="20"/>
          <w:rtl/>
        </w:rPr>
        <w:t>.‏</w:t>
      </w:r>
    </w:p>
    <w:p w14:paraId="7723A39C" w14:textId="77777777" w:rsidR="00224E5E" w:rsidRPr="002F0FED" w:rsidRDefault="00224E5E" w:rsidP="00FA6392">
      <w:pPr>
        <w:pStyle w:val="Default"/>
        <w:jc w:val="both"/>
        <w:rPr>
          <w:rFonts w:asciiTheme="majorBidi" w:hAnsiTheme="majorBidi" w:cstheme="majorBidi"/>
          <w:sz w:val="20"/>
          <w:szCs w:val="20"/>
        </w:rPr>
      </w:pPr>
    </w:p>
    <w:p w14:paraId="2D48830C" w14:textId="77777777" w:rsidR="00224E5E" w:rsidRPr="002F0FED" w:rsidRDefault="00224E5E" w:rsidP="00FA6392">
      <w:pPr>
        <w:autoSpaceDE w:val="0"/>
        <w:autoSpaceDN w:val="0"/>
        <w:adjustRightInd w:val="0"/>
        <w:spacing w:after="0" w:line="240" w:lineRule="auto"/>
        <w:jc w:val="both"/>
        <w:rPr>
          <w:rFonts w:asciiTheme="majorBidi" w:hAnsiTheme="majorBidi" w:cstheme="majorBidi"/>
          <w:color w:val="000000"/>
          <w:sz w:val="20"/>
          <w:szCs w:val="20"/>
        </w:rPr>
      </w:pPr>
      <w:r w:rsidRPr="002F0FED">
        <w:rPr>
          <w:rFonts w:asciiTheme="majorBidi" w:hAnsiTheme="majorBidi" w:cstheme="majorBidi"/>
          <w:color w:val="000000"/>
          <w:sz w:val="20"/>
          <w:szCs w:val="20"/>
        </w:rPr>
        <w:t xml:space="preserve">Chen, M. C. Chen and C. J. Keng, (2020) “Measuring online live streaming of perceived servicescape,” </w:t>
      </w:r>
      <w:r w:rsidRPr="002F0FED">
        <w:rPr>
          <w:rFonts w:asciiTheme="majorBidi" w:hAnsiTheme="majorBidi" w:cstheme="majorBidi"/>
          <w:i/>
          <w:iCs/>
          <w:color w:val="000000"/>
          <w:sz w:val="20"/>
          <w:szCs w:val="20"/>
        </w:rPr>
        <w:t xml:space="preserve">Internet Research, </w:t>
      </w:r>
      <w:r w:rsidRPr="002F0FED">
        <w:rPr>
          <w:rFonts w:asciiTheme="majorBidi" w:hAnsiTheme="majorBidi" w:cstheme="majorBidi"/>
          <w:color w:val="000000"/>
          <w:sz w:val="20"/>
          <w:szCs w:val="20"/>
        </w:rPr>
        <w:t xml:space="preserve"> 30, 737-762.</w:t>
      </w:r>
    </w:p>
    <w:p w14:paraId="51D82213" w14:textId="77777777" w:rsidR="00224E5E" w:rsidRPr="002F0FED" w:rsidRDefault="00224E5E" w:rsidP="00FA6392">
      <w:pPr>
        <w:autoSpaceDE w:val="0"/>
        <w:autoSpaceDN w:val="0"/>
        <w:adjustRightInd w:val="0"/>
        <w:spacing w:after="0" w:line="240" w:lineRule="auto"/>
        <w:jc w:val="both"/>
        <w:rPr>
          <w:rFonts w:asciiTheme="majorBidi" w:hAnsiTheme="majorBidi" w:cstheme="majorBidi"/>
          <w:color w:val="000000"/>
          <w:sz w:val="20"/>
          <w:szCs w:val="20"/>
        </w:rPr>
      </w:pPr>
      <w:r w:rsidRPr="002F0FED">
        <w:rPr>
          <w:rFonts w:asciiTheme="majorBidi" w:hAnsiTheme="majorBidi" w:cstheme="majorBidi"/>
          <w:color w:val="000000"/>
          <w:sz w:val="20"/>
          <w:szCs w:val="20"/>
        </w:rPr>
        <w:t xml:space="preserve"> </w:t>
      </w:r>
    </w:p>
    <w:p w14:paraId="6BA00E03" w14:textId="77777777" w:rsidR="00224E5E" w:rsidRPr="002F0FED" w:rsidRDefault="00224E5E" w:rsidP="00FA6392">
      <w:pPr>
        <w:autoSpaceDE w:val="0"/>
        <w:autoSpaceDN w:val="0"/>
        <w:adjustRightInd w:val="0"/>
        <w:spacing w:after="0" w:line="240" w:lineRule="auto"/>
        <w:jc w:val="both"/>
        <w:rPr>
          <w:rFonts w:asciiTheme="majorBidi" w:hAnsiTheme="majorBidi" w:cstheme="majorBidi"/>
          <w:color w:val="000000"/>
          <w:sz w:val="20"/>
          <w:szCs w:val="20"/>
        </w:rPr>
      </w:pPr>
      <w:r w:rsidRPr="002F0FED">
        <w:rPr>
          <w:rFonts w:asciiTheme="majorBidi" w:hAnsiTheme="majorBidi" w:cstheme="majorBidi"/>
          <w:color w:val="000000"/>
          <w:sz w:val="20"/>
          <w:szCs w:val="20"/>
        </w:rPr>
        <w:t xml:space="preserve">Chen and Y. C. Lin, (2018), “What drives live-stream usage intention? The perspectives of flow, entertainment, social interaction, and endorsement,” </w:t>
      </w:r>
      <w:r w:rsidRPr="002F0FED">
        <w:rPr>
          <w:rFonts w:asciiTheme="majorBidi" w:hAnsiTheme="majorBidi" w:cstheme="majorBidi"/>
          <w:i/>
          <w:iCs/>
          <w:color w:val="000000"/>
          <w:sz w:val="20"/>
          <w:szCs w:val="20"/>
        </w:rPr>
        <w:t>Telematics and Informatics,</w:t>
      </w:r>
      <w:r w:rsidRPr="002F0FED">
        <w:rPr>
          <w:rFonts w:asciiTheme="majorBidi" w:hAnsiTheme="majorBidi" w:cstheme="majorBidi"/>
          <w:color w:val="000000"/>
          <w:sz w:val="20"/>
          <w:szCs w:val="20"/>
        </w:rPr>
        <w:t xml:space="preserve"> (35), 293-303. </w:t>
      </w:r>
    </w:p>
    <w:p w14:paraId="7646847E" w14:textId="77777777" w:rsidR="00224E5E" w:rsidRPr="002F0FED" w:rsidRDefault="00224E5E" w:rsidP="00FA6392">
      <w:pPr>
        <w:autoSpaceDE w:val="0"/>
        <w:autoSpaceDN w:val="0"/>
        <w:adjustRightInd w:val="0"/>
        <w:spacing w:after="0" w:line="240" w:lineRule="auto"/>
        <w:jc w:val="both"/>
        <w:rPr>
          <w:rFonts w:asciiTheme="majorBidi" w:hAnsiTheme="majorBidi" w:cstheme="majorBidi"/>
          <w:color w:val="000000"/>
          <w:sz w:val="20"/>
          <w:szCs w:val="20"/>
        </w:rPr>
      </w:pPr>
    </w:p>
    <w:p w14:paraId="0A55DC46" w14:textId="77777777" w:rsidR="00224E5E" w:rsidRPr="002F0FED" w:rsidRDefault="00224E5E" w:rsidP="00FA6392">
      <w:pPr>
        <w:autoSpaceDE w:val="0"/>
        <w:autoSpaceDN w:val="0"/>
        <w:adjustRightInd w:val="0"/>
        <w:spacing w:after="0" w:line="240" w:lineRule="auto"/>
        <w:jc w:val="both"/>
        <w:rPr>
          <w:rFonts w:asciiTheme="majorBidi" w:hAnsiTheme="majorBidi" w:cstheme="majorBidi"/>
          <w:color w:val="000000"/>
          <w:sz w:val="20"/>
          <w:szCs w:val="20"/>
        </w:rPr>
      </w:pPr>
      <w:r w:rsidRPr="002F0FED">
        <w:rPr>
          <w:rFonts w:asciiTheme="majorBidi" w:hAnsiTheme="majorBidi" w:cstheme="majorBidi"/>
          <w:color w:val="000000"/>
          <w:sz w:val="20"/>
          <w:szCs w:val="20"/>
        </w:rPr>
        <w:t xml:space="preserve">Clement Addo, J. Fang, A. O. Asare and N. B. Kulbo, (2022),  “Customer engagement and purchase intention in live-streaming digital marketing platforms,” </w:t>
      </w:r>
      <w:r w:rsidRPr="002F0FED">
        <w:rPr>
          <w:rFonts w:asciiTheme="majorBidi" w:hAnsiTheme="majorBidi" w:cstheme="majorBidi"/>
          <w:i/>
          <w:iCs/>
          <w:color w:val="000000"/>
          <w:sz w:val="20"/>
          <w:szCs w:val="20"/>
        </w:rPr>
        <w:t xml:space="preserve">The Service Industries Journal, </w:t>
      </w:r>
      <w:r w:rsidRPr="002F0FED">
        <w:rPr>
          <w:rFonts w:asciiTheme="majorBidi" w:hAnsiTheme="majorBidi" w:cstheme="majorBidi"/>
          <w:color w:val="000000"/>
          <w:sz w:val="20"/>
          <w:szCs w:val="20"/>
        </w:rPr>
        <w:t xml:space="preserve">(40), 1-20. </w:t>
      </w:r>
    </w:p>
    <w:p w14:paraId="1AF01EB5" w14:textId="77777777" w:rsidR="00224E5E" w:rsidRPr="002F0FED" w:rsidRDefault="00224E5E" w:rsidP="00FA6392">
      <w:pPr>
        <w:autoSpaceDE w:val="0"/>
        <w:autoSpaceDN w:val="0"/>
        <w:adjustRightInd w:val="0"/>
        <w:spacing w:after="0" w:line="240" w:lineRule="auto"/>
        <w:jc w:val="both"/>
        <w:rPr>
          <w:rFonts w:asciiTheme="majorBidi" w:hAnsiTheme="majorBidi" w:cstheme="majorBidi"/>
          <w:color w:val="000000"/>
          <w:sz w:val="20"/>
          <w:szCs w:val="20"/>
        </w:rPr>
      </w:pPr>
    </w:p>
    <w:p w14:paraId="08D6BEDA" w14:textId="77777777" w:rsidR="00224E5E" w:rsidRPr="002F0FED" w:rsidRDefault="00224E5E" w:rsidP="00FA6392">
      <w:pPr>
        <w:autoSpaceDE w:val="0"/>
        <w:autoSpaceDN w:val="0"/>
        <w:adjustRightInd w:val="0"/>
        <w:spacing w:after="0" w:line="240" w:lineRule="auto"/>
        <w:jc w:val="both"/>
        <w:rPr>
          <w:rFonts w:asciiTheme="majorBidi" w:hAnsiTheme="majorBidi" w:cstheme="majorBidi"/>
          <w:color w:val="000000"/>
          <w:sz w:val="20"/>
          <w:szCs w:val="20"/>
        </w:rPr>
      </w:pPr>
      <w:r w:rsidRPr="002F0FED">
        <w:rPr>
          <w:rFonts w:asciiTheme="majorBidi" w:hAnsiTheme="majorBidi" w:cstheme="majorBidi"/>
          <w:color w:val="000000"/>
          <w:sz w:val="20"/>
          <w:szCs w:val="20"/>
        </w:rPr>
        <w:t>Guo, X. Hu, J. Lu and L. Ma, (2021) “Effects of customer trust on engagement in live streaming commerce: mediating role of swift guanxi,”</w:t>
      </w:r>
      <w:r w:rsidRPr="002F0FED">
        <w:rPr>
          <w:rFonts w:asciiTheme="majorBidi" w:hAnsiTheme="majorBidi" w:cstheme="majorBidi"/>
          <w:i/>
          <w:iCs/>
          <w:color w:val="000000"/>
          <w:sz w:val="20"/>
          <w:szCs w:val="20"/>
        </w:rPr>
        <w:t xml:space="preserve"> Internet Research</w:t>
      </w:r>
      <w:r w:rsidRPr="002F0FED">
        <w:rPr>
          <w:rFonts w:asciiTheme="majorBidi" w:hAnsiTheme="majorBidi" w:cstheme="majorBidi"/>
          <w:color w:val="000000"/>
          <w:sz w:val="20"/>
          <w:szCs w:val="20"/>
        </w:rPr>
        <w:t>, (31), 1718-1744.</w:t>
      </w:r>
    </w:p>
    <w:p w14:paraId="31647468" w14:textId="77777777" w:rsidR="00224E5E" w:rsidRPr="002F0FED" w:rsidRDefault="00224E5E" w:rsidP="00FA6392">
      <w:pPr>
        <w:autoSpaceDE w:val="0"/>
        <w:autoSpaceDN w:val="0"/>
        <w:adjustRightInd w:val="0"/>
        <w:spacing w:after="0" w:line="240" w:lineRule="auto"/>
        <w:jc w:val="both"/>
        <w:rPr>
          <w:rFonts w:asciiTheme="majorBidi" w:hAnsiTheme="majorBidi" w:cstheme="majorBidi"/>
          <w:color w:val="000000"/>
          <w:sz w:val="20"/>
          <w:szCs w:val="20"/>
        </w:rPr>
      </w:pPr>
    </w:p>
    <w:p w14:paraId="75D290FF" w14:textId="77777777" w:rsidR="00224E5E" w:rsidRPr="002F0FED" w:rsidRDefault="00224E5E" w:rsidP="00FA6392">
      <w:pPr>
        <w:autoSpaceDE w:val="0"/>
        <w:autoSpaceDN w:val="0"/>
        <w:adjustRightInd w:val="0"/>
        <w:spacing w:after="0" w:line="240" w:lineRule="auto"/>
        <w:jc w:val="both"/>
        <w:rPr>
          <w:rFonts w:asciiTheme="majorBidi" w:hAnsiTheme="majorBidi" w:cstheme="majorBidi"/>
          <w:color w:val="000000"/>
          <w:sz w:val="20"/>
          <w:szCs w:val="20"/>
        </w:rPr>
      </w:pPr>
      <w:r w:rsidRPr="002F0FED">
        <w:rPr>
          <w:rFonts w:asciiTheme="majorBidi" w:hAnsiTheme="majorBidi" w:cstheme="majorBidi"/>
          <w:color w:val="000000"/>
          <w:sz w:val="20"/>
          <w:szCs w:val="20"/>
        </w:rPr>
        <w:t xml:space="preserve">Hsiao, H. S., Lu, S. Y., Chang, T. L., &amp; Lee, C. S. (2024). Using mobile technology acceptance model to explore the satisfaction and continuous use of live streaming for training. </w:t>
      </w:r>
      <w:r w:rsidRPr="002F0FED">
        <w:rPr>
          <w:rFonts w:asciiTheme="majorBidi" w:hAnsiTheme="majorBidi" w:cstheme="majorBidi"/>
          <w:i/>
          <w:iCs/>
          <w:color w:val="000000"/>
          <w:sz w:val="20"/>
          <w:szCs w:val="20"/>
        </w:rPr>
        <w:t>Interactive Learning Environments</w:t>
      </w:r>
      <w:r w:rsidRPr="002F0FED">
        <w:rPr>
          <w:rFonts w:asciiTheme="majorBidi" w:hAnsiTheme="majorBidi" w:cstheme="majorBidi"/>
          <w:color w:val="000000"/>
          <w:sz w:val="20"/>
          <w:szCs w:val="20"/>
        </w:rPr>
        <w:t>, (32), 1-24.</w:t>
      </w:r>
      <w:r w:rsidRPr="002F0FED">
        <w:rPr>
          <w:rFonts w:asciiTheme="majorBidi" w:hAnsiTheme="majorBidi" w:cstheme="majorBidi"/>
          <w:color w:val="000000"/>
          <w:sz w:val="20"/>
          <w:szCs w:val="20"/>
          <w:rtl/>
        </w:rPr>
        <w:t>‏</w:t>
      </w:r>
    </w:p>
    <w:p w14:paraId="2A1170F6" w14:textId="77777777" w:rsidR="00224E5E" w:rsidRPr="002F0FED" w:rsidRDefault="00224E5E" w:rsidP="00FA6392">
      <w:pPr>
        <w:pStyle w:val="Default"/>
        <w:jc w:val="both"/>
        <w:rPr>
          <w:rFonts w:asciiTheme="majorBidi" w:hAnsiTheme="majorBidi" w:cstheme="majorBidi"/>
          <w:sz w:val="20"/>
          <w:szCs w:val="20"/>
        </w:rPr>
      </w:pPr>
    </w:p>
    <w:p w14:paraId="7A275D9D" w14:textId="77777777" w:rsidR="00224E5E" w:rsidRPr="002F0FED" w:rsidRDefault="00224E5E" w:rsidP="00FA6392">
      <w:pPr>
        <w:pStyle w:val="Default"/>
        <w:jc w:val="both"/>
        <w:rPr>
          <w:rFonts w:asciiTheme="majorBidi" w:hAnsiTheme="majorBidi" w:cstheme="majorBidi"/>
          <w:sz w:val="20"/>
          <w:szCs w:val="20"/>
        </w:rPr>
      </w:pPr>
      <w:r w:rsidRPr="002F0FED">
        <w:rPr>
          <w:rFonts w:asciiTheme="majorBidi" w:hAnsiTheme="majorBidi" w:cstheme="majorBidi"/>
          <w:sz w:val="20"/>
          <w:szCs w:val="20"/>
        </w:rPr>
        <w:t xml:space="preserve">Hsu L., and Lin, C, (2021), “The effects of gratifications, flow and satisfaction on the usage of livestreaming services,” </w:t>
      </w:r>
      <w:r w:rsidRPr="002F0FED">
        <w:rPr>
          <w:rFonts w:asciiTheme="majorBidi" w:hAnsiTheme="majorBidi" w:cstheme="majorBidi"/>
          <w:i/>
          <w:iCs/>
          <w:sz w:val="20"/>
          <w:szCs w:val="20"/>
        </w:rPr>
        <w:t>Library Hi Tech</w:t>
      </w:r>
      <w:r w:rsidRPr="002F0FED">
        <w:rPr>
          <w:rFonts w:asciiTheme="majorBidi" w:hAnsiTheme="majorBidi" w:cstheme="majorBidi"/>
          <w:sz w:val="20"/>
          <w:szCs w:val="20"/>
        </w:rPr>
        <w:t>, (25), 212-241.</w:t>
      </w:r>
    </w:p>
    <w:p w14:paraId="533F3E7B" w14:textId="77777777" w:rsidR="00224E5E" w:rsidRPr="002F0FED" w:rsidRDefault="00224E5E" w:rsidP="00FA6392">
      <w:pPr>
        <w:pStyle w:val="Default"/>
        <w:jc w:val="both"/>
        <w:rPr>
          <w:rFonts w:asciiTheme="majorBidi" w:hAnsiTheme="majorBidi" w:cstheme="majorBidi"/>
          <w:sz w:val="20"/>
          <w:szCs w:val="20"/>
        </w:rPr>
      </w:pPr>
    </w:p>
    <w:p w14:paraId="3C4CC4A2" w14:textId="77777777" w:rsidR="00224E5E" w:rsidRPr="002F0FED" w:rsidRDefault="00224E5E" w:rsidP="00FA6392">
      <w:pPr>
        <w:pStyle w:val="Default"/>
        <w:jc w:val="both"/>
        <w:rPr>
          <w:rFonts w:asciiTheme="majorBidi" w:hAnsiTheme="majorBidi" w:cstheme="majorBidi"/>
          <w:sz w:val="20"/>
          <w:szCs w:val="20"/>
        </w:rPr>
      </w:pPr>
      <w:r w:rsidRPr="002F0FED">
        <w:rPr>
          <w:rFonts w:asciiTheme="majorBidi" w:hAnsiTheme="majorBidi" w:cstheme="majorBidi"/>
          <w:sz w:val="20"/>
          <w:szCs w:val="20"/>
        </w:rPr>
        <w:t xml:space="preserve">Hu and S. S. Chaudhry, (2020), “Enhancing consumer engagement in e-commerce live streaming via relational bonds,” </w:t>
      </w:r>
      <w:r w:rsidRPr="002F0FED">
        <w:rPr>
          <w:rFonts w:asciiTheme="majorBidi" w:hAnsiTheme="majorBidi" w:cstheme="majorBidi"/>
          <w:i/>
          <w:iCs/>
          <w:sz w:val="20"/>
          <w:szCs w:val="20"/>
        </w:rPr>
        <w:t>Internet Research,</w:t>
      </w:r>
      <w:r w:rsidRPr="002F0FED">
        <w:rPr>
          <w:rFonts w:asciiTheme="majorBidi" w:hAnsiTheme="majorBidi" w:cstheme="majorBidi"/>
          <w:sz w:val="20"/>
          <w:szCs w:val="20"/>
        </w:rPr>
        <w:t xml:space="preserve"> 30(3), 1066-2243. </w:t>
      </w:r>
    </w:p>
    <w:p w14:paraId="68204D6C" w14:textId="77777777" w:rsidR="00224E5E" w:rsidRPr="002F0FED" w:rsidRDefault="00224E5E" w:rsidP="00FA6392">
      <w:pPr>
        <w:pStyle w:val="Default"/>
        <w:jc w:val="both"/>
        <w:rPr>
          <w:rFonts w:asciiTheme="majorBidi" w:hAnsiTheme="majorBidi" w:cstheme="majorBidi"/>
          <w:sz w:val="20"/>
          <w:szCs w:val="20"/>
        </w:rPr>
      </w:pPr>
    </w:p>
    <w:p w14:paraId="3A470885" w14:textId="77777777" w:rsidR="00224E5E" w:rsidRPr="002F0FED" w:rsidRDefault="00224E5E" w:rsidP="00FA6392">
      <w:pPr>
        <w:pStyle w:val="Default"/>
        <w:jc w:val="both"/>
        <w:rPr>
          <w:rFonts w:asciiTheme="majorBidi" w:hAnsiTheme="majorBidi" w:cstheme="majorBidi"/>
          <w:sz w:val="20"/>
          <w:szCs w:val="20"/>
        </w:rPr>
      </w:pPr>
      <w:r w:rsidRPr="002F0FED">
        <w:rPr>
          <w:rFonts w:asciiTheme="majorBidi" w:hAnsiTheme="majorBidi" w:cstheme="majorBidi"/>
          <w:sz w:val="20"/>
          <w:szCs w:val="20"/>
        </w:rPr>
        <w:t xml:space="preserve">Li, X. Li and J. Cai, (2021), “How attachment affects user stickiness on live streaming platforms: A socio-technical approach perspective,” </w:t>
      </w:r>
      <w:r w:rsidRPr="002F0FED">
        <w:rPr>
          <w:rFonts w:asciiTheme="majorBidi" w:hAnsiTheme="majorBidi" w:cstheme="majorBidi"/>
          <w:i/>
          <w:iCs/>
          <w:sz w:val="20"/>
          <w:szCs w:val="20"/>
        </w:rPr>
        <w:t>Journal of Retailing and Consumer Services</w:t>
      </w:r>
      <w:r w:rsidRPr="002F0FED">
        <w:rPr>
          <w:rFonts w:asciiTheme="majorBidi" w:hAnsiTheme="majorBidi" w:cstheme="majorBidi"/>
          <w:sz w:val="20"/>
          <w:szCs w:val="20"/>
        </w:rPr>
        <w:t>, (60),102- 124.</w:t>
      </w:r>
    </w:p>
    <w:p w14:paraId="521E9974" w14:textId="77777777" w:rsidR="00224E5E" w:rsidRPr="002F0FED" w:rsidRDefault="00224E5E" w:rsidP="00FA6392">
      <w:pPr>
        <w:pStyle w:val="Default"/>
        <w:jc w:val="both"/>
        <w:rPr>
          <w:rFonts w:asciiTheme="majorBidi" w:hAnsiTheme="majorBidi" w:cstheme="majorBidi"/>
          <w:sz w:val="20"/>
          <w:szCs w:val="20"/>
        </w:rPr>
      </w:pPr>
    </w:p>
    <w:p w14:paraId="7AF1C763" w14:textId="77777777" w:rsidR="00224E5E" w:rsidRPr="002F0FED" w:rsidRDefault="00224E5E" w:rsidP="00FA6392">
      <w:pPr>
        <w:pStyle w:val="Default"/>
        <w:jc w:val="both"/>
        <w:rPr>
          <w:rFonts w:asciiTheme="majorBidi" w:hAnsiTheme="majorBidi" w:cstheme="majorBidi"/>
          <w:sz w:val="20"/>
          <w:szCs w:val="20"/>
        </w:rPr>
      </w:pPr>
      <w:r w:rsidRPr="002F0FED">
        <w:rPr>
          <w:rFonts w:asciiTheme="majorBidi" w:hAnsiTheme="majorBidi" w:cstheme="majorBidi"/>
          <w:sz w:val="20"/>
          <w:szCs w:val="20"/>
        </w:rPr>
        <w:t xml:space="preserve">Lin, Y. S. Wang, Y. M. Wang and M. H. Lee, (2021), “What drives people's intention toward live stream broadcasting,” </w:t>
      </w:r>
      <w:r w:rsidRPr="002F0FED">
        <w:rPr>
          <w:rFonts w:asciiTheme="majorBidi" w:hAnsiTheme="majorBidi" w:cstheme="majorBidi"/>
          <w:i/>
          <w:iCs/>
          <w:sz w:val="20"/>
          <w:szCs w:val="20"/>
        </w:rPr>
        <w:t>Online Information Review</w:t>
      </w:r>
      <w:r w:rsidRPr="002F0FED">
        <w:rPr>
          <w:rFonts w:asciiTheme="majorBidi" w:hAnsiTheme="majorBidi" w:cstheme="majorBidi"/>
          <w:sz w:val="20"/>
          <w:szCs w:val="20"/>
        </w:rPr>
        <w:t>, (45), 1268-1289..</w:t>
      </w:r>
    </w:p>
    <w:p w14:paraId="287B0F69" w14:textId="77777777" w:rsidR="00224E5E" w:rsidRPr="002F0FED" w:rsidRDefault="00224E5E" w:rsidP="00FA6392">
      <w:pPr>
        <w:pStyle w:val="Default"/>
        <w:jc w:val="both"/>
        <w:rPr>
          <w:rFonts w:asciiTheme="majorBidi" w:hAnsiTheme="majorBidi" w:cstheme="majorBidi"/>
          <w:sz w:val="20"/>
          <w:szCs w:val="20"/>
        </w:rPr>
      </w:pPr>
    </w:p>
    <w:p w14:paraId="140AFF19" w14:textId="77777777" w:rsidR="00224E5E" w:rsidRPr="002F0FED" w:rsidRDefault="00224E5E" w:rsidP="00FA6392">
      <w:pPr>
        <w:pStyle w:val="Default"/>
        <w:jc w:val="both"/>
        <w:rPr>
          <w:rFonts w:asciiTheme="majorBidi" w:hAnsiTheme="majorBidi" w:cstheme="majorBidi"/>
          <w:sz w:val="20"/>
          <w:szCs w:val="20"/>
        </w:rPr>
      </w:pPr>
      <w:r w:rsidRPr="002F0FED">
        <w:rPr>
          <w:rFonts w:asciiTheme="majorBidi" w:hAnsiTheme="majorBidi" w:cstheme="majorBidi"/>
          <w:sz w:val="20"/>
          <w:szCs w:val="20"/>
        </w:rPr>
        <w:t xml:space="preserve">Liu, J. Yang and L. Ling, (2020), “Exploring the influence of live streaming in mobile commerce on adoption intention from a social presence perspective,” </w:t>
      </w:r>
      <w:r w:rsidRPr="002F0FED">
        <w:rPr>
          <w:rFonts w:asciiTheme="majorBidi" w:hAnsiTheme="majorBidi" w:cstheme="majorBidi"/>
          <w:i/>
          <w:iCs/>
          <w:sz w:val="20"/>
          <w:szCs w:val="20"/>
        </w:rPr>
        <w:t xml:space="preserve">International Journal of Mobile Human Computer Interaction, </w:t>
      </w:r>
      <w:r w:rsidRPr="002F0FED">
        <w:rPr>
          <w:rFonts w:asciiTheme="majorBidi" w:hAnsiTheme="majorBidi" w:cstheme="majorBidi"/>
          <w:sz w:val="20"/>
          <w:szCs w:val="20"/>
        </w:rPr>
        <w:t>(12), 53-71.</w:t>
      </w:r>
    </w:p>
    <w:p w14:paraId="04E90E4B" w14:textId="77777777" w:rsidR="00224E5E" w:rsidRPr="002F0FED" w:rsidRDefault="00224E5E" w:rsidP="00FA6392">
      <w:pPr>
        <w:pStyle w:val="Default"/>
        <w:jc w:val="both"/>
        <w:rPr>
          <w:rFonts w:asciiTheme="majorBidi" w:hAnsiTheme="majorBidi" w:cstheme="majorBidi"/>
          <w:sz w:val="20"/>
          <w:szCs w:val="20"/>
        </w:rPr>
      </w:pPr>
    </w:p>
    <w:p w14:paraId="7BD60D2A" w14:textId="77777777" w:rsidR="00224E5E" w:rsidRPr="002F0FED" w:rsidRDefault="00224E5E" w:rsidP="00FA6392">
      <w:pPr>
        <w:pStyle w:val="Default"/>
        <w:jc w:val="both"/>
        <w:rPr>
          <w:rFonts w:asciiTheme="majorBidi" w:hAnsiTheme="majorBidi" w:cstheme="majorBidi"/>
          <w:sz w:val="20"/>
          <w:szCs w:val="20"/>
        </w:rPr>
      </w:pPr>
      <w:r w:rsidRPr="002F0FED">
        <w:rPr>
          <w:rFonts w:asciiTheme="majorBidi" w:hAnsiTheme="majorBidi" w:cstheme="majorBidi"/>
          <w:sz w:val="20"/>
          <w:szCs w:val="20"/>
        </w:rPr>
        <w:t xml:space="preserve">Meng, S. Duan, Y. Zhao, K. Lü and S. Chen, (2021)“The impact of online celebrity in livestreaming E-commerce on purchase intention from the perspective of emotional contagion,” </w:t>
      </w:r>
      <w:r w:rsidRPr="002F0FED">
        <w:rPr>
          <w:rFonts w:asciiTheme="majorBidi" w:hAnsiTheme="majorBidi" w:cstheme="majorBidi"/>
          <w:i/>
          <w:iCs/>
          <w:sz w:val="20"/>
          <w:szCs w:val="20"/>
        </w:rPr>
        <w:t>Journal of Retailing and Consumer Services</w:t>
      </w:r>
      <w:r w:rsidRPr="002F0FED">
        <w:rPr>
          <w:rFonts w:asciiTheme="majorBidi" w:hAnsiTheme="majorBidi" w:cstheme="majorBidi"/>
          <w:sz w:val="20"/>
          <w:szCs w:val="20"/>
        </w:rPr>
        <w:t>, (63) 102-124.</w:t>
      </w:r>
    </w:p>
    <w:p w14:paraId="5DC3EDC1" w14:textId="77777777" w:rsidR="00224E5E" w:rsidRPr="002F0FED" w:rsidRDefault="00224E5E" w:rsidP="00FA6392">
      <w:pPr>
        <w:pStyle w:val="Default"/>
        <w:jc w:val="both"/>
        <w:rPr>
          <w:rFonts w:asciiTheme="majorBidi" w:hAnsiTheme="majorBidi" w:cstheme="majorBidi"/>
          <w:sz w:val="20"/>
          <w:szCs w:val="20"/>
        </w:rPr>
      </w:pPr>
    </w:p>
    <w:p w14:paraId="4084FBBA" w14:textId="77777777" w:rsidR="00224E5E" w:rsidRPr="002F0FED" w:rsidRDefault="00224E5E" w:rsidP="00FA6392">
      <w:pPr>
        <w:pStyle w:val="Default"/>
        <w:jc w:val="both"/>
        <w:rPr>
          <w:rFonts w:asciiTheme="majorBidi" w:hAnsiTheme="majorBidi" w:cstheme="majorBidi"/>
          <w:sz w:val="20"/>
          <w:szCs w:val="20"/>
        </w:rPr>
      </w:pPr>
      <w:r w:rsidRPr="002F0FED">
        <w:rPr>
          <w:rFonts w:asciiTheme="majorBidi" w:hAnsiTheme="majorBidi" w:cstheme="majorBidi"/>
          <w:sz w:val="20"/>
          <w:szCs w:val="20"/>
        </w:rPr>
        <w:t xml:space="preserve">Park J and L. M. Lin, (2020), “The effects of match-ups on the consumer attitudes toward internet celebrities and their live streaming contents in the context of product endorsement,” </w:t>
      </w:r>
      <w:r w:rsidRPr="002F0FED">
        <w:rPr>
          <w:rFonts w:asciiTheme="majorBidi" w:hAnsiTheme="majorBidi" w:cstheme="majorBidi"/>
          <w:i/>
          <w:iCs/>
          <w:sz w:val="20"/>
          <w:szCs w:val="20"/>
        </w:rPr>
        <w:t>Journal of Retailing and Consumer Services,</w:t>
      </w:r>
      <w:r w:rsidRPr="002F0FED">
        <w:rPr>
          <w:rFonts w:asciiTheme="majorBidi" w:hAnsiTheme="majorBidi" w:cstheme="majorBidi"/>
          <w:sz w:val="20"/>
          <w:szCs w:val="20"/>
        </w:rPr>
        <w:t xml:space="preserve"> (52),  101-130.</w:t>
      </w:r>
    </w:p>
    <w:p w14:paraId="48B9D6A7" w14:textId="77777777" w:rsidR="00224E5E" w:rsidRPr="002F0FED" w:rsidRDefault="00224E5E" w:rsidP="00FA6392">
      <w:pPr>
        <w:pStyle w:val="Default"/>
        <w:jc w:val="both"/>
        <w:rPr>
          <w:rFonts w:asciiTheme="majorBidi" w:hAnsiTheme="majorBidi" w:cstheme="majorBidi"/>
          <w:sz w:val="20"/>
          <w:szCs w:val="20"/>
        </w:rPr>
      </w:pPr>
    </w:p>
    <w:p w14:paraId="1C6C9478" w14:textId="77777777" w:rsidR="00224E5E" w:rsidRPr="002F0FED" w:rsidRDefault="00224E5E" w:rsidP="00FA6392">
      <w:pPr>
        <w:pStyle w:val="Default"/>
        <w:jc w:val="both"/>
        <w:rPr>
          <w:rFonts w:asciiTheme="majorBidi" w:hAnsiTheme="majorBidi" w:cstheme="majorBidi"/>
          <w:sz w:val="20"/>
          <w:szCs w:val="20"/>
        </w:rPr>
      </w:pPr>
      <w:r w:rsidRPr="002F0FED">
        <w:rPr>
          <w:rFonts w:asciiTheme="majorBidi" w:hAnsiTheme="majorBidi" w:cstheme="majorBidi"/>
          <w:sz w:val="20"/>
          <w:szCs w:val="20"/>
        </w:rPr>
        <w:t xml:space="preserve">Shi, C. Ma and Y. Zhu, (2021), “The impact of emotional labor on user stickiness in the context of livestreaming service: Evidence from China,” </w:t>
      </w:r>
      <w:r w:rsidRPr="002F0FED">
        <w:rPr>
          <w:rFonts w:asciiTheme="majorBidi" w:hAnsiTheme="majorBidi" w:cstheme="majorBidi"/>
          <w:i/>
          <w:iCs/>
          <w:sz w:val="20"/>
          <w:szCs w:val="20"/>
        </w:rPr>
        <w:t>Frontiers in Psychology,</w:t>
      </w:r>
      <w:r w:rsidRPr="002F0FED">
        <w:rPr>
          <w:rFonts w:asciiTheme="majorBidi" w:hAnsiTheme="majorBidi" w:cstheme="majorBidi"/>
          <w:sz w:val="20"/>
          <w:szCs w:val="20"/>
        </w:rPr>
        <w:t xml:space="preserve"> (12), 698 -712.</w:t>
      </w:r>
    </w:p>
    <w:p w14:paraId="0C88843B" w14:textId="77777777" w:rsidR="00224E5E" w:rsidRPr="002F0FED" w:rsidRDefault="00224E5E" w:rsidP="00FA6392">
      <w:pPr>
        <w:pStyle w:val="Default"/>
        <w:jc w:val="both"/>
        <w:rPr>
          <w:rFonts w:asciiTheme="majorBidi" w:hAnsiTheme="majorBidi" w:cstheme="majorBidi"/>
          <w:sz w:val="20"/>
          <w:szCs w:val="20"/>
        </w:rPr>
      </w:pPr>
    </w:p>
    <w:p w14:paraId="6C458D98" w14:textId="77777777" w:rsidR="00224E5E" w:rsidRPr="002F0FED" w:rsidRDefault="00224E5E" w:rsidP="00FA6392">
      <w:pPr>
        <w:pStyle w:val="Default"/>
        <w:jc w:val="both"/>
        <w:rPr>
          <w:rFonts w:asciiTheme="majorBidi" w:hAnsiTheme="majorBidi" w:cstheme="majorBidi"/>
          <w:sz w:val="20"/>
          <w:szCs w:val="20"/>
        </w:rPr>
      </w:pPr>
      <w:r w:rsidRPr="002F0FED">
        <w:rPr>
          <w:rFonts w:asciiTheme="majorBidi" w:hAnsiTheme="majorBidi" w:cstheme="majorBidi"/>
          <w:sz w:val="20"/>
          <w:szCs w:val="20"/>
        </w:rPr>
        <w:t xml:space="preserve">Sun, X. Shao, X. Li, Y. Guo and K. Nie,  (2019), “How live streaming influences purchase intentions in social commerce: An IT affordance perspective,” </w:t>
      </w:r>
      <w:r w:rsidRPr="002F0FED">
        <w:rPr>
          <w:rFonts w:asciiTheme="majorBidi" w:hAnsiTheme="majorBidi" w:cstheme="majorBidi"/>
          <w:i/>
          <w:iCs/>
          <w:sz w:val="20"/>
          <w:szCs w:val="20"/>
        </w:rPr>
        <w:t xml:space="preserve">Electronic Commerce Research and Applications, </w:t>
      </w:r>
      <w:r w:rsidRPr="002F0FED">
        <w:rPr>
          <w:rFonts w:asciiTheme="majorBidi" w:hAnsiTheme="majorBidi" w:cstheme="majorBidi"/>
          <w:sz w:val="20"/>
          <w:szCs w:val="20"/>
        </w:rPr>
        <w:t xml:space="preserve">vol. 37, 2019. </w:t>
      </w:r>
    </w:p>
    <w:p w14:paraId="4355E8F8" w14:textId="77777777" w:rsidR="00224E5E" w:rsidRPr="002F0FED" w:rsidRDefault="00224E5E" w:rsidP="00FA6392">
      <w:pPr>
        <w:pStyle w:val="Default"/>
        <w:jc w:val="both"/>
        <w:rPr>
          <w:rFonts w:asciiTheme="majorBidi" w:hAnsiTheme="majorBidi" w:cstheme="majorBidi"/>
          <w:sz w:val="20"/>
          <w:szCs w:val="20"/>
        </w:rPr>
      </w:pPr>
    </w:p>
    <w:p w14:paraId="51D74989" w14:textId="77777777" w:rsidR="00224E5E" w:rsidRPr="002F0FED" w:rsidRDefault="00224E5E" w:rsidP="00FA6392">
      <w:pPr>
        <w:pStyle w:val="Default"/>
        <w:jc w:val="both"/>
        <w:rPr>
          <w:rFonts w:asciiTheme="majorBidi" w:hAnsiTheme="majorBidi" w:cstheme="majorBidi"/>
          <w:sz w:val="20"/>
          <w:szCs w:val="20"/>
        </w:rPr>
      </w:pPr>
      <w:r w:rsidRPr="002F0FED">
        <w:rPr>
          <w:rFonts w:asciiTheme="majorBidi" w:hAnsiTheme="majorBidi" w:cstheme="majorBidi"/>
          <w:sz w:val="20"/>
          <w:szCs w:val="20"/>
        </w:rPr>
        <w:t xml:space="preserve">Wang, F. Xie, J. Kandampully and J. Wang, (2022).,“Increase hedonic products purchase intention through livestreaming: The mediating effects of mental imagery quality and customer trust,” </w:t>
      </w:r>
      <w:r w:rsidRPr="002F0FED">
        <w:rPr>
          <w:rFonts w:asciiTheme="majorBidi" w:hAnsiTheme="majorBidi" w:cstheme="majorBidi"/>
          <w:i/>
          <w:iCs/>
          <w:sz w:val="20"/>
          <w:szCs w:val="20"/>
        </w:rPr>
        <w:t>Journal of Retailing and Consumer Services</w:t>
      </w:r>
      <w:r w:rsidRPr="002F0FED">
        <w:rPr>
          <w:rFonts w:asciiTheme="majorBidi" w:hAnsiTheme="majorBidi" w:cstheme="majorBidi"/>
          <w:sz w:val="20"/>
          <w:szCs w:val="20"/>
        </w:rPr>
        <w:t xml:space="preserve"> , (69), 103-124. </w:t>
      </w:r>
    </w:p>
    <w:p w14:paraId="4B2CE5A2" w14:textId="77777777" w:rsidR="00224E5E" w:rsidRPr="002F0FED" w:rsidRDefault="00224E5E" w:rsidP="00FA6392">
      <w:pPr>
        <w:pStyle w:val="Default"/>
        <w:jc w:val="both"/>
        <w:rPr>
          <w:rFonts w:asciiTheme="majorBidi" w:hAnsiTheme="majorBidi" w:cstheme="majorBidi"/>
          <w:sz w:val="20"/>
          <w:szCs w:val="20"/>
        </w:rPr>
      </w:pPr>
    </w:p>
    <w:p w14:paraId="14726207" w14:textId="77777777" w:rsidR="00224E5E" w:rsidRPr="002F0FED" w:rsidRDefault="00224E5E" w:rsidP="00FA6392">
      <w:pPr>
        <w:autoSpaceDE w:val="0"/>
        <w:autoSpaceDN w:val="0"/>
        <w:adjustRightInd w:val="0"/>
        <w:spacing w:after="0" w:line="240" w:lineRule="auto"/>
        <w:jc w:val="both"/>
        <w:rPr>
          <w:rFonts w:asciiTheme="majorBidi" w:hAnsiTheme="majorBidi" w:cstheme="majorBidi"/>
          <w:color w:val="000000"/>
          <w:sz w:val="20"/>
          <w:szCs w:val="20"/>
        </w:rPr>
      </w:pPr>
      <w:r w:rsidRPr="002F0FED">
        <w:rPr>
          <w:rFonts w:asciiTheme="majorBidi" w:hAnsiTheme="majorBidi" w:cstheme="majorBidi"/>
          <w:color w:val="000000"/>
          <w:sz w:val="20"/>
          <w:szCs w:val="20"/>
        </w:rPr>
        <w:t xml:space="preserve">Xu Z., and Y. Ye, “Who Watches Live Streaming in China? Examining Viewers’ Behaviors, Personality Traits, and Motivations,” </w:t>
      </w:r>
      <w:r w:rsidRPr="002F0FED">
        <w:rPr>
          <w:rFonts w:asciiTheme="majorBidi" w:hAnsiTheme="majorBidi" w:cstheme="majorBidi"/>
          <w:i/>
          <w:iCs/>
          <w:color w:val="000000"/>
          <w:sz w:val="20"/>
          <w:szCs w:val="20"/>
        </w:rPr>
        <w:t xml:space="preserve">Frontiers in Psychology, </w:t>
      </w:r>
      <w:r w:rsidRPr="002F0FED">
        <w:rPr>
          <w:rFonts w:asciiTheme="majorBidi" w:hAnsiTheme="majorBidi" w:cstheme="majorBidi"/>
          <w:color w:val="000000"/>
          <w:sz w:val="20"/>
          <w:szCs w:val="20"/>
        </w:rPr>
        <w:t xml:space="preserve">vol. 11, 2020. </w:t>
      </w:r>
    </w:p>
    <w:p w14:paraId="032768C9" w14:textId="77777777" w:rsidR="00224E5E" w:rsidRPr="002F0FED" w:rsidRDefault="00224E5E" w:rsidP="00FA6392">
      <w:pPr>
        <w:autoSpaceDE w:val="0"/>
        <w:autoSpaceDN w:val="0"/>
        <w:adjustRightInd w:val="0"/>
        <w:spacing w:after="0" w:line="240" w:lineRule="auto"/>
        <w:jc w:val="both"/>
        <w:rPr>
          <w:rFonts w:asciiTheme="majorBidi" w:hAnsiTheme="majorBidi" w:cstheme="majorBidi"/>
          <w:color w:val="000000"/>
          <w:sz w:val="20"/>
          <w:szCs w:val="20"/>
        </w:rPr>
      </w:pPr>
    </w:p>
    <w:p w14:paraId="19EB8A04" w14:textId="77777777" w:rsidR="00224E5E" w:rsidRPr="002F0FED" w:rsidRDefault="00224E5E" w:rsidP="00FA6392">
      <w:pPr>
        <w:pStyle w:val="Default"/>
        <w:jc w:val="both"/>
        <w:rPr>
          <w:rFonts w:asciiTheme="majorBidi" w:hAnsiTheme="majorBidi" w:cstheme="majorBidi"/>
          <w:sz w:val="20"/>
          <w:szCs w:val="20"/>
        </w:rPr>
      </w:pPr>
      <w:r w:rsidRPr="002F0FED">
        <w:rPr>
          <w:rFonts w:asciiTheme="majorBidi" w:hAnsiTheme="majorBidi" w:cstheme="majorBidi"/>
          <w:sz w:val="20"/>
          <w:szCs w:val="20"/>
        </w:rPr>
        <w:t xml:space="preserve">Zhang, F. Qin, G. A. Wang and C. Luo, (2020)., “The impact of live video streaming on online purchase intention,” </w:t>
      </w:r>
      <w:r w:rsidRPr="002F0FED">
        <w:rPr>
          <w:rFonts w:asciiTheme="majorBidi" w:hAnsiTheme="majorBidi" w:cstheme="majorBidi"/>
          <w:i/>
          <w:iCs/>
          <w:sz w:val="20"/>
          <w:szCs w:val="20"/>
        </w:rPr>
        <w:t xml:space="preserve">The Service Industries Journal, </w:t>
      </w:r>
      <w:r w:rsidRPr="002F0FED">
        <w:rPr>
          <w:rFonts w:asciiTheme="majorBidi" w:hAnsiTheme="majorBidi" w:cstheme="majorBidi"/>
          <w:sz w:val="20"/>
          <w:szCs w:val="20"/>
        </w:rPr>
        <w:t>(40), 656-681.</w:t>
      </w:r>
    </w:p>
    <w:p w14:paraId="7C1A6842" w14:textId="77777777" w:rsidR="00224E5E" w:rsidRPr="002F0FED" w:rsidRDefault="00224E5E" w:rsidP="00FA6392">
      <w:pPr>
        <w:pStyle w:val="Default"/>
        <w:jc w:val="both"/>
        <w:rPr>
          <w:rFonts w:asciiTheme="majorBidi" w:hAnsiTheme="majorBidi" w:cstheme="majorBidi"/>
          <w:sz w:val="20"/>
          <w:szCs w:val="20"/>
        </w:rPr>
      </w:pPr>
    </w:p>
    <w:p w14:paraId="1C1EB4A6" w14:textId="77777777" w:rsidR="00224E5E" w:rsidRPr="002F0FED" w:rsidRDefault="00224E5E" w:rsidP="00FA6392">
      <w:pPr>
        <w:autoSpaceDE w:val="0"/>
        <w:autoSpaceDN w:val="0"/>
        <w:adjustRightInd w:val="0"/>
        <w:spacing w:after="0" w:line="240" w:lineRule="auto"/>
        <w:jc w:val="both"/>
        <w:rPr>
          <w:rFonts w:asciiTheme="majorBidi" w:hAnsiTheme="majorBidi" w:cstheme="majorBidi"/>
          <w:color w:val="000000"/>
          <w:sz w:val="20"/>
          <w:szCs w:val="20"/>
        </w:rPr>
      </w:pPr>
      <w:r w:rsidRPr="002F0FED">
        <w:rPr>
          <w:rFonts w:asciiTheme="majorBidi" w:hAnsiTheme="majorBidi" w:cstheme="majorBidi"/>
          <w:color w:val="000000"/>
          <w:sz w:val="20"/>
          <w:szCs w:val="20"/>
        </w:rPr>
        <w:t xml:space="preserve">Zhou, L. Chen and Q. Su, (2019), “Understanding the impact of social distance on users’ broadcasting intention on live streaming platforms: A lens of the challenge-hindrance stress perspective,” </w:t>
      </w:r>
      <w:r w:rsidRPr="002F0FED">
        <w:rPr>
          <w:rFonts w:asciiTheme="majorBidi" w:hAnsiTheme="majorBidi" w:cstheme="majorBidi"/>
          <w:i/>
          <w:iCs/>
          <w:color w:val="000000"/>
          <w:sz w:val="20"/>
          <w:szCs w:val="20"/>
        </w:rPr>
        <w:t>Telematics and Informatics,</w:t>
      </w:r>
      <w:r w:rsidRPr="002F0FED">
        <w:rPr>
          <w:rFonts w:asciiTheme="majorBidi" w:hAnsiTheme="majorBidi" w:cstheme="majorBidi"/>
          <w:color w:val="000000"/>
          <w:sz w:val="20"/>
          <w:szCs w:val="20"/>
        </w:rPr>
        <w:t xml:space="preserve"> 41, 46-54. </w:t>
      </w:r>
    </w:p>
    <w:p w14:paraId="610503C4" w14:textId="77777777" w:rsidR="00224E5E" w:rsidRPr="002F0FED" w:rsidRDefault="00224E5E" w:rsidP="00FA6392">
      <w:pPr>
        <w:autoSpaceDE w:val="0"/>
        <w:autoSpaceDN w:val="0"/>
        <w:adjustRightInd w:val="0"/>
        <w:spacing w:after="0" w:line="240" w:lineRule="auto"/>
        <w:jc w:val="both"/>
        <w:rPr>
          <w:rFonts w:asciiTheme="majorBidi" w:hAnsiTheme="majorBidi" w:cstheme="majorBidi"/>
          <w:color w:val="000000"/>
          <w:sz w:val="20"/>
          <w:szCs w:val="20"/>
        </w:rPr>
      </w:pPr>
    </w:p>
    <w:p w14:paraId="186E70A4" w14:textId="77777777" w:rsidR="00224E5E" w:rsidRPr="002F0FED" w:rsidRDefault="00224E5E" w:rsidP="00224E5E">
      <w:pPr>
        <w:pStyle w:val="Default"/>
        <w:rPr>
          <w:rFonts w:asciiTheme="majorBidi" w:hAnsiTheme="majorBidi" w:cstheme="majorBidi"/>
          <w:sz w:val="20"/>
          <w:szCs w:val="20"/>
          <w:rtl/>
        </w:rPr>
      </w:pPr>
    </w:p>
    <w:p w14:paraId="5FE3EF69" w14:textId="77777777" w:rsidR="00224E5E" w:rsidRPr="002F0FED" w:rsidRDefault="00224E5E" w:rsidP="00224E5E">
      <w:pPr>
        <w:pStyle w:val="Default"/>
        <w:rPr>
          <w:rFonts w:asciiTheme="majorBidi" w:hAnsiTheme="majorBidi" w:cstheme="majorBidi"/>
          <w:sz w:val="20"/>
          <w:szCs w:val="20"/>
        </w:rPr>
      </w:pPr>
    </w:p>
    <w:p w14:paraId="466472F3" w14:textId="77777777" w:rsidR="00224E5E" w:rsidRPr="002F0FED" w:rsidRDefault="00224E5E" w:rsidP="00224E5E">
      <w:pPr>
        <w:rPr>
          <w:rFonts w:asciiTheme="majorBidi" w:hAnsiTheme="majorBidi" w:cstheme="majorBidi"/>
          <w:sz w:val="20"/>
          <w:szCs w:val="20"/>
        </w:rPr>
      </w:pPr>
    </w:p>
    <w:sectPr w:rsidR="00224E5E" w:rsidRPr="002F0FED">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0D448" w14:textId="77777777" w:rsidR="00E65E97" w:rsidRDefault="00E65E97" w:rsidP="00FF5C31">
      <w:pPr>
        <w:spacing w:after="0" w:line="240" w:lineRule="auto"/>
      </w:pPr>
      <w:r>
        <w:separator/>
      </w:r>
    </w:p>
  </w:endnote>
  <w:endnote w:type="continuationSeparator" w:id="0">
    <w:p w14:paraId="28DB057A" w14:textId="77777777" w:rsidR="00E65E97" w:rsidRDefault="00E65E97" w:rsidP="00FF5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AAAAI+TimesNewRomanPSMT">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107140"/>
      <w:docPartObj>
        <w:docPartGallery w:val="Page Numbers (Bottom of Page)"/>
        <w:docPartUnique/>
      </w:docPartObj>
    </w:sdtPr>
    <w:sdtEndPr>
      <w:rPr>
        <w:noProof/>
      </w:rPr>
    </w:sdtEndPr>
    <w:sdtContent>
      <w:p w14:paraId="511015C6" w14:textId="7D2F2B40" w:rsidR="00FF5C31" w:rsidRDefault="00FF5C31" w:rsidP="0043302E">
        <w:pPr>
          <w:pStyle w:val="Footer"/>
          <w:jc w:val="center"/>
        </w:pPr>
        <w:r>
          <w:fldChar w:fldCharType="begin"/>
        </w:r>
        <w:r>
          <w:instrText xml:space="preserve"> PAGE   \* MERGEFORMAT </w:instrText>
        </w:r>
        <w:r>
          <w:fldChar w:fldCharType="separate"/>
        </w:r>
        <w:r w:rsidR="000D6CEA">
          <w:rPr>
            <w:noProof/>
          </w:rPr>
          <w:t>1</w:t>
        </w:r>
        <w:r>
          <w:rPr>
            <w:noProof/>
          </w:rPr>
          <w:fldChar w:fldCharType="end"/>
        </w:r>
      </w:p>
    </w:sdtContent>
  </w:sdt>
  <w:p w14:paraId="71202D0F" w14:textId="77777777" w:rsidR="00FF5C31" w:rsidRDefault="00FF5C3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295AC" w14:textId="77777777" w:rsidR="00E65E97" w:rsidRDefault="00E65E97" w:rsidP="00FF5C31">
      <w:pPr>
        <w:spacing w:after="0" w:line="240" w:lineRule="auto"/>
      </w:pPr>
      <w:r>
        <w:separator/>
      </w:r>
    </w:p>
  </w:footnote>
  <w:footnote w:type="continuationSeparator" w:id="0">
    <w:p w14:paraId="7DDC8B4F" w14:textId="77777777" w:rsidR="00E65E97" w:rsidRDefault="00E65E97" w:rsidP="00FF5C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39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E5E"/>
    <w:rsid w:val="000D6CEA"/>
    <w:rsid w:val="00103487"/>
    <w:rsid w:val="001C5FE8"/>
    <w:rsid w:val="00217196"/>
    <w:rsid w:val="0022367D"/>
    <w:rsid w:val="00224E5E"/>
    <w:rsid w:val="00282AB3"/>
    <w:rsid w:val="00291040"/>
    <w:rsid w:val="002F0FED"/>
    <w:rsid w:val="00380A5C"/>
    <w:rsid w:val="0043302E"/>
    <w:rsid w:val="00616FEC"/>
    <w:rsid w:val="00652F85"/>
    <w:rsid w:val="008120F7"/>
    <w:rsid w:val="008B4820"/>
    <w:rsid w:val="008E2F57"/>
    <w:rsid w:val="00B1241D"/>
    <w:rsid w:val="00B40263"/>
    <w:rsid w:val="00BE146B"/>
    <w:rsid w:val="00C54764"/>
    <w:rsid w:val="00E65E97"/>
    <w:rsid w:val="00E83136"/>
    <w:rsid w:val="00F45FF4"/>
    <w:rsid w:val="00FA6392"/>
    <w:rsid w:val="00FF5C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3972E"/>
  <w15:chartTrackingRefBased/>
  <w15:docId w15:val="{501FE90C-3392-41F5-ACB4-DB6DE9A9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0A5C"/>
    <w:pPr>
      <w:spacing w:after="0" w:line="480" w:lineRule="auto"/>
      <w:contextualSpacing/>
      <w:jc w:val="center"/>
      <w:outlineLvl w:val="0"/>
    </w:pPr>
    <w:rPr>
      <w:rFonts w:asciiTheme="majorHAnsi" w:eastAsiaTheme="majorEastAsia" w:hAnsiTheme="majorHAnsi" w:cstheme="majorBidi"/>
      <w:b/>
      <w:kern w:val="2"/>
      <w:sz w:val="24"/>
      <w:szCs w:val="32"/>
      <w:lang w:eastAsia="zh-TW"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4E5E"/>
    <w:pPr>
      <w:autoSpaceDE w:val="0"/>
      <w:autoSpaceDN w:val="0"/>
      <w:adjustRightInd w:val="0"/>
      <w:spacing w:after="0" w:line="240" w:lineRule="auto"/>
    </w:pPr>
    <w:rPr>
      <w:rFonts w:ascii="AAAAAI+TimesNewRomanPSMT" w:hAnsi="AAAAAI+TimesNewRomanPSMT" w:cs="AAAAAI+TimesNewRomanPSMT"/>
      <w:color w:val="000000"/>
      <w:sz w:val="24"/>
      <w:szCs w:val="24"/>
    </w:rPr>
  </w:style>
  <w:style w:type="character" w:customStyle="1" w:styleId="Heading1Char">
    <w:name w:val="Heading 1 Char"/>
    <w:basedOn w:val="DefaultParagraphFont"/>
    <w:link w:val="Heading1"/>
    <w:uiPriority w:val="9"/>
    <w:rsid w:val="00380A5C"/>
    <w:rPr>
      <w:rFonts w:asciiTheme="majorHAnsi" w:eastAsiaTheme="majorEastAsia" w:hAnsiTheme="majorHAnsi" w:cstheme="majorBidi"/>
      <w:b/>
      <w:kern w:val="2"/>
      <w:sz w:val="24"/>
      <w:szCs w:val="32"/>
      <w:lang w:eastAsia="zh-TW" w:bidi="ar-SA"/>
      <w14:ligatures w14:val="standardContextual"/>
    </w:rPr>
  </w:style>
  <w:style w:type="table" w:styleId="TableGrid">
    <w:name w:val="Table Grid"/>
    <w:basedOn w:val="TableNormal"/>
    <w:uiPriority w:val="59"/>
    <w:rsid w:val="00380A5C"/>
    <w:pPr>
      <w:spacing w:after="0" w:line="240" w:lineRule="auto"/>
    </w:pPr>
    <w:rPr>
      <w:rFonts w:ascii="Times New Roman" w:eastAsia="PMingLiU" w:hAnsi="Times New Roman"/>
      <w:kern w:val="2"/>
      <w:sz w:val="24"/>
      <w:szCs w:val="24"/>
      <w:lang w:eastAsia="zh-TW"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5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C31"/>
  </w:style>
  <w:style w:type="paragraph" w:styleId="Footer">
    <w:name w:val="footer"/>
    <w:basedOn w:val="Normal"/>
    <w:link w:val="FooterChar"/>
    <w:uiPriority w:val="99"/>
    <w:unhideWhenUsed/>
    <w:rsid w:val="00FF5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C31"/>
  </w:style>
  <w:style w:type="paragraph" w:styleId="NormalWeb">
    <w:name w:val="Normal (Web)"/>
    <w:basedOn w:val="Normal"/>
    <w:uiPriority w:val="99"/>
    <w:semiHidden/>
    <w:unhideWhenUsed/>
    <w:rsid w:val="001034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1845</Words>
  <Characters>11097</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Jacob Hornik</cp:lastModifiedBy>
  <cp:revision>2</cp:revision>
  <dcterms:created xsi:type="dcterms:W3CDTF">2025-02-24T13:17:00Z</dcterms:created>
  <dcterms:modified xsi:type="dcterms:W3CDTF">2025-02-24T13:17:00Z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31415e2f-7177-4ee1-84d9-0c3c53914ce7</vt:lpwstr>
  </property>
</Properties>
</file>