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8156D" w14:textId="32E7AA22" w:rsidR="004B1A0D" w:rsidRPr="00FD63D0" w:rsidRDefault="00FD63D0">
      <w:pPr>
        <w:rPr>
          <w:rFonts w:ascii="Times New Roman" w:hAnsi="Times New Roman" w:cs="Times New Roman"/>
          <w:b/>
          <w:bCs/>
          <w:sz w:val="20"/>
          <w:szCs w:val="20"/>
          <w:u w:val="single"/>
        </w:rPr>
      </w:pPr>
      <w:r w:rsidRPr="00FD63D0">
        <w:rPr>
          <w:rFonts w:ascii="Times New Roman" w:hAnsi="Times New Roman" w:cs="Times New Roman"/>
          <w:b/>
          <w:bCs/>
          <w:sz w:val="20"/>
          <w:szCs w:val="20"/>
          <w:u w:val="single"/>
        </w:rPr>
        <w:t>Supplementary Appendix</w:t>
      </w:r>
    </w:p>
    <w:p w14:paraId="5C52AA06" w14:textId="77777777" w:rsidR="00FD63D0" w:rsidRDefault="00FD63D0">
      <w:pPr>
        <w:rPr>
          <w:rFonts w:ascii="Times New Roman" w:hAnsi="Times New Roman" w:cs="Times New Roman"/>
          <w:sz w:val="20"/>
          <w:szCs w:val="20"/>
        </w:rPr>
      </w:pPr>
    </w:p>
    <w:p w14:paraId="57AD40AE" w14:textId="5012A35C" w:rsidR="00FD63D0" w:rsidRPr="00FD63D0" w:rsidRDefault="00FD63D0">
      <w:pPr>
        <w:rPr>
          <w:rFonts w:ascii="Times New Roman" w:hAnsi="Times New Roman" w:cs="Times New Roman"/>
          <w:b/>
          <w:bCs/>
          <w:sz w:val="20"/>
          <w:szCs w:val="20"/>
        </w:rPr>
      </w:pPr>
      <w:r w:rsidRPr="00FD63D0">
        <w:rPr>
          <w:rFonts w:ascii="Times New Roman" w:hAnsi="Times New Roman" w:cs="Times New Roman"/>
          <w:b/>
          <w:bCs/>
          <w:sz w:val="20"/>
          <w:szCs w:val="20"/>
        </w:rPr>
        <w:t xml:space="preserve">Introduction to Anticoagulation Management Service (AMS) </w:t>
      </w:r>
    </w:p>
    <w:p w14:paraId="03130E94" w14:textId="77777777" w:rsidR="0051422A" w:rsidRDefault="007E719F">
      <w:pPr>
        <w:rPr>
          <w:rFonts w:ascii="Times New Roman" w:hAnsi="Times New Roman" w:cs="Times New Roman"/>
          <w:sz w:val="20"/>
          <w:szCs w:val="20"/>
        </w:rPr>
      </w:pPr>
      <w:r w:rsidRPr="007E719F">
        <w:rPr>
          <w:rFonts w:ascii="Times New Roman" w:hAnsi="Times New Roman" w:cs="Times New Roman"/>
          <w:sz w:val="20"/>
          <w:szCs w:val="20"/>
        </w:rPr>
        <w:t>The Atrius Health Anticoagulation Management Service (AMS) is a nurse and clinical pharmacist</w:t>
      </w:r>
      <w:r w:rsidR="0051422A">
        <w:rPr>
          <w:rFonts w:ascii="Times New Roman" w:hAnsi="Times New Roman" w:cs="Times New Roman"/>
          <w:sz w:val="20"/>
          <w:szCs w:val="20"/>
        </w:rPr>
        <w:t xml:space="preserve"> </w:t>
      </w:r>
      <w:r w:rsidRPr="007E719F">
        <w:rPr>
          <w:rFonts w:ascii="Times New Roman" w:hAnsi="Times New Roman" w:cs="Times New Roman"/>
          <w:sz w:val="20"/>
          <w:szCs w:val="20"/>
        </w:rPr>
        <w:t xml:space="preserve">staffed program that provides comprehensive anticoagulation management services for all oral anticoagulants, including warfarin and direct oral anticoagulants (DOACs). </w:t>
      </w:r>
      <w:r w:rsidR="0051422A" w:rsidRPr="0051422A">
        <w:rPr>
          <w:rFonts w:ascii="Times New Roman" w:hAnsi="Times New Roman" w:cs="Times New Roman"/>
          <w:sz w:val="20"/>
          <w:szCs w:val="20"/>
        </w:rPr>
        <w:t xml:space="preserve">The service supports Atrius Health primary care and specialty clinicians by providing patient education and overseeing anticoagulation therapy. </w:t>
      </w:r>
    </w:p>
    <w:p w14:paraId="17C5A3CA" w14:textId="4A503BCD" w:rsidR="007E719F" w:rsidRDefault="0051422A">
      <w:pPr>
        <w:rPr>
          <w:rFonts w:ascii="Times New Roman" w:hAnsi="Times New Roman" w:cs="Times New Roman"/>
          <w:sz w:val="20"/>
          <w:szCs w:val="20"/>
        </w:rPr>
      </w:pPr>
      <w:r w:rsidRPr="0051422A">
        <w:rPr>
          <w:rFonts w:ascii="Times New Roman" w:hAnsi="Times New Roman" w:cs="Times New Roman"/>
          <w:sz w:val="20"/>
          <w:szCs w:val="20"/>
        </w:rPr>
        <w:t>AMS is structured to promote adherence to evidence-based guidelines by centralizing responsibility for patient monitoring and anticoagulant therapy adjustments in accordance with departmental clinical guidelines, practice protocols, and the thrombosis collaborative drug therapy management (CDTM) protocol.</w:t>
      </w:r>
    </w:p>
    <w:p w14:paraId="0874B724" w14:textId="53723A39" w:rsidR="0032055C" w:rsidRDefault="0051422A">
      <w:pPr>
        <w:rPr>
          <w:rFonts w:ascii="Times New Roman" w:hAnsi="Times New Roman" w:cs="Times New Roman"/>
          <w:sz w:val="20"/>
          <w:szCs w:val="20"/>
        </w:rPr>
      </w:pPr>
      <w:r w:rsidRPr="0051422A">
        <w:rPr>
          <w:rFonts w:ascii="Times New Roman" w:hAnsi="Times New Roman" w:cs="Times New Roman"/>
          <w:sz w:val="20"/>
          <w:szCs w:val="20"/>
        </w:rPr>
        <w:t xml:space="preserve">The service is available to </w:t>
      </w:r>
      <w:r w:rsidR="001F29DD">
        <w:rPr>
          <w:rFonts w:ascii="Times New Roman" w:hAnsi="Times New Roman" w:cs="Times New Roman"/>
          <w:sz w:val="20"/>
          <w:szCs w:val="20"/>
        </w:rPr>
        <w:t xml:space="preserve">all </w:t>
      </w:r>
      <w:r w:rsidRPr="0051422A">
        <w:rPr>
          <w:rFonts w:ascii="Times New Roman" w:hAnsi="Times New Roman" w:cs="Times New Roman"/>
          <w:sz w:val="20"/>
          <w:szCs w:val="20"/>
        </w:rPr>
        <w:t>patients receiving primary care through Atrius Health Internal Medicine practices and requires referral from a primary care physician (PCP) or collaborating prescribing physician within Atrius Health. At the time of referral, the PCP or collaborating physician establishes the anticoagulation treatment plan, including the indication, treatment goals, and duration of therapy. After enrollment and patient consent, AMS assumes responsibility for day-to-day anticoagulation management, including coordination of periprocedural therapy interruptions and necessary treatment adjustments</w:t>
      </w:r>
      <w:r>
        <w:rPr>
          <w:rFonts w:ascii="Times New Roman" w:hAnsi="Times New Roman" w:cs="Times New Roman"/>
          <w:sz w:val="20"/>
          <w:szCs w:val="20"/>
        </w:rPr>
        <w:t>. A</w:t>
      </w:r>
      <w:r w:rsidRPr="0051422A">
        <w:rPr>
          <w:rFonts w:ascii="Times New Roman" w:hAnsi="Times New Roman" w:cs="Times New Roman"/>
          <w:sz w:val="20"/>
          <w:szCs w:val="20"/>
        </w:rPr>
        <w:t>ny deviations from established protocols require approval from a clinical pharmacy consultant or a member of the patient’s physician team.</w:t>
      </w:r>
      <w:r w:rsidR="0032055C">
        <w:rPr>
          <w:rFonts w:ascii="Times New Roman" w:hAnsi="Times New Roman" w:cs="Times New Roman"/>
          <w:sz w:val="20"/>
          <w:szCs w:val="20"/>
        </w:rPr>
        <w:br w:type="page"/>
      </w:r>
    </w:p>
    <w:p w14:paraId="7605B1FF" w14:textId="3BD6C311" w:rsidR="00E422FB" w:rsidRDefault="00E422FB">
      <w:pPr>
        <w:rPr>
          <w:rFonts w:ascii="Times New Roman" w:hAnsi="Times New Roman" w:cs="Times New Roman"/>
          <w:b/>
          <w:bCs/>
          <w:sz w:val="20"/>
          <w:szCs w:val="20"/>
        </w:rPr>
      </w:pPr>
      <w:r w:rsidRPr="00E422FB">
        <w:rPr>
          <w:rFonts w:ascii="Times New Roman" w:hAnsi="Times New Roman" w:cs="Times New Roman"/>
          <w:b/>
          <w:bCs/>
          <w:sz w:val="20"/>
          <w:szCs w:val="20"/>
        </w:rPr>
        <w:lastRenderedPageBreak/>
        <w:t xml:space="preserve">Annual </w:t>
      </w:r>
      <w:r w:rsidR="003908BB">
        <w:rPr>
          <w:rFonts w:ascii="Times New Roman" w:hAnsi="Times New Roman" w:cs="Times New Roman"/>
          <w:b/>
          <w:bCs/>
          <w:sz w:val="20"/>
          <w:szCs w:val="20"/>
        </w:rPr>
        <w:t>Patient Review</w:t>
      </w:r>
      <w:r w:rsidRPr="00E422FB">
        <w:rPr>
          <w:rFonts w:ascii="Times New Roman" w:hAnsi="Times New Roman" w:cs="Times New Roman"/>
          <w:b/>
          <w:bCs/>
          <w:sz w:val="20"/>
          <w:szCs w:val="20"/>
        </w:rPr>
        <w:t xml:space="preserve"> </w:t>
      </w:r>
    </w:p>
    <w:p w14:paraId="03DD8AE4" w14:textId="77777777" w:rsidR="0051422A" w:rsidRDefault="0051422A" w:rsidP="007E719F">
      <w:pPr>
        <w:rPr>
          <w:rFonts w:ascii="Times New Roman" w:hAnsi="Times New Roman" w:cs="Times New Roman"/>
          <w:sz w:val="20"/>
          <w:szCs w:val="20"/>
        </w:rPr>
      </w:pPr>
      <w:r w:rsidRPr="0051422A">
        <w:rPr>
          <w:rFonts w:ascii="Times New Roman" w:hAnsi="Times New Roman" w:cs="Times New Roman"/>
          <w:sz w:val="20"/>
          <w:szCs w:val="20"/>
        </w:rPr>
        <w:t xml:space="preserve">Patients receiving long-term anticoagulation </w:t>
      </w:r>
      <w:r>
        <w:rPr>
          <w:rFonts w:ascii="Times New Roman" w:hAnsi="Times New Roman" w:cs="Times New Roman"/>
          <w:sz w:val="20"/>
          <w:szCs w:val="20"/>
        </w:rPr>
        <w:t xml:space="preserve">should </w:t>
      </w:r>
      <w:r w:rsidRPr="0051422A">
        <w:rPr>
          <w:rFonts w:ascii="Times New Roman" w:hAnsi="Times New Roman" w:cs="Times New Roman"/>
          <w:sz w:val="20"/>
          <w:szCs w:val="20"/>
        </w:rPr>
        <w:t xml:space="preserve">complete a therapy review at least </w:t>
      </w:r>
      <w:r>
        <w:rPr>
          <w:rFonts w:ascii="Times New Roman" w:hAnsi="Times New Roman" w:cs="Times New Roman"/>
          <w:sz w:val="20"/>
          <w:szCs w:val="20"/>
        </w:rPr>
        <w:t>annually</w:t>
      </w:r>
      <w:r w:rsidRPr="0051422A">
        <w:rPr>
          <w:rFonts w:ascii="Times New Roman" w:hAnsi="Times New Roman" w:cs="Times New Roman"/>
          <w:sz w:val="20"/>
          <w:szCs w:val="20"/>
        </w:rPr>
        <w:t xml:space="preserve"> </w:t>
      </w:r>
      <w:r w:rsidRPr="007E719F">
        <w:rPr>
          <w:rFonts w:ascii="Times New Roman" w:hAnsi="Times New Roman" w:cs="Times New Roman"/>
          <w:sz w:val="20"/>
          <w:szCs w:val="20"/>
        </w:rPr>
        <w:t xml:space="preserve">to assess the need for continued anticoagulation and the appropriateness of the individualized antithrombotic treatment plan. </w:t>
      </w:r>
      <w:r w:rsidRPr="0051422A">
        <w:rPr>
          <w:rFonts w:ascii="Times New Roman" w:hAnsi="Times New Roman" w:cs="Times New Roman"/>
          <w:sz w:val="20"/>
          <w:szCs w:val="20"/>
        </w:rPr>
        <w:t xml:space="preserve">This review includes assessment of the indication and planned duration of therapy, selection and dosing of the anticoagulant agent, quality of anticoagulation control (e.g., warfarin time in therapeutic range or adherence to direct oral anticoagulants), concurrent antiplatelet therapy, and the patient’s thrombotic and bleeding risk. </w:t>
      </w:r>
    </w:p>
    <w:p w14:paraId="5D8EE803" w14:textId="4384B007" w:rsidR="0051422A" w:rsidRDefault="0051422A" w:rsidP="0051422A">
      <w:pPr>
        <w:rPr>
          <w:rFonts w:ascii="Times New Roman" w:hAnsi="Times New Roman" w:cs="Times New Roman"/>
          <w:sz w:val="20"/>
          <w:szCs w:val="20"/>
        </w:rPr>
      </w:pPr>
      <w:r>
        <w:rPr>
          <w:rFonts w:ascii="Times New Roman" w:hAnsi="Times New Roman" w:cs="Times New Roman"/>
          <w:sz w:val="20"/>
          <w:szCs w:val="20"/>
        </w:rPr>
        <w:t xml:space="preserve">For antithrombotic plans that require </w:t>
      </w:r>
      <w:r w:rsidRPr="0051422A">
        <w:rPr>
          <w:rFonts w:ascii="Times New Roman" w:hAnsi="Times New Roman" w:cs="Times New Roman"/>
          <w:sz w:val="20"/>
          <w:szCs w:val="20"/>
        </w:rPr>
        <w:t>collaboration with the referring physician and/or responsible care team to facilitate shared decision-making</w:t>
      </w:r>
      <w:r w:rsidR="002D1289">
        <w:rPr>
          <w:rFonts w:ascii="Times New Roman" w:hAnsi="Times New Roman" w:cs="Times New Roman"/>
          <w:sz w:val="20"/>
          <w:szCs w:val="20"/>
        </w:rPr>
        <w:t>,</w:t>
      </w:r>
      <w:r w:rsidRPr="0051422A">
        <w:rPr>
          <w:rFonts w:ascii="Times New Roman" w:hAnsi="Times New Roman" w:cs="Times New Roman"/>
          <w:sz w:val="20"/>
          <w:szCs w:val="20"/>
        </w:rPr>
        <w:t xml:space="preserve"> for patients needing reassessment of therapy duration or those with complex or atypical regimens</w:t>
      </w:r>
      <w:r>
        <w:rPr>
          <w:rFonts w:ascii="Times New Roman" w:hAnsi="Times New Roman" w:cs="Times New Roman"/>
          <w:sz w:val="20"/>
          <w:szCs w:val="20"/>
        </w:rPr>
        <w:t xml:space="preserve">, AMS staff will update </w:t>
      </w:r>
      <w:r w:rsidRPr="0051422A">
        <w:rPr>
          <w:rFonts w:ascii="Times New Roman" w:hAnsi="Times New Roman" w:cs="Times New Roman"/>
          <w:sz w:val="20"/>
          <w:szCs w:val="20"/>
        </w:rPr>
        <w:t>summary and detailed documentation supporting any recommended therapy modifications in a progress note, which is forwarded to the referring physician or responsible care team</w:t>
      </w:r>
      <w:r>
        <w:rPr>
          <w:rFonts w:ascii="Times New Roman" w:hAnsi="Times New Roman" w:cs="Times New Roman"/>
          <w:sz w:val="20"/>
          <w:szCs w:val="20"/>
        </w:rPr>
        <w:t xml:space="preserve">. Such clinical scenarios could include </w:t>
      </w:r>
      <w:r w:rsidRPr="0051422A">
        <w:rPr>
          <w:rFonts w:ascii="Times New Roman" w:hAnsi="Times New Roman" w:cs="Times New Roman"/>
          <w:sz w:val="20"/>
          <w:szCs w:val="20"/>
        </w:rPr>
        <w:t xml:space="preserve">patients receiving concomitant anticoagulant and antiplatelet therapy, </w:t>
      </w:r>
      <w:proofErr w:type="gramStart"/>
      <w:r w:rsidRPr="0051422A">
        <w:rPr>
          <w:rFonts w:ascii="Times New Roman" w:hAnsi="Times New Roman" w:cs="Times New Roman"/>
          <w:sz w:val="20"/>
          <w:szCs w:val="20"/>
        </w:rPr>
        <w:t>with the exception of</w:t>
      </w:r>
      <w:proofErr w:type="gramEnd"/>
      <w:r w:rsidRPr="0051422A">
        <w:rPr>
          <w:rFonts w:ascii="Times New Roman" w:hAnsi="Times New Roman" w:cs="Times New Roman"/>
          <w:sz w:val="20"/>
          <w:szCs w:val="20"/>
        </w:rPr>
        <w:t xml:space="preserve"> individuals with mechanical valve replacement, those treated with </w:t>
      </w:r>
      <w:proofErr w:type="gramStart"/>
      <w:r w:rsidRPr="0051422A">
        <w:rPr>
          <w:rFonts w:ascii="Times New Roman" w:hAnsi="Times New Roman" w:cs="Times New Roman"/>
          <w:sz w:val="20"/>
          <w:szCs w:val="20"/>
        </w:rPr>
        <w:t>rivaroxaban 2.5 mg</w:t>
      </w:r>
      <w:proofErr w:type="gramEnd"/>
      <w:r w:rsidRPr="0051422A">
        <w:rPr>
          <w:rFonts w:ascii="Times New Roman" w:hAnsi="Times New Roman" w:cs="Times New Roman"/>
          <w:sz w:val="20"/>
          <w:szCs w:val="20"/>
        </w:rPr>
        <w:t xml:space="preserve"> twice daily plus aspirin 81 mg daily for prevention of major cardiovascular events in coronary artery disease or peripheral artery disease, and those with peripheral artery disease requiring vascular intervention.</w:t>
      </w:r>
    </w:p>
    <w:p w14:paraId="60EB916A" w14:textId="1DACA2E7" w:rsidR="001F29DD" w:rsidRDefault="001F29DD" w:rsidP="0051422A">
      <w:pPr>
        <w:rPr>
          <w:rFonts w:ascii="Times New Roman" w:hAnsi="Times New Roman" w:cs="Times New Roman"/>
          <w:sz w:val="20"/>
          <w:szCs w:val="20"/>
        </w:rPr>
      </w:pPr>
      <w:r w:rsidRPr="001F29DD">
        <w:rPr>
          <w:rFonts w:ascii="Times New Roman" w:hAnsi="Times New Roman" w:cs="Times New Roman"/>
          <w:sz w:val="20"/>
          <w:szCs w:val="20"/>
        </w:rPr>
        <w:t>If patients receive care from physicians outside of Atrius, AMS is unable to communicate directly through the internal electronic health record. In such cases, AMS communicates recommendations using alternative methods, including telephone calls or fax correspondence to the external physician’s office.</w:t>
      </w:r>
    </w:p>
    <w:p w14:paraId="0F727ADF" w14:textId="4721A7BD" w:rsidR="0051422A" w:rsidRDefault="007531B4" w:rsidP="007E719F">
      <w:pPr>
        <w:rPr>
          <w:rFonts w:ascii="Times New Roman" w:hAnsi="Times New Roman" w:cs="Times New Roman"/>
          <w:sz w:val="20"/>
          <w:szCs w:val="20"/>
        </w:rPr>
      </w:pPr>
      <w:r w:rsidRPr="00C02050">
        <w:rPr>
          <w:rFonts w:ascii="Times New Roman" w:hAnsi="Times New Roman" w:cs="Times New Roman"/>
          <w:b/>
          <w:bCs/>
          <w:sz w:val="20"/>
          <w:szCs w:val="20"/>
        </w:rPr>
        <w:t>Supplementary Figure 1</w:t>
      </w:r>
      <w:r>
        <w:rPr>
          <w:rFonts w:ascii="Times New Roman" w:hAnsi="Times New Roman" w:cs="Times New Roman"/>
          <w:sz w:val="20"/>
          <w:szCs w:val="20"/>
        </w:rPr>
        <w:t xml:space="preserve">. AMS Annual Review </w:t>
      </w:r>
      <w:r w:rsidR="00792070">
        <w:rPr>
          <w:rFonts w:ascii="Times New Roman" w:hAnsi="Times New Roman" w:cs="Times New Roman"/>
          <w:sz w:val="20"/>
          <w:szCs w:val="20"/>
        </w:rPr>
        <w:t>Workflow</w:t>
      </w:r>
    </w:p>
    <w:p w14:paraId="03FFD1D2" w14:textId="764D4511" w:rsidR="008041BC" w:rsidRDefault="008041BC" w:rsidP="008041BC">
      <w:pPr>
        <w:ind w:left="-720" w:right="-720"/>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0D5F869A" wp14:editId="0B9C4C1C">
            <wp:extent cx="6972300" cy="4038600"/>
            <wp:effectExtent l="0" t="0" r="95250" b="0"/>
            <wp:docPr id="1498709047"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042D5253" w14:textId="0FDBF279" w:rsidR="007531B4" w:rsidRDefault="007531B4" w:rsidP="007E719F">
      <w:pPr>
        <w:rPr>
          <w:rFonts w:ascii="Times New Roman" w:hAnsi="Times New Roman" w:cs="Times New Roman"/>
          <w:sz w:val="20"/>
          <w:szCs w:val="20"/>
        </w:rPr>
      </w:pPr>
    </w:p>
    <w:p w14:paraId="37727B6A" w14:textId="77777777" w:rsidR="0051422A" w:rsidRDefault="0051422A" w:rsidP="00A701AB">
      <w:pPr>
        <w:rPr>
          <w:rFonts w:ascii="Times New Roman" w:hAnsi="Times New Roman" w:cs="Times New Roman"/>
          <w:sz w:val="20"/>
          <w:szCs w:val="20"/>
        </w:rPr>
      </w:pPr>
      <w:r>
        <w:rPr>
          <w:rFonts w:ascii="Times New Roman" w:hAnsi="Times New Roman" w:cs="Times New Roman"/>
          <w:sz w:val="20"/>
          <w:szCs w:val="20"/>
        </w:rPr>
        <w:br w:type="page"/>
      </w:r>
    </w:p>
    <w:p w14:paraId="71A7FE4D" w14:textId="38E8DBC5" w:rsidR="00A701AB" w:rsidRPr="00E74915" w:rsidRDefault="00787A5B" w:rsidP="00A701AB">
      <w:pPr>
        <w:rPr>
          <w:rFonts w:ascii="Times New Roman" w:hAnsi="Times New Roman" w:cs="Times New Roman"/>
          <w:b/>
          <w:bCs/>
          <w:sz w:val="20"/>
          <w:szCs w:val="20"/>
        </w:rPr>
      </w:pPr>
      <w:r>
        <w:rPr>
          <w:rFonts w:ascii="Times New Roman" w:hAnsi="Times New Roman" w:cs="Times New Roman"/>
          <w:b/>
          <w:bCs/>
          <w:sz w:val="20"/>
          <w:szCs w:val="20"/>
        </w:rPr>
        <w:lastRenderedPageBreak/>
        <w:t xml:space="preserve">AMS Protocols for </w:t>
      </w:r>
      <w:r w:rsidR="00A701AB" w:rsidRPr="00E74915">
        <w:rPr>
          <w:rFonts w:ascii="Times New Roman" w:hAnsi="Times New Roman" w:cs="Times New Roman"/>
          <w:b/>
          <w:bCs/>
          <w:sz w:val="20"/>
          <w:szCs w:val="20"/>
        </w:rPr>
        <w:t xml:space="preserve">Antiplatelet </w:t>
      </w:r>
      <w:r>
        <w:rPr>
          <w:rFonts w:ascii="Times New Roman" w:hAnsi="Times New Roman" w:cs="Times New Roman"/>
          <w:b/>
          <w:bCs/>
          <w:sz w:val="20"/>
          <w:szCs w:val="20"/>
        </w:rPr>
        <w:t>Management</w:t>
      </w:r>
      <w:r w:rsidR="00A701AB" w:rsidRPr="00E74915">
        <w:rPr>
          <w:rFonts w:ascii="Times New Roman" w:hAnsi="Times New Roman" w:cs="Times New Roman"/>
          <w:b/>
          <w:bCs/>
          <w:sz w:val="20"/>
          <w:szCs w:val="20"/>
        </w:rPr>
        <w:t xml:space="preserve"> </w:t>
      </w:r>
      <w:r>
        <w:rPr>
          <w:rFonts w:ascii="Times New Roman" w:hAnsi="Times New Roman" w:cs="Times New Roman"/>
          <w:b/>
          <w:bCs/>
          <w:sz w:val="20"/>
          <w:szCs w:val="20"/>
        </w:rPr>
        <w:t>in</w:t>
      </w:r>
      <w:r w:rsidR="00A701AB" w:rsidRPr="00E74915">
        <w:rPr>
          <w:rFonts w:ascii="Times New Roman" w:hAnsi="Times New Roman" w:cs="Times New Roman"/>
          <w:b/>
          <w:bCs/>
          <w:sz w:val="20"/>
          <w:szCs w:val="20"/>
        </w:rPr>
        <w:t xml:space="preserve"> Patients Requiring Indefinite Anticoagulation for Nonvalvular </w:t>
      </w:r>
      <w:r w:rsidR="00DD37A4">
        <w:rPr>
          <w:rFonts w:ascii="Times New Roman" w:hAnsi="Times New Roman" w:cs="Times New Roman"/>
          <w:b/>
          <w:bCs/>
          <w:sz w:val="20"/>
          <w:szCs w:val="20"/>
        </w:rPr>
        <w:t>Atrial Fibrillation (</w:t>
      </w:r>
      <w:r w:rsidR="00A701AB" w:rsidRPr="00E74915">
        <w:rPr>
          <w:rFonts w:ascii="Times New Roman" w:hAnsi="Times New Roman" w:cs="Times New Roman"/>
          <w:b/>
          <w:bCs/>
          <w:sz w:val="20"/>
          <w:szCs w:val="20"/>
        </w:rPr>
        <w:t>AF</w:t>
      </w:r>
      <w:r w:rsidR="00DD37A4">
        <w:rPr>
          <w:rFonts w:ascii="Times New Roman" w:hAnsi="Times New Roman" w:cs="Times New Roman"/>
          <w:b/>
          <w:bCs/>
          <w:sz w:val="20"/>
          <w:szCs w:val="20"/>
        </w:rPr>
        <w:t>)</w:t>
      </w:r>
      <w:r w:rsidR="00A701AB" w:rsidRPr="00E74915">
        <w:rPr>
          <w:rFonts w:ascii="Times New Roman" w:hAnsi="Times New Roman" w:cs="Times New Roman"/>
          <w:b/>
          <w:bCs/>
          <w:sz w:val="20"/>
          <w:szCs w:val="20"/>
        </w:rPr>
        <w:t xml:space="preserve"> or </w:t>
      </w:r>
      <w:r w:rsidR="00DD37A4" w:rsidRPr="001F29DD">
        <w:rPr>
          <w:rFonts w:ascii="Times New Roman" w:hAnsi="Times New Roman" w:cs="Times New Roman"/>
          <w:b/>
          <w:bCs/>
          <w:sz w:val="20"/>
          <w:szCs w:val="20"/>
        </w:rPr>
        <w:t>Venous Thromboembolism</w:t>
      </w:r>
      <w:r w:rsidR="00DD37A4">
        <w:rPr>
          <w:rFonts w:ascii="Times New Roman" w:hAnsi="Times New Roman" w:cs="Times New Roman"/>
          <w:sz w:val="20"/>
          <w:szCs w:val="20"/>
        </w:rPr>
        <w:t xml:space="preserve"> (</w:t>
      </w:r>
      <w:r w:rsidR="00A701AB" w:rsidRPr="00E74915">
        <w:rPr>
          <w:rFonts w:ascii="Times New Roman" w:hAnsi="Times New Roman" w:cs="Times New Roman"/>
          <w:b/>
          <w:bCs/>
          <w:sz w:val="20"/>
          <w:szCs w:val="20"/>
        </w:rPr>
        <w:t>VTE</w:t>
      </w:r>
      <w:r w:rsidR="00DD37A4">
        <w:rPr>
          <w:rFonts w:ascii="Times New Roman" w:hAnsi="Times New Roman" w:cs="Times New Roman"/>
          <w:b/>
          <w:bCs/>
          <w:sz w:val="20"/>
          <w:szCs w:val="20"/>
        </w:rPr>
        <w:t>)</w:t>
      </w:r>
      <w:r w:rsidR="00A66D81">
        <w:rPr>
          <w:rFonts w:ascii="Times New Roman" w:hAnsi="Times New Roman" w:cs="Times New Roman"/>
          <w:b/>
          <w:bCs/>
          <w:sz w:val="20"/>
          <w:szCs w:val="20"/>
        </w:rPr>
        <w:t xml:space="preserve"> </w:t>
      </w:r>
    </w:p>
    <w:p w14:paraId="349906E7" w14:textId="77777777" w:rsidR="00E74915" w:rsidRPr="00E74915" w:rsidRDefault="00E74915" w:rsidP="00E74915">
      <w:pPr>
        <w:rPr>
          <w:rFonts w:ascii="Times New Roman" w:hAnsi="Times New Roman" w:cs="Times New Roman"/>
          <w:sz w:val="20"/>
          <w:szCs w:val="20"/>
        </w:rPr>
      </w:pPr>
      <w:r w:rsidRPr="00E74915">
        <w:rPr>
          <w:rFonts w:ascii="Times New Roman" w:hAnsi="Times New Roman" w:cs="Times New Roman"/>
          <w:sz w:val="20"/>
          <w:szCs w:val="20"/>
        </w:rPr>
        <w:t xml:space="preserve">Anticoagulant Considerations: </w:t>
      </w:r>
    </w:p>
    <w:p w14:paraId="6DAA8B74" w14:textId="78E563DD" w:rsidR="00E74915" w:rsidRPr="00E74915" w:rsidRDefault="00E74915" w:rsidP="00E74915">
      <w:pPr>
        <w:pStyle w:val="NoSpacing"/>
        <w:numPr>
          <w:ilvl w:val="0"/>
          <w:numId w:val="8"/>
        </w:numPr>
        <w:rPr>
          <w:rFonts w:ascii="Times New Roman" w:hAnsi="Times New Roman" w:cs="Times New Roman"/>
          <w:sz w:val="20"/>
          <w:szCs w:val="20"/>
        </w:rPr>
      </w:pPr>
      <w:r w:rsidRPr="00E74915">
        <w:rPr>
          <w:rFonts w:ascii="Times New Roman" w:hAnsi="Times New Roman" w:cs="Times New Roman"/>
          <w:sz w:val="20"/>
          <w:szCs w:val="20"/>
        </w:rPr>
        <w:t xml:space="preserve">Use of an anticoagulant (AC) plus </w:t>
      </w:r>
      <w:r w:rsidR="000526AA">
        <w:rPr>
          <w:rFonts w:ascii="Times New Roman" w:hAnsi="Times New Roman" w:cs="Times New Roman"/>
          <w:sz w:val="20"/>
          <w:szCs w:val="20"/>
        </w:rPr>
        <w:t>single antiplatelet therapy (</w:t>
      </w:r>
      <w:r w:rsidRPr="00E74915">
        <w:rPr>
          <w:rFonts w:ascii="Times New Roman" w:hAnsi="Times New Roman" w:cs="Times New Roman"/>
          <w:sz w:val="20"/>
          <w:szCs w:val="20"/>
        </w:rPr>
        <w:t>SAPT</w:t>
      </w:r>
      <w:r w:rsidR="000526AA">
        <w:rPr>
          <w:rFonts w:ascii="Times New Roman" w:hAnsi="Times New Roman" w:cs="Times New Roman"/>
          <w:sz w:val="20"/>
          <w:szCs w:val="20"/>
        </w:rPr>
        <w:t>)</w:t>
      </w:r>
      <w:r w:rsidRPr="00E74915">
        <w:rPr>
          <w:rFonts w:ascii="Times New Roman" w:hAnsi="Times New Roman" w:cs="Times New Roman"/>
          <w:sz w:val="20"/>
          <w:szCs w:val="20"/>
        </w:rPr>
        <w:t xml:space="preserve"> increases the risk of minor, major, intracranial, and life-threatening bleeding compared to anticoagulation alone. The addition of</w:t>
      </w:r>
      <w:r w:rsidR="000526AA">
        <w:rPr>
          <w:rFonts w:ascii="Times New Roman" w:hAnsi="Times New Roman" w:cs="Times New Roman"/>
          <w:sz w:val="20"/>
          <w:szCs w:val="20"/>
        </w:rPr>
        <w:t xml:space="preserve"> dual antiplatelet therapy (</w:t>
      </w:r>
      <w:r w:rsidRPr="00E74915">
        <w:rPr>
          <w:rFonts w:ascii="Times New Roman" w:hAnsi="Times New Roman" w:cs="Times New Roman"/>
          <w:sz w:val="20"/>
          <w:szCs w:val="20"/>
        </w:rPr>
        <w:t>DAPT</w:t>
      </w:r>
      <w:r w:rsidR="000526AA">
        <w:rPr>
          <w:rFonts w:ascii="Times New Roman" w:hAnsi="Times New Roman" w:cs="Times New Roman"/>
          <w:sz w:val="20"/>
          <w:szCs w:val="20"/>
        </w:rPr>
        <w:t>)</w:t>
      </w:r>
      <w:r w:rsidRPr="00E74915">
        <w:rPr>
          <w:rFonts w:ascii="Times New Roman" w:hAnsi="Times New Roman" w:cs="Times New Roman"/>
          <w:sz w:val="20"/>
          <w:szCs w:val="20"/>
        </w:rPr>
        <w:t xml:space="preserve"> to oral anticoagulation, known as triple antithrombotic therapy, further increases the risk of bleeding.</w:t>
      </w:r>
    </w:p>
    <w:p w14:paraId="42B4E28B" w14:textId="58137A4C" w:rsidR="00E74915" w:rsidRPr="00E74915" w:rsidRDefault="00E74915" w:rsidP="00E74915">
      <w:pPr>
        <w:pStyle w:val="NoSpacing"/>
        <w:numPr>
          <w:ilvl w:val="0"/>
          <w:numId w:val="8"/>
        </w:numPr>
        <w:rPr>
          <w:rFonts w:ascii="Times New Roman" w:hAnsi="Times New Roman" w:cs="Times New Roman"/>
          <w:sz w:val="20"/>
          <w:szCs w:val="20"/>
        </w:rPr>
      </w:pPr>
      <w:r w:rsidRPr="00E74915">
        <w:rPr>
          <w:rFonts w:ascii="Times New Roman" w:hAnsi="Times New Roman" w:cs="Times New Roman"/>
          <w:sz w:val="20"/>
          <w:szCs w:val="20"/>
        </w:rPr>
        <w:t xml:space="preserve">For men with history of </w:t>
      </w:r>
      <w:r w:rsidR="00DD37A4">
        <w:rPr>
          <w:rFonts w:ascii="Times New Roman" w:hAnsi="Times New Roman" w:cs="Times New Roman"/>
          <w:sz w:val="20"/>
          <w:szCs w:val="20"/>
        </w:rPr>
        <w:t>AF</w:t>
      </w:r>
      <w:r w:rsidRPr="00E74915">
        <w:rPr>
          <w:rFonts w:ascii="Times New Roman" w:hAnsi="Times New Roman" w:cs="Times New Roman"/>
          <w:sz w:val="20"/>
          <w:szCs w:val="20"/>
        </w:rPr>
        <w:t xml:space="preserve"> and CHADS2-VASc score 0 or 1 and women with </w:t>
      </w:r>
      <w:r w:rsidR="0051422A">
        <w:rPr>
          <w:rFonts w:ascii="Times New Roman" w:hAnsi="Times New Roman" w:cs="Times New Roman"/>
          <w:sz w:val="20"/>
          <w:szCs w:val="20"/>
        </w:rPr>
        <w:t xml:space="preserve">AF </w:t>
      </w:r>
      <w:r w:rsidRPr="00E74915">
        <w:rPr>
          <w:rFonts w:ascii="Times New Roman" w:hAnsi="Times New Roman" w:cs="Times New Roman"/>
          <w:sz w:val="20"/>
          <w:szCs w:val="20"/>
        </w:rPr>
        <w:t>and CHADS2-VASc score 1 or 2, reassess bleeding risk (e.g., HAS-BLED score)</w:t>
      </w:r>
      <w:r w:rsidR="00C00B87">
        <w:rPr>
          <w:rFonts w:ascii="Times New Roman" w:hAnsi="Times New Roman" w:cs="Times New Roman"/>
          <w:sz w:val="20"/>
          <w:szCs w:val="20"/>
        </w:rPr>
        <w:t xml:space="preserve"> [1] </w:t>
      </w:r>
      <w:r w:rsidRPr="00E74915">
        <w:rPr>
          <w:rFonts w:ascii="Times New Roman" w:hAnsi="Times New Roman" w:cs="Times New Roman"/>
          <w:sz w:val="20"/>
          <w:szCs w:val="20"/>
        </w:rPr>
        <w:t xml:space="preserve">and consider the risks and benefits of oral anticoagulation during the periods when SAPT or DAPT are needed. </w:t>
      </w:r>
    </w:p>
    <w:p w14:paraId="3063BCA6" w14:textId="49A69567" w:rsidR="00E74915" w:rsidRDefault="00E74915" w:rsidP="00E74915">
      <w:pPr>
        <w:pStyle w:val="NoSpacing"/>
        <w:numPr>
          <w:ilvl w:val="0"/>
          <w:numId w:val="8"/>
        </w:numPr>
        <w:rPr>
          <w:rFonts w:ascii="Times New Roman" w:hAnsi="Times New Roman" w:cs="Times New Roman"/>
          <w:sz w:val="20"/>
          <w:szCs w:val="20"/>
        </w:rPr>
      </w:pPr>
      <w:r w:rsidRPr="00E74915">
        <w:rPr>
          <w:rFonts w:ascii="Times New Roman" w:hAnsi="Times New Roman" w:cs="Times New Roman"/>
          <w:sz w:val="20"/>
          <w:szCs w:val="20"/>
        </w:rPr>
        <w:t xml:space="preserve">For patients on anticoagulation for VTE indications who have completed the acute VTE treatment phase, </w:t>
      </w:r>
      <w:proofErr w:type="gramStart"/>
      <w:r w:rsidRPr="00E74915">
        <w:rPr>
          <w:rFonts w:ascii="Times New Roman" w:hAnsi="Times New Roman" w:cs="Times New Roman"/>
          <w:sz w:val="20"/>
          <w:szCs w:val="20"/>
        </w:rPr>
        <w:t>reassess</w:t>
      </w:r>
      <w:proofErr w:type="gramEnd"/>
      <w:r w:rsidRPr="00E74915">
        <w:rPr>
          <w:rFonts w:ascii="Times New Roman" w:hAnsi="Times New Roman" w:cs="Times New Roman"/>
          <w:sz w:val="20"/>
          <w:szCs w:val="20"/>
        </w:rPr>
        <w:t xml:space="preserve"> bleeding risk (e.g., HAS-BLED score) </w:t>
      </w:r>
      <w:r w:rsidR="00C00B87">
        <w:rPr>
          <w:rFonts w:ascii="Times New Roman" w:hAnsi="Times New Roman" w:cs="Times New Roman"/>
          <w:sz w:val="20"/>
          <w:szCs w:val="20"/>
        </w:rPr>
        <w:t xml:space="preserve">[1] </w:t>
      </w:r>
      <w:r w:rsidRPr="00E74915">
        <w:rPr>
          <w:rFonts w:ascii="Times New Roman" w:hAnsi="Times New Roman" w:cs="Times New Roman"/>
          <w:sz w:val="20"/>
          <w:szCs w:val="20"/>
        </w:rPr>
        <w:t xml:space="preserve">and consider the risks and benefits of oral anticoagulation in the setting of SAPT or DAPT. </w:t>
      </w:r>
    </w:p>
    <w:p w14:paraId="08B27AC1" w14:textId="44C04278" w:rsidR="00E74915" w:rsidRPr="00E74915" w:rsidRDefault="00E74915" w:rsidP="00E74915">
      <w:pPr>
        <w:pStyle w:val="NoSpacing"/>
        <w:numPr>
          <w:ilvl w:val="0"/>
          <w:numId w:val="8"/>
        </w:numPr>
        <w:rPr>
          <w:rFonts w:ascii="Times New Roman" w:hAnsi="Times New Roman" w:cs="Times New Roman"/>
          <w:sz w:val="20"/>
          <w:szCs w:val="20"/>
        </w:rPr>
      </w:pPr>
      <w:r w:rsidRPr="00E74915">
        <w:rPr>
          <w:rFonts w:ascii="Times New Roman" w:hAnsi="Times New Roman" w:cs="Times New Roman"/>
          <w:sz w:val="20"/>
          <w:szCs w:val="20"/>
        </w:rPr>
        <w:t>If indicated and feasible, DOACs are preferred over warfarin for oral anticoagulation in the setting of any antiplatelet therapy to minimize rates of major, intracranial, and fatal bleeding.</w:t>
      </w:r>
    </w:p>
    <w:p w14:paraId="04CD6606" w14:textId="547B693A" w:rsidR="00E74915" w:rsidRDefault="00E74915" w:rsidP="00E74915">
      <w:pPr>
        <w:pStyle w:val="NoSpacing"/>
        <w:numPr>
          <w:ilvl w:val="0"/>
          <w:numId w:val="8"/>
        </w:numPr>
        <w:rPr>
          <w:rFonts w:ascii="Times New Roman" w:hAnsi="Times New Roman" w:cs="Times New Roman"/>
          <w:sz w:val="20"/>
          <w:szCs w:val="20"/>
        </w:rPr>
      </w:pPr>
      <w:r w:rsidRPr="00E74915">
        <w:rPr>
          <w:rFonts w:ascii="Times New Roman" w:hAnsi="Times New Roman" w:cs="Times New Roman"/>
          <w:sz w:val="20"/>
          <w:szCs w:val="20"/>
        </w:rPr>
        <w:t>If the patient is a candidate for a reduced dose of DOAC for extended prevention of recurrent VTE (rivaroxaban 10</w:t>
      </w:r>
      <w:r w:rsidR="0051422A">
        <w:rPr>
          <w:rFonts w:ascii="Times New Roman" w:hAnsi="Times New Roman" w:cs="Times New Roman"/>
          <w:sz w:val="20"/>
          <w:szCs w:val="20"/>
        </w:rPr>
        <w:t xml:space="preserve"> </w:t>
      </w:r>
      <w:r w:rsidRPr="00E74915">
        <w:rPr>
          <w:rFonts w:ascii="Times New Roman" w:hAnsi="Times New Roman" w:cs="Times New Roman"/>
          <w:sz w:val="20"/>
          <w:szCs w:val="20"/>
        </w:rPr>
        <w:t>mg once daily or apixaban 2.5</w:t>
      </w:r>
      <w:r w:rsidR="00F305A9">
        <w:rPr>
          <w:rFonts w:ascii="Times New Roman" w:hAnsi="Times New Roman" w:cs="Times New Roman"/>
          <w:sz w:val="20"/>
          <w:szCs w:val="20"/>
        </w:rPr>
        <w:t xml:space="preserve"> </w:t>
      </w:r>
      <w:r w:rsidRPr="00E74915">
        <w:rPr>
          <w:rFonts w:ascii="Times New Roman" w:hAnsi="Times New Roman" w:cs="Times New Roman"/>
          <w:sz w:val="20"/>
          <w:szCs w:val="20"/>
        </w:rPr>
        <w:t>mg twice daily), this regimen is preferred in the setting of any concomitant antiplatelet therapy.</w:t>
      </w:r>
    </w:p>
    <w:p w14:paraId="5095865C" w14:textId="77777777" w:rsidR="00E74915" w:rsidRDefault="00E74915" w:rsidP="00E74915">
      <w:pPr>
        <w:pStyle w:val="NoSpacing"/>
        <w:rPr>
          <w:rFonts w:ascii="Times New Roman" w:hAnsi="Times New Roman" w:cs="Times New Roman"/>
          <w:sz w:val="20"/>
          <w:szCs w:val="20"/>
        </w:rPr>
      </w:pPr>
    </w:p>
    <w:p w14:paraId="045C4B55" w14:textId="77777777" w:rsidR="00E74915" w:rsidRPr="00E74915" w:rsidRDefault="00E74915" w:rsidP="00E74915">
      <w:pPr>
        <w:pStyle w:val="NoSpacing"/>
        <w:rPr>
          <w:rFonts w:ascii="Times New Roman" w:hAnsi="Times New Roman" w:cs="Times New Roman"/>
          <w:sz w:val="20"/>
          <w:szCs w:val="20"/>
        </w:rPr>
      </w:pPr>
    </w:p>
    <w:p w14:paraId="63C2AB9B" w14:textId="2BC67E68" w:rsidR="00E74915" w:rsidRDefault="00E74915" w:rsidP="00E74915">
      <w:pPr>
        <w:pStyle w:val="NoSpacing"/>
        <w:rPr>
          <w:rFonts w:ascii="Times New Roman" w:hAnsi="Times New Roman" w:cs="Times New Roman"/>
          <w:sz w:val="20"/>
          <w:szCs w:val="20"/>
        </w:rPr>
      </w:pPr>
      <w:r w:rsidRPr="00E74915">
        <w:rPr>
          <w:rFonts w:ascii="Times New Roman" w:hAnsi="Times New Roman" w:cs="Times New Roman"/>
          <w:sz w:val="20"/>
          <w:szCs w:val="20"/>
        </w:rPr>
        <w:t xml:space="preserve">Strategies below apply only to patients anticoagulated for nonvalvular AF or VTE and do not include recommendations for utilizing low-dose DOACs (i.e., rivaroxaban 2.5mg </w:t>
      </w:r>
      <w:r w:rsidR="002D1289">
        <w:rPr>
          <w:rFonts w:ascii="Times New Roman" w:hAnsi="Times New Roman" w:cs="Times New Roman"/>
          <w:sz w:val="20"/>
          <w:szCs w:val="20"/>
        </w:rPr>
        <w:t>twice daily</w:t>
      </w:r>
      <w:r w:rsidRPr="00E74915">
        <w:rPr>
          <w:rFonts w:ascii="Times New Roman" w:hAnsi="Times New Roman" w:cs="Times New Roman"/>
          <w:sz w:val="20"/>
          <w:szCs w:val="20"/>
        </w:rPr>
        <w:t xml:space="preserve">) for secondary CVD prevention. </w:t>
      </w:r>
    </w:p>
    <w:p w14:paraId="2BAAE9CE" w14:textId="77777777" w:rsidR="0087092B" w:rsidRDefault="0087092B" w:rsidP="00E74915">
      <w:pPr>
        <w:pStyle w:val="NoSpacing"/>
        <w:rPr>
          <w:rFonts w:ascii="Times New Roman" w:hAnsi="Times New Roman" w:cs="Times New Roman"/>
          <w:sz w:val="20"/>
          <w:szCs w:val="20"/>
        </w:rPr>
      </w:pPr>
    </w:p>
    <w:p w14:paraId="6E5A9119" w14:textId="445F42D3" w:rsidR="007E719F" w:rsidRDefault="007E719F" w:rsidP="007E719F">
      <w:pPr>
        <w:pStyle w:val="NoSpacing"/>
        <w:numPr>
          <w:ilvl w:val="0"/>
          <w:numId w:val="27"/>
        </w:numPr>
        <w:rPr>
          <w:rFonts w:ascii="Times New Roman" w:hAnsi="Times New Roman" w:cs="Times New Roman"/>
          <w:sz w:val="20"/>
          <w:szCs w:val="20"/>
        </w:rPr>
      </w:pPr>
      <w:r>
        <w:rPr>
          <w:rFonts w:ascii="Times New Roman" w:hAnsi="Times New Roman" w:cs="Times New Roman"/>
          <w:sz w:val="20"/>
          <w:szCs w:val="20"/>
        </w:rPr>
        <w:t xml:space="preserve">Primary prevention of </w:t>
      </w:r>
      <w:r w:rsidR="006F7143">
        <w:rPr>
          <w:rFonts w:ascii="Times New Roman" w:hAnsi="Times New Roman" w:cs="Times New Roman"/>
          <w:bCs/>
          <w:sz w:val="20"/>
          <w:szCs w:val="20"/>
        </w:rPr>
        <w:t>a</w:t>
      </w:r>
      <w:r w:rsidR="006F7143" w:rsidRPr="000526AA">
        <w:rPr>
          <w:rFonts w:ascii="Times New Roman" w:hAnsi="Times New Roman" w:cs="Times New Roman"/>
          <w:bCs/>
          <w:sz w:val="20"/>
          <w:szCs w:val="20"/>
        </w:rPr>
        <w:t xml:space="preserve">therosclerotic </w:t>
      </w:r>
      <w:r w:rsidR="006F7143">
        <w:rPr>
          <w:rFonts w:ascii="Times New Roman" w:hAnsi="Times New Roman" w:cs="Times New Roman"/>
          <w:bCs/>
          <w:sz w:val="20"/>
          <w:szCs w:val="20"/>
        </w:rPr>
        <w:t>c</w:t>
      </w:r>
      <w:r w:rsidR="006F7143" w:rsidRPr="000526AA">
        <w:rPr>
          <w:rFonts w:ascii="Times New Roman" w:hAnsi="Times New Roman" w:cs="Times New Roman"/>
          <w:bCs/>
          <w:sz w:val="20"/>
          <w:szCs w:val="20"/>
        </w:rPr>
        <w:t xml:space="preserve">ardiovascular </w:t>
      </w:r>
      <w:r w:rsidR="006F7143">
        <w:rPr>
          <w:rFonts w:ascii="Times New Roman" w:hAnsi="Times New Roman" w:cs="Times New Roman"/>
          <w:bCs/>
          <w:sz w:val="20"/>
          <w:szCs w:val="20"/>
        </w:rPr>
        <w:t>d</w:t>
      </w:r>
      <w:r w:rsidR="006F7143" w:rsidRPr="000526AA">
        <w:rPr>
          <w:rFonts w:ascii="Times New Roman" w:hAnsi="Times New Roman" w:cs="Times New Roman"/>
          <w:bCs/>
          <w:sz w:val="20"/>
          <w:szCs w:val="20"/>
        </w:rPr>
        <w:t>isease</w:t>
      </w:r>
      <w:r w:rsidR="006F7143">
        <w:rPr>
          <w:rFonts w:ascii="Times New Roman" w:hAnsi="Times New Roman" w:cs="Times New Roman"/>
          <w:sz w:val="20"/>
          <w:szCs w:val="20"/>
        </w:rPr>
        <w:t xml:space="preserve"> (</w:t>
      </w:r>
      <w:r>
        <w:rPr>
          <w:rFonts w:ascii="Times New Roman" w:hAnsi="Times New Roman" w:cs="Times New Roman"/>
          <w:sz w:val="20"/>
          <w:szCs w:val="20"/>
        </w:rPr>
        <w:t>ASCVD</w:t>
      </w:r>
      <w:r w:rsidR="006F7143">
        <w:rPr>
          <w:rFonts w:ascii="Times New Roman" w:hAnsi="Times New Roman" w:cs="Times New Roman"/>
          <w:sz w:val="20"/>
          <w:szCs w:val="20"/>
        </w:rPr>
        <w:t>)</w:t>
      </w:r>
    </w:p>
    <w:p w14:paraId="7A5FCBA3" w14:textId="6AFCCCC5" w:rsidR="007E719F" w:rsidRPr="007E719F" w:rsidRDefault="007E719F" w:rsidP="007E719F">
      <w:pPr>
        <w:pStyle w:val="NoSpacing"/>
        <w:numPr>
          <w:ilvl w:val="0"/>
          <w:numId w:val="8"/>
        </w:numPr>
        <w:rPr>
          <w:rFonts w:ascii="Times New Roman" w:hAnsi="Times New Roman" w:cs="Times New Roman"/>
          <w:sz w:val="20"/>
          <w:szCs w:val="20"/>
        </w:rPr>
      </w:pPr>
      <w:r w:rsidRPr="00941DEA">
        <w:rPr>
          <w:rFonts w:ascii="Times New Roman" w:hAnsi="Times New Roman" w:cs="Times New Roman"/>
          <w:bCs/>
          <w:sz w:val="20"/>
          <w:szCs w:val="20"/>
        </w:rPr>
        <w:t>There is no</w:t>
      </w:r>
      <w:r>
        <w:rPr>
          <w:rFonts w:ascii="Times New Roman" w:hAnsi="Times New Roman" w:cs="Times New Roman"/>
          <w:bCs/>
          <w:sz w:val="20"/>
          <w:szCs w:val="20"/>
        </w:rPr>
        <w:t xml:space="preserve"> anticipated</w:t>
      </w:r>
      <w:r w:rsidRPr="00941DEA">
        <w:rPr>
          <w:rFonts w:ascii="Times New Roman" w:hAnsi="Times New Roman" w:cs="Times New Roman"/>
          <w:bCs/>
          <w:sz w:val="20"/>
          <w:szCs w:val="20"/>
        </w:rPr>
        <w:t xml:space="preserve"> benefit to using antiplatelets for primary prevention of ASCVD</w:t>
      </w:r>
      <w:r>
        <w:rPr>
          <w:rFonts w:ascii="Times New Roman" w:hAnsi="Times New Roman" w:cs="Times New Roman"/>
          <w:bCs/>
          <w:sz w:val="20"/>
          <w:szCs w:val="20"/>
        </w:rPr>
        <w:t xml:space="preserve"> </w:t>
      </w:r>
      <w:r w:rsidRPr="00941DEA">
        <w:rPr>
          <w:rFonts w:ascii="Times New Roman" w:hAnsi="Times New Roman" w:cs="Times New Roman"/>
          <w:bCs/>
          <w:sz w:val="20"/>
          <w:szCs w:val="20"/>
        </w:rPr>
        <w:t xml:space="preserve">in patients on anticoagulation. </w:t>
      </w:r>
    </w:p>
    <w:p w14:paraId="293DE8E2" w14:textId="5C6A7037" w:rsidR="007E719F" w:rsidRPr="006F7143" w:rsidRDefault="007E719F" w:rsidP="007E719F">
      <w:pPr>
        <w:pStyle w:val="NoSpacing"/>
        <w:numPr>
          <w:ilvl w:val="0"/>
          <w:numId w:val="8"/>
        </w:numPr>
        <w:rPr>
          <w:rFonts w:ascii="Times New Roman" w:hAnsi="Times New Roman" w:cs="Times New Roman"/>
          <w:sz w:val="20"/>
          <w:szCs w:val="20"/>
        </w:rPr>
      </w:pPr>
      <w:r w:rsidRPr="00941DEA">
        <w:rPr>
          <w:rFonts w:ascii="Times New Roman" w:hAnsi="Times New Roman" w:cs="Times New Roman"/>
          <w:bCs/>
          <w:sz w:val="20"/>
          <w:szCs w:val="20"/>
        </w:rPr>
        <w:t>Given the risk of bleeding, antiplatelet therapy should always be discontinued at the time of anticoagulation initiation.</w:t>
      </w:r>
    </w:p>
    <w:p w14:paraId="372D40C3" w14:textId="77777777" w:rsidR="006F7143" w:rsidRPr="007E719F" w:rsidRDefault="006F7143" w:rsidP="00573B1C">
      <w:pPr>
        <w:pStyle w:val="NoSpacing"/>
        <w:ind w:left="720"/>
        <w:rPr>
          <w:rFonts w:ascii="Times New Roman" w:hAnsi="Times New Roman" w:cs="Times New Roman"/>
          <w:sz w:val="20"/>
          <w:szCs w:val="20"/>
        </w:rPr>
      </w:pPr>
    </w:p>
    <w:p w14:paraId="61D04520" w14:textId="77B16179" w:rsidR="007E719F" w:rsidRPr="007E719F" w:rsidRDefault="007E719F" w:rsidP="007E719F">
      <w:pPr>
        <w:pStyle w:val="NoSpacing"/>
        <w:numPr>
          <w:ilvl w:val="0"/>
          <w:numId w:val="27"/>
        </w:numPr>
        <w:rPr>
          <w:rFonts w:ascii="Times New Roman" w:hAnsi="Times New Roman" w:cs="Times New Roman"/>
          <w:sz w:val="20"/>
          <w:szCs w:val="20"/>
        </w:rPr>
      </w:pPr>
      <w:r>
        <w:rPr>
          <w:rFonts w:ascii="Times New Roman" w:hAnsi="Times New Roman" w:cs="Times New Roman"/>
          <w:bCs/>
          <w:sz w:val="20"/>
          <w:szCs w:val="20"/>
        </w:rPr>
        <w:t>Chronic coronary disease</w:t>
      </w:r>
      <w:r w:rsidR="007531B4">
        <w:rPr>
          <w:rFonts w:ascii="Times New Roman" w:hAnsi="Times New Roman" w:cs="Times New Roman"/>
          <w:bCs/>
          <w:sz w:val="20"/>
          <w:szCs w:val="20"/>
        </w:rPr>
        <w:t>*</w:t>
      </w:r>
    </w:p>
    <w:p w14:paraId="03027DBF" w14:textId="5E876F4C" w:rsidR="00824AD3" w:rsidRDefault="007531B4" w:rsidP="007531B4">
      <w:pPr>
        <w:pStyle w:val="NoSpacing"/>
        <w:numPr>
          <w:ilvl w:val="0"/>
          <w:numId w:val="8"/>
        </w:numPr>
        <w:rPr>
          <w:rFonts w:ascii="Times New Roman" w:hAnsi="Times New Roman" w:cs="Times New Roman"/>
          <w:bCs/>
          <w:sz w:val="20"/>
          <w:szCs w:val="20"/>
        </w:rPr>
      </w:pPr>
      <w:r w:rsidRPr="007531B4">
        <w:rPr>
          <w:rFonts w:ascii="Times New Roman" w:hAnsi="Times New Roman" w:cs="Times New Roman"/>
          <w:bCs/>
          <w:sz w:val="20"/>
          <w:szCs w:val="20"/>
        </w:rPr>
        <w:t>Bleeding risk may be assessed using scoring tools like HAS-BLED</w:t>
      </w:r>
      <w:r w:rsidR="0058383D">
        <w:rPr>
          <w:rFonts w:ascii="Times New Roman" w:hAnsi="Times New Roman" w:cs="Times New Roman"/>
          <w:sz w:val="20"/>
          <w:szCs w:val="20"/>
          <w:vertAlign w:val="superscript"/>
        </w:rPr>
        <w:t xml:space="preserve"> </w:t>
      </w:r>
      <w:r w:rsidR="0058383D">
        <w:rPr>
          <w:rFonts w:ascii="Times New Roman" w:hAnsi="Times New Roman" w:cs="Times New Roman"/>
          <w:bCs/>
          <w:sz w:val="20"/>
          <w:szCs w:val="20"/>
        </w:rPr>
        <w:t>[1]</w:t>
      </w:r>
      <w:r w:rsidRPr="007531B4">
        <w:rPr>
          <w:rFonts w:ascii="Times New Roman" w:hAnsi="Times New Roman" w:cs="Times New Roman"/>
          <w:bCs/>
          <w:sz w:val="20"/>
          <w:szCs w:val="20"/>
        </w:rPr>
        <w:t xml:space="preserve"> or utilizing the Academic Research Consortium definition for high bleeding risk (ARC-HBR)</w:t>
      </w:r>
      <w:r>
        <w:rPr>
          <w:rFonts w:ascii="Times New Roman" w:hAnsi="Times New Roman" w:cs="Times New Roman"/>
          <w:bCs/>
          <w:sz w:val="20"/>
          <w:szCs w:val="20"/>
        </w:rPr>
        <w:t xml:space="preserve"> </w:t>
      </w:r>
      <w:r w:rsidR="00C00B87">
        <w:rPr>
          <w:rFonts w:ascii="Times New Roman" w:hAnsi="Times New Roman" w:cs="Times New Roman"/>
          <w:bCs/>
          <w:sz w:val="20"/>
          <w:szCs w:val="20"/>
        </w:rPr>
        <w:t xml:space="preserve">[5] </w:t>
      </w:r>
      <w:r>
        <w:rPr>
          <w:rFonts w:ascii="Times New Roman" w:hAnsi="Times New Roman" w:cs="Times New Roman"/>
          <w:bCs/>
          <w:sz w:val="20"/>
          <w:szCs w:val="20"/>
        </w:rPr>
        <w:t xml:space="preserve">(see page 7, Bleeding Risk Score for more details). </w:t>
      </w:r>
    </w:p>
    <w:p w14:paraId="1A5B9A65" w14:textId="77777777" w:rsidR="007531B4" w:rsidRDefault="007531B4" w:rsidP="007531B4">
      <w:pPr>
        <w:pStyle w:val="NoSpacing"/>
        <w:ind w:left="720"/>
        <w:rPr>
          <w:rFonts w:ascii="Times New Roman" w:hAnsi="Times New Roman" w:cs="Times New Roman"/>
          <w:bCs/>
          <w:sz w:val="20"/>
          <w:szCs w:val="20"/>
        </w:rPr>
      </w:pPr>
    </w:p>
    <w:p w14:paraId="5C141F30" w14:textId="30F54ED9" w:rsidR="00824AD3" w:rsidRDefault="00824AD3" w:rsidP="007E719F">
      <w:pPr>
        <w:pStyle w:val="NoSpacing"/>
        <w:rPr>
          <w:rFonts w:ascii="Times New Roman" w:hAnsi="Times New Roman" w:cs="Times New Roman"/>
          <w:bCs/>
          <w:sz w:val="20"/>
          <w:szCs w:val="20"/>
        </w:rPr>
      </w:pPr>
      <w:r w:rsidRPr="00573B1C">
        <w:rPr>
          <w:rFonts w:ascii="Times New Roman" w:hAnsi="Times New Roman" w:cs="Times New Roman"/>
          <w:b/>
          <w:sz w:val="20"/>
          <w:szCs w:val="20"/>
        </w:rPr>
        <w:t xml:space="preserve">Supplementary Figure </w:t>
      </w:r>
      <w:r w:rsidR="00C02050">
        <w:rPr>
          <w:rFonts w:ascii="Times New Roman" w:hAnsi="Times New Roman" w:cs="Times New Roman"/>
          <w:b/>
          <w:sz w:val="20"/>
          <w:szCs w:val="20"/>
        </w:rPr>
        <w:t>2</w:t>
      </w:r>
      <w:r w:rsidRPr="00573B1C">
        <w:rPr>
          <w:rFonts w:ascii="Times New Roman" w:hAnsi="Times New Roman" w:cs="Times New Roman"/>
          <w:b/>
          <w:sz w:val="20"/>
          <w:szCs w:val="20"/>
        </w:rPr>
        <w:t>.</w:t>
      </w:r>
      <w:r>
        <w:rPr>
          <w:rFonts w:ascii="Times New Roman" w:hAnsi="Times New Roman" w:cs="Times New Roman"/>
          <w:bCs/>
          <w:sz w:val="20"/>
          <w:szCs w:val="20"/>
        </w:rPr>
        <w:t xml:space="preserve"> </w:t>
      </w:r>
      <w:r w:rsidR="00787A5B">
        <w:rPr>
          <w:rFonts w:ascii="Times New Roman" w:hAnsi="Times New Roman" w:cs="Times New Roman"/>
          <w:bCs/>
          <w:sz w:val="20"/>
          <w:szCs w:val="20"/>
        </w:rPr>
        <w:t xml:space="preserve">AMS Protocol on </w:t>
      </w:r>
      <w:r>
        <w:rPr>
          <w:rFonts w:ascii="Times New Roman" w:hAnsi="Times New Roman" w:cs="Times New Roman"/>
          <w:bCs/>
          <w:sz w:val="20"/>
          <w:szCs w:val="20"/>
        </w:rPr>
        <w:t>Antiplatelet strategies for chronic coronary disease for patients requiring anticoagulation</w:t>
      </w:r>
    </w:p>
    <w:p w14:paraId="0A8C7344" w14:textId="3917AB51" w:rsidR="007E719F" w:rsidRDefault="007E719F" w:rsidP="00A716DD">
      <w:pPr>
        <w:pStyle w:val="NoSpacing"/>
        <w:ind w:left="-720"/>
        <w:rPr>
          <w:rFonts w:ascii="Times New Roman" w:hAnsi="Times New Roman" w:cs="Times New Roman"/>
          <w:bCs/>
          <w:sz w:val="20"/>
          <w:szCs w:val="20"/>
        </w:rPr>
      </w:pPr>
      <w:r>
        <w:rPr>
          <w:rFonts w:ascii="Times New Roman" w:hAnsi="Times New Roman" w:cs="Times New Roman"/>
          <w:bCs/>
          <w:noProof/>
          <w:sz w:val="20"/>
          <w:szCs w:val="20"/>
        </w:rPr>
        <w:lastRenderedPageBreak/>
        <w:drawing>
          <wp:inline distT="0" distB="0" distL="0" distR="0" wp14:anchorId="0A2B0CC0" wp14:editId="24589B4F">
            <wp:extent cx="6842760" cy="7340600"/>
            <wp:effectExtent l="38100" t="0" r="53340" b="0"/>
            <wp:docPr id="800654517"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09EC9D6" w14:textId="50F4491C" w:rsidR="006F7143" w:rsidRPr="0072731F" w:rsidRDefault="006F7143" w:rsidP="006F7143">
      <w:pPr>
        <w:rPr>
          <w:rFonts w:ascii="Times New Roman" w:hAnsi="Times New Roman" w:cs="Times New Roman"/>
          <w:bCs/>
          <w:sz w:val="20"/>
          <w:szCs w:val="20"/>
        </w:rPr>
      </w:pPr>
      <w:r>
        <w:rPr>
          <w:rFonts w:ascii="Times New Roman" w:hAnsi="Times New Roman" w:cs="Times New Roman"/>
          <w:sz w:val="20"/>
          <w:szCs w:val="20"/>
        </w:rPr>
        <w:t>ACS acute coronary syndrome</w:t>
      </w:r>
      <w:r>
        <w:rPr>
          <w:rFonts w:ascii="Times New Roman" w:hAnsi="Times New Roman" w:cs="Times New Roman"/>
          <w:bCs/>
          <w:sz w:val="20"/>
          <w:szCs w:val="20"/>
        </w:rPr>
        <w:t xml:space="preserve">, </w:t>
      </w:r>
      <w:r>
        <w:rPr>
          <w:rFonts w:ascii="Times New Roman" w:hAnsi="Times New Roman" w:cs="Times New Roman"/>
          <w:sz w:val="20"/>
          <w:szCs w:val="20"/>
        </w:rPr>
        <w:t>PCI p</w:t>
      </w:r>
      <w:r w:rsidRPr="000526AA">
        <w:rPr>
          <w:rFonts w:ascii="Times New Roman" w:hAnsi="Times New Roman" w:cs="Times New Roman"/>
          <w:sz w:val="20"/>
          <w:szCs w:val="20"/>
        </w:rPr>
        <w:t xml:space="preserve">ercutaneous </w:t>
      </w:r>
      <w:r>
        <w:rPr>
          <w:rFonts w:ascii="Times New Roman" w:hAnsi="Times New Roman" w:cs="Times New Roman"/>
          <w:sz w:val="20"/>
          <w:szCs w:val="20"/>
        </w:rPr>
        <w:t>c</w:t>
      </w:r>
      <w:r w:rsidRPr="000526AA">
        <w:rPr>
          <w:rFonts w:ascii="Times New Roman" w:hAnsi="Times New Roman" w:cs="Times New Roman"/>
          <w:sz w:val="20"/>
          <w:szCs w:val="20"/>
        </w:rPr>
        <w:t xml:space="preserve">oronary </w:t>
      </w:r>
      <w:r>
        <w:rPr>
          <w:rFonts w:ascii="Times New Roman" w:hAnsi="Times New Roman" w:cs="Times New Roman"/>
          <w:sz w:val="20"/>
          <w:szCs w:val="20"/>
        </w:rPr>
        <w:t>i</w:t>
      </w:r>
      <w:r w:rsidRPr="000526AA">
        <w:rPr>
          <w:rFonts w:ascii="Times New Roman" w:hAnsi="Times New Roman" w:cs="Times New Roman"/>
          <w:sz w:val="20"/>
          <w:szCs w:val="20"/>
        </w:rPr>
        <w:t>ntervention</w:t>
      </w:r>
      <w:r>
        <w:rPr>
          <w:rFonts w:ascii="Times New Roman" w:hAnsi="Times New Roman" w:cs="Times New Roman"/>
          <w:sz w:val="20"/>
          <w:szCs w:val="20"/>
        </w:rPr>
        <w:t>,</w:t>
      </w:r>
      <w:r w:rsidRPr="0072731F">
        <w:rPr>
          <w:rFonts w:ascii="Times New Roman" w:hAnsi="Times New Roman" w:cs="Times New Roman"/>
          <w:bCs/>
          <w:sz w:val="20"/>
          <w:szCs w:val="20"/>
        </w:rPr>
        <w:t xml:space="preserve"> AC anticoagulant (e.g., DOAC, warfarin, </w:t>
      </w:r>
      <w:r w:rsidR="00C02050">
        <w:rPr>
          <w:rFonts w:ascii="Times New Roman" w:hAnsi="Times New Roman" w:cs="Times New Roman"/>
          <w:bCs/>
          <w:sz w:val="20"/>
          <w:szCs w:val="20"/>
        </w:rPr>
        <w:t>low molecular weight heparin</w:t>
      </w:r>
      <w:r w:rsidR="00C02050" w:rsidRPr="0072731F">
        <w:rPr>
          <w:rFonts w:ascii="Times New Roman" w:hAnsi="Times New Roman" w:cs="Times New Roman"/>
          <w:bCs/>
          <w:sz w:val="20"/>
          <w:szCs w:val="20"/>
        </w:rPr>
        <w:t>)</w:t>
      </w:r>
      <w:r w:rsidR="00C02050">
        <w:rPr>
          <w:rFonts w:ascii="Times New Roman" w:hAnsi="Times New Roman" w:cs="Times New Roman"/>
          <w:bCs/>
          <w:sz w:val="20"/>
          <w:szCs w:val="20"/>
        </w:rPr>
        <w:t xml:space="preserve">, </w:t>
      </w:r>
      <w:r>
        <w:rPr>
          <w:rFonts w:ascii="Times New Roman" w:hAnsi="Times New Roman" w:cs="Times New Roman"/>
          <w:bCs/>
          <w:sz w:val="20"/>
          <w:szCs w:val="20"/>
        </w:rPr>
        <w:t xml:space="preserve">P2Y12i P2Y12 inhibitor (clopidogrel, ticagrelor, or prasugrel), </w:t>
      </w:r>
      <w:r>
        <w:rPr>
          <w:rFonts w:ascii="Times New Roman" w:hAnsi="Times New Roman" w:cs="Times New Roman"/>
          <w:sz w:val="20"/>
          <w:szCs w:val="20"/>
        </w:rPr>
        <w:t>ASA aspirin, SAPT single antiplatelet therapy</w:t>
      </w:r>
      <w:r>
        <w:rPr>
          <w:rFonts w:ascii="Times New Roman" w:hAnsi="Times New Roman" w:cs="Times New Roman"/>
          <w:bCs/>
          <w:sz w:val="20"/>
          <w:szCs w:val="20"/>
        </w:rPr>
        <w:t xml:space="preserve">, </w:t>
      </w:r>
      <w:r>
        <w:rPr>
          <w:rFonts w:ascii="Times New Roman" w:hAnsi="Times New Roman" w:cs="Times New Roman"/>
          <w:sz w:val="20"/>
          <w:szCs w:val="20"/>
        </w:rPr>
        <w:t>PCI p</w:t>
      </w:r>
      <w:r w:rsidRPr="000526AA">
        <w:rPr>
          <w:rFonts w:ascii="Times New Roman" w:hAnsi="Times New Roman" w:cs="Times New Roman"/>
          <w:sz w:val="20"/>
          <w:szCs w:val="20"/>
        </w:rPr>
        <w:t xml:space="preserve">ercutaneous </w:t>
      </w:r>
      <w:r>
        <w:rPr>
          <w:rFonts w:ascii="Times New Roman" w:hAnsi="Times New Roman" w:cs="Times New Roman"/>
          <w:sz w:val="20"/>
          <w:szCs w:val="20"/>
        </w:rPr>
        <w:t>c</w:t>
      </w:r>
      <w:r w:rsidRPr="000526AA">
        <w:rPr>
          <w:rFonts w:ascii="Times New Roman" w:hAnsi="Times New Roman" w:cs="Times New Roman"/>
          <w:sz w:val="20"/>
          <w:szCs w:val="20"/>
        </w:rPr>
        <w:t xml:space="preserve">oronary </w:t>
      </w:r>
      <w:r>
        <w:rPr>
          <w:rFonts w:ascii="Times New Roman" w:hAnsi="Times New Roman" w:cs="Times New Roman"/>
          <w:sz w:val="20"/>
          <w:szCs w:val="20"/>
        </w:rPr>
        <w:t>i</w:t>
      </w:r>
      <w:r w:rsidRPr="000526AA">
        <w:rPr>
          <w:rFonts w:ascii="Times New Roman" w:hAnsi="Times New Roman" w:cs="Times New Roman"/>
          <w:sz w:val="20"/>
          <w:szCs w:val="20"/>
        </w:rPr>
        <w:t>ntervention</w:t>
      </w:r>
      <w:r>
        <w:rPr>
          <w:rFonts w:ascii="Times New Roman" w:hAnsi="Times New Roman" w:cs="Times New Roman"/>
          <w:sz w:val="20"/>
          <w:szCs w:val="20"/>
        </w:rPr>
        <w:t>, BMS bare metal stent, CABG c</w:t>
      </w:r>
      <w:r w:rsidRPr="000526AA">
        <w:rPr>
          <w:rFonts w:ascii="Times New Roman" w:hAnsi="Times New Roman" w:cs="Times New Roman"/>
          <w:sz w:val="20"/>
          <w:szCs w:val="20"/>
        </w:rPr>
        <w:t xml:space="preserve">oronary </w:t>
      </w:r>
      <w:r>
        <w:rPr>
          <w:rFonts w:ascii="Times New Roman" w:hAnsi="Times New Roman" w:cs="Times New Roman"/>
          <w:sz w:val="20"/>
          <w:szCs w:val="20"/>
        </w:rPr>
        <w:t>a</w:t>
      </w:r>
      <w:r w:rsidRPr="000526AA">
        <w:rPr>
          <w:rFonts w:ascii="Times New Roman" w:hAnsi="Times New Roman" w:cs="Times New Roman"/>
          <w:sz w:val="20"/>
          <w:szCs w:val="20"/>
        </w:rPr>
        <w:t xml:space="preserve">rtery </w:t>
      </w:r>
      <w:r>
        <w:rPr>
          <w:rFonts w:ascii="Times New Roman" w:hAnsi="Times New Roman" w:cs="Times New Roman"/>
          <w:sz w:val="20"/>
          <w:szCs w:val="20"/>
        </w:rPr>
        <w:t>b</w:t>
      </w:r>
      <w:r w:rsidRPr="000526AA">
        <w:rPr>
          <w:rFonts w:ascii="Times New Roman" w:hAnsi="Times New Roman" w:cs="Times New Roman"/>
          <w:sz w:val="20"/>
          <w:szCs w:val="20"/>
        </w:rPr>
        <w:t xml:space="preserve">ypass </w:t>
      </w:r>
      <w:r>
        <w:rPr>
          <w:rFonts w:ascii="Times New Roman" w:hAnsi="Times New Roman" w:cs="Times New Roman"/>
          <w:sz w:val="20"/>
          <w:szCs w:val="20"/>
        </w:rPr>
        <w:t>g</w:t>
      </w:r>
      <w:r w:rsidRPr="000526AA">
        <w:rPr>
          <w:rFonts w:ascii="Times New Roman" w:hAnsi="Times New Roman" w:cs="Times New Roman"/>
          <w:sz w:val="20"/>
          <w:szCs w:val="20"/>
        </w:rPr>
        <w:t>rafting</w:t>
      </w:r>
      <w:r>
        <w:rPr>
          <w:rFonts w:ascii="Times New Roman" w:hAnsi="Times New Roman" w:cs="Times New Roman"/>
          <w:sz w:val="20"/>
          <w:szCs w:val="20"/>
        </w:rPr>
        <w:t>, CCD chronic coronary disease</w:t>
      </w:r>
    </w:p>
    <w:p w14:paraId="4ED9C80F" w14:textId="4658CCE5" w:rsidR="007531B4" w:rsidRPr="0072731F" w:rsidRDefault="007531B4" w:rsidP="007531B4">
      <w:pPr>
        <w:rPr>
          <w:rFonts w:ascii="Times New Roman" w:hAnsi="Times New Roman" w:cs="Times New Roman"/>
          <w:bCs/>
          <w:sz w:val="20"/>
          <w:szCs w:val="20"/>
        </w:rPr>
      </w:pPr>
      <w:r>
        <w:rPr>
          <w:rFonts w:ascii="Times New Roman" w:hAnsi="Times New Roman" w:cs="Times New Roman"/>
          <w:bCs/>
          <w:sz w:val="20"/>
          <w:szCs w:val="20"/>
        </w:rPr>
        <w:lastRenderedPageBreak/>
        <w:t>*</w:t>
      </w:r>
      <w:r w:rsidRPr="0072731F">
        <w:rPr>
          <w:rFonts w:ascii="Times New Roman" w:hAnsi="Times New Roman" w:cs="Times New Roman"/>
          <w:bCs/>
          <w:sz w:val="20"/>
          <w:szCs w:val="20"/>
        </w:rPr>
        <w:t>High thrombotic risk (early events): ACS, previous stent thrombosis while on antiplatelet treatment, PCI complexity (3 vessels treated, ≥3 stents implanted, ≥3 lesions treated, bifurcation with 2 stents implanted, total stent length &gt;60 mm, surgical bypass graft PCI, chronic total occlusion PCI, atherectomy device use, left main PCI)</w:t>
      </w:r>
      <w:r w:rsidR="0058383D">
        <w:rPr>
          <w:rFonts w:ascii="Times New Roman" w:hAnsi="Times New Roman" w:cs="Times New Roman"/>
          <w:bCs/>
          <w:sz w:val="20"/>
          <w:szCs w:val="20"/>
          <w:vertAlign w:val="superscript"/>
        </w:rPr>
        <w:t xml:space="preserve"> </w:t>
      </w:r>
      <w:r w:rsidR="0058383D">
        <w:rPr>
          <w:rFonts w:ascii="Times New Roman" w:hAnsi="Times New Roman" w:cs="Times New Roman"/>
          <w:bCs/>
          <w:sz w:val="20"/>
          <w:szCs w:val="20"/>
        </w:rPr>
        <w:t>[3]</w:t>
      </w:r>
      <w:r w:rsidRPr="0072731F">
        <w:rPr>
          <w:rFonts w:ascii="Times New Roman" w:hAnsi="Times New Roman" w:cs="Times New Roman"/>
          <w:bCs/>
          <w:sz w:val="20"/>
          <w:szCs w:val="20"/>
        </w:rPr>
        <w:t xml:space="preserve">; High ischemic risk (long-term events): previous myocardial infarction, multivessel coronary artery disease, </w:t>
      </w:r>
      <w:proofErr w:type="spellStart"/>
      <w:r w:rsidRPr="0072731F">
        <w:rPr>
          <w:rFonts w:ascii="Times New Roman" w:hAnsi="Times New Roman" w:cs="Times New Roman"/>
          <w:bCs/>
          <w:sz w:val="20"/>
          <w:szCs w:val="20"/>
        </w:rPr>
        <w:t>polyvascular</w:t>
      </w:r>
      <w:proofErr w:type="spellEnd"/>
      <w:r w:rsidRPr="0072731F">
        <w:rPr>
          <w:rFonts w:ascii="Times New Roman" w:hAnsi="Times New Roman" w:cs="Times New Roman"/>
          <w:bCs/>
          <w:sz w:val="20"/>
          <w:szCs w:val="20"/>
        </w:rPr>
        <w:t xml:space="preserve"> disease, diabetes mellitus, chronic kidney disease, heart failure</w:t>
      </w:r>
      <w:r w:rsidRPr="00573B1C">
        <w:rPr>
          <w:rFonts w:ascii="Times New Roman" w:hAnsi="Times New Roman" w:cs="Times New Roman"/>
          <w:bCs/>
          <w:sz w:val="20"/>
          <w:szCs w:val="20"/>
          <w:vertAlign w:val="superscript"/>
        </w:rPr>
        <w:t>2</w:t>
      </w:r>
    </w:p>
    <w:p w14:paraId="5B26EF95" w14:textId="77777777" w:rsidR="006F7143" w:rsidRDefault="006F7143" w:rsidP="007E719F">
      <w:pPr>
        <w:pStyle w:val="NoSpacing"/>
        <w:rPr>
          <w:rFonts w:ascii="Times New Roman" w:hAnsi="Times New Roman" w:cs="Times New Roman"/>
          <w:bCs/>
          <w:sz w:val="20"/>
          <w:szCs w:val="20"/>
        </w:rPr>
      </w:pPr>
    </w:p>
    <w:p w14:paraId="7ED6B8AB" w14:textId="17CB849E" w:rsidR="007E719F" w:rsidRDefault="0087092B" w:rsidP="00573B1C">
      <w:pPr>
        <w:pStyle w:val="NoSpacing"/>
        <w:numPr>
          <w:ilvl w:val="0"/>
          <w:numId w:val="27"/>
        </w:numPr>
        <w:rPr>
          <w:rFonts w:ascii="Times New Roman" w:hAnsi="Times New Roman" w:cs="Times New Roman"/>
          <w:bCs/>
          <w:sz w:val="20"/>
          <w:szCs w:val="20"/>
        </w:rPr>
      </w:pPr>
      <w:r>
        <w:rPr>
          <w:rFonts w:ascii="Times New Roman" w:hAnsi="Times New Roman" w:cs="Times New Roman"/>
          <w:bCs/>
          <w:sz w:val="20"/>
          <w:szCs w:val="20"/>
        </w:rPr>
        <w:t>History of cerebrovascular disease</w:t>
      </w:r>
    </w:p>
    <w:p w14:paraId="7FD4DAB1" w14:textId="77777777" w:rsidR="007E719F" w:rsidRDefault="007E719F" w:rsidP="007E719F">
      <w:pPr>
        <w:pStyle w:val="NoSpacing"/>
        <w:rPr>
          <w:rFonts w:ascii="Times New Roman" w:hAnsi="Times New Roman" w:cs="Times New Roman"/>
          <w:bCs/>
          <w:sz w:val="20"/>
          <w:szCs w:val="20"/>
        </w:rPr>
      </w:pPr>
    </w:p>
    <w:p w14:paraId="15E1B435" w14:textId="72AF28B3" w:rsidR="00824AD3" w:rsidRDefault="00824AD3" w:rsidP="00824AD3">
      <w:pPr>
        <w:pStyle w:val="NoSpacing"/>
        <w:rPr>
          <w:rFonts w:ascii="Times New Roman" w:hAnsi="Times New Roman" w:cs="Times New Roman"/>
          <w:bCs/>
          <w:sz w:val="20"/>
          <w:szCs w:val="20"/>
        </w:rPr>
      </w:pPr>
      <w:r w:rsidRPr="00573B1C">
        <w:rPr>
          <w:rFonts w:ascii="Times New Roman" w:hAnsi="Times New Roman" w:cs="Times New Roman"/>
          <w:b/>
          <w:sz w:val="20"/>
          <w:szCs w:val="20"/>
        </w:rPr>
        <w:t xml:space="preserve">Supplementary Figure </w:t>
      </w:r>
      <w:r w:rsidR="00C02050">
        <w:rPr>
          <w:rFonts w:ascii="Times New Roman" w:hAnsi="Times New Roman" w:cs="Times New Roman"/>
          <w:b/>
          <w:sz w:val="20"/>
          <w:szCs w:val="20"/>
        </w:rPr>
        <w:t>3</w:t>
      </w:r>
      <w:r w:rsidRPr="00573B1C">
        <w:rPr>
          <w:rFonts w:ascii="Times New Roman" w:hAnsi="Times New Roman" w:cs="Times New Roman"/>
          <w:b/>
          <w:sz w:val="20"/>
          <w:szCs w:val="20"/>
        </w:rPr>
        <w:t>.</w:t>
      </w:r>
      <w:r>
        <w:rPr>
          <w:rFonts w:ascii="Times New Roman" w:hAnsi="Times New Roman" w:cs="Times New Roman"/>
          <w:bCs/>
          <w:sz w:val="20"/>
          <w:szCs w:val="20"/>
        </w:rPr>
        <w:t xml:space="preserve"> </w:t>
      </w:r>
      <w:r w:rsidR="00787A5B">
        <w:rPr>
          <w:rFonts w:ascii="Times New Roman" w:hAnsi="Times New Roman" w:cs="Times New Roman"/>
          <w:bCs/>
          <w:sz w:val="20"/>
          <w:szCs w:val="20"/>
        </w:rPr>
        <w:t xml:space="preserve">AMS Protocol on </w:t>
      </w:r>
      <w:r>
        <w:rPr>
          <w:rFonts w:ascii="Times New Roman" w:hAnsi="Times New Roman" w:cs="Times New Roman"/>
          <w:bCs/>
          <w:sz w:val="20"/>
          <w:szCs w:val="20"/>
        </w:rPr>
        <w:t>Antiplatelet strategies for cerebrovascular disease for patients requiring anticoagulation</w:t>
      </w:r>
    </w:p>
    <w:p w14:paraId="6DC3C777" w14:textId="77777777" w:rsidR="007E719F" w:rsidRDefault="007E719F" w:rsidP="007E719F">
      <w:pPr>
        <w:pStyle w:val="NoSpacing"/>
        <w:rPr>
          <w:rFonts w:ascii="Times New Roman" w:hAnsi="Times New Roman" w:cs="Times New Roman"/>
          <w:sz w:val="20"/>
          <w:szCs w:val="20"/>
        </w:rPr>
      </w:pPr>
    </w:p>
    <w:p w14:paraId="35DEA32B" w14:textId="7E5EECF8" w:rsidR="0087092B" w:rsidRDefault="0087092B" w:rsidP="007E719F">
      <w:pPr>
        <w:pStyle w:val="NoSpacing"/>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1AB5ECE4" wp14:editId="70413622">
            <wp:extent cx="5486400" cy="3200400"/>
            <wp:effectExtent l="0" t="0" r="0" b="57150"/>
            <wp:docPr id="1231779278"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17BDB063" w14:textId="2418B779" w:rsidR="0087092B" w:rsidRPr="00E74915" w:rsidRDefault="006F7143" w:rsidP="007E719F">
      <w:pPr>
        <w:pStyle w:val="NoSpacing"/>
        <w:rPr>
          <w:rFonts w:ascii="Times New Roman" w:hAnsi="Times New Roman" w:cs="Times New Roman"/>
          <w:sz w:val="20"/>
          <w:szCs w:val="20"/>
        </w:rPr>
      </w:pPr>
      <w:r w:rsidRPr="003F0F87">
        <w:rPr>
          <w:rFonts w:ascii="Times New Roman" w:hAnsi="Times New Roman" w:cs="Times New Roman"/>
          <w:bCs/>
          <w:sz w:val="20"/>
          <w:szCs w:val="20"/>
        </w:rPr>
        <w:t>CVA cerebrovascular accident</w:t>
      </w:r>
      <w:r>
        <w:rPr>
          <w:rFonts w:ascii="Times New Roman" w:hAnsi="Times New Roman" w:cs="Times New Roman"/>
          <w:bCs/>
          <w:sz w:val="20"/>
          <w:szCs w:val="20"/>
        </w:rPr>
        <w:t xml:space="preserve">, TIA transient ischemic attack, </w:t>
      </w:r>
      <w:r w:rsidRPr="0072731F">
        <w:rPr>
          <w:rFonts w:ascii="Times New Roman" w:hAnsi="Times New Roman" w:cs="Times New Roman"/>
          <w:bCs/>
          <w:sz w:val="20"/>
          <w:szCs w:val="20"/>
        </w:rPr>
        <w:t>AC anticoagulant (e.g., DOAC, warfarin,</w:t>
      </w:r>
      <w:r w:rsidR="00C02050">
        <w:rPr>
          <w:rFonts w:ascii="Times New Roman" w:hAnsi="Times New Roman" w:cs="Times New Roman"/>
          <w:bCs/>
          <w:sz w:val="20"/>
          <w:szCs w:val="20"/>
        </w:rPr>
        <w:t xml:space="preserve"> low molecular weight heparin</w:t>
      </w:r>
      <w:r w:rsidRPr="0072731F">
        <w:rPr>
          <w:rFonts w:ascii="Times New Roman" w:hAnsi="Times New Roman" w:cs="Times New Roman"/>
          <w:bCs/>
          <w:sz w:val="20"/>
          <w:szCs w:val="20"/>
        </w:rPr>
        <w:t>)</w:t>
      </w:r>
      <w:r>
        <w:rPr>
          <w:rFonts w:ascii="Times New Roman" w:hAnsi="Times New Roman" w:cs="Times New Roman"/>
          <w:bCs/>
          <w:sz w:val="20"/>
          <w:szCs w:val="20"/>
        </w:rPr>
        <w:t>, DAPT dual antiplatelet therapy, P2Y12i P2Y12 inhibitor (clopidogrel, ticagrelor, or prasugrel)</w:t>
      </w:r>
    </w:p>
    <w:p w14:paraId="76E56781" w14:textId="2A2C3015" w:rsidR="00C02050" w:rsidRDefault="00C02050" w:rsidP="00E74915">
      <w:pPr>
        <w:pStyle w:val="NoSpacing"/>
        <w:rPr>
          <w:rFonts w:ascii="Times New Roman" w:hAnsi="Times New Roman" w:cs="Times New Roman"/>
          <w:sz w:val="20"/>
          <w:szCs w:val="20"/>
        </w:rPr>
      </w:pPr>
      <w:r>
        <w:rPr>
          <w:rFonts w:ascii="Times New Roman" w:hAnsi="Times New Roman" w:cs="Times New Roman"/>
          <w:sz w:val="20"/>
          <w:szCs w:val="20"/>
        </w:rPr>
        <w:br w:type="page"/>
      </w:r>
    </w:p>
    <w:p w14:paraId="7C3D5A2F" w14:textId="77777777" w:rsidR="003F2184" w:rsidRDefault="003F2184" w:rsidP="00E74915">
      <w:pPr>
        <w:pStyle w:val="NoSpacing"/>
        <w:rPr>
          <w:rFonts w:ascii="Times New Roman" w:hAnsi="Times New Roman" w:cs="Times New Roman"/>
          <w:sz w:val="20"/>
          <w:szCs w:val="20"/>
        </w:rPr>
      </w:pPr>
    </w:p>
    <w:p w14:paraId="0B356DBD" w14:textId="297B1908" w:rsidR="0087092B" w:rsidRDefault="0087092B" w:rsidP="0087092B">
      <w:pPr>
        <w:pStyle w:val="NoSpacing"/>
        <w:numPr>
          <w:ilvl w:val="0"/>
          <w:numId w:val="27"/>
        </w:numPr>
        <w:rPr>
          <w:rFonts w:ascii="Times New Roman" w:hAnsi="Times New Roman" w:cs="Times New Roman"/>
          <w:sz w:val="20"/>
          <w:szCs w:val="20"/>
        </w:rPr>
      </w:pPr>
      <w:r>
        <w:rPr>
          <w:rFonts w:ascii="Times New Roman" w:hAnsi="Times New Roman" w:cs="Times New Roman"/>
          <w:sz w:val="20"/>
          <w:szCs w:val="20"/>
        </w:rPr>
        <w:t>Peripheral artery disease</w:t>
      </w:r>
    </w:p>
    <w:p w14:paraId="045E326B" w14:textId="77777777" w:rsidR="00824AD3" w:rsidRDefault="00824AD3" w:rsidP="00824AD3">
      <w:pPr>
        <w:pStyle w:val="NoSpacing"/>
        <w:rPr>
          <w:rFonts w:ascii="Times New Roman" w:hAnsi="Times New Roman" w:cs="Times New Roman"/>
          <w:b/>
          <w:sz w:val="20"/>
          <w:szCs w:val="20"/>
        </w:rPr>
      </w:pPr>
    </w:p>
    <w:p w14:paraId="7C4364BD" w14:textId="44B94487" w:rsidR="00824AD3" w:rsidRDefault="00824AD3" w:rsidP="00573B1C">
      <w:pPr>
        <w:pStyle w:val="NoSpacing"/>
        <w:rPr>
          <w:rFonts w:ascii="Times New Roman" w:hAnsi="Times New Roman" w:cs="Times New Roman"/>
          <w:bCs/>
          <w:sz w:val="20"/>
          <w:szCs w:val="20"/>
        </w:rPr>
      </w:pPr>
      <w:r w:rsidRPr="004E6CFA">
        <w:rPr>
          <w:rFonts w:ascii="Times New Roman" w:hAnsi="Times New Roman" w:cs="Times New Roman"/>
          <w:b/>
          <w:sz w:val="20"/>
          <w:szCs w:val="20"/>
        </w:rPr>
        <w:t xml:space="preserve">Supplementary Figure </w:t>
      </w:r>
      <w:r w:rsidR="00C02050">
        <w:rPr>
          <w:rFonts w:ascii="Times New Roman" w:hAnsi="Times New Roman" w:cs="Times New Roman"/>
          <w:b/>
          <w:sz w:val="20"/>
          <w:szCs w:val="20"/>
        </w:rPr>
        <w:t>4</w:t>
      </w:r>
      <w:r w:rsidRPr="004E6CFA">
        <w:rPr>
          <w:rFonts w:ascii="Times New Roman" w:hAnsi="Times New Roman" w:cs="Times New Roman"/>
          <w:b/>
          <w:sz w:val="20"/>
          <w:szCs w:val="20"/>
        </w:rPr>
        <w:t>.</w:t>
      </w:r>
      <w:r>
        <w:rPr>
          <w:rFonts w:ascii="Times New Roman" w:hAnsi="Times New Roman" w:cs="Times New Roman"/>
          <w:bCs/>
          <w:sz w:val="20"/>
          <w:szCs w:val="20"/>
        </w:rPr>
        <w:t xml:space="preserve"> </w:t>
      </w:r>
      <w:r w:rsidR="00787A5B">
        <w:rPr>
          <w:rFonts w:ascii="Times New Roman" w:hAnsi="Times New Roman" w:cs="Times New Roman"/>
          <w:bCs/>
          <w:sz w:val="20"/>
          <w:szCs w:val="20"/>
        </w:rPr>
        <w:t xml:space="preserve">AMS Protocol on </w:t>
      </w:r>
      <w:r>
        <w:rPr>
          <w:rFonts w:ascii="Times New Roman" w:hAnsi="Times New Roman" w:cs="Times New Roman"/>
          <w:bCs/>
          <w:sz w:val="20"/>
          <w:szCs w:val="20"/>
        </w:rPr>
        <w:t>Antiplatelet strategies for peripheral artery disease for patients requiring anticoagulation</w:t>
      </w:r>
    </w:p>
    <w:p w14:paraId="630BFA7E" w14:textId="77777777" w:rsidR="0087092B" w:rsidRDefault="0087092B" w:rsidP="0087092B">
      <w:pPr>
        <w:pStyle w:val="NoSpacing"/>
        <w:rPr>
          <w:rFonts w:ascii="Times New Roman" w:hAnsi="Times New Roman" w:cs="Times New Roman"/>
          <w:sz w:val="20"/>
          <w:szCs w:val="20"/>
        </w:rPr>
      </w:pPr>
    </w:p>
    <w:p w14:paraId="71DAFAF9" w14:textId="59D0912B" w:rsidR="0087092B" w:rsidRPr="00E74915" w:rsidRDefault="0087092B" w:rsidP="0087092B">
      <w:pPr>
        <w:pStyle w:val="NoSpacing"/>
        <w:rPr>
          <w:rFonts w:ascii="Times New Roman" w:hAnsi="Times New Roman" w:cs="Times New Roman"/>
          <w:sz w:val="20"/>
          <w:szCs w:val="20"/>
        </w:rPr>
      </w:pPr>
      <w:r>
        <w:rPr>
          <w:rFonts w:ascii="Times New Roman" w:hAnsi="Times New Roman" w:cs="Times New Roman"/>
          <w:noProof/>
          <w:sz w:val="20"/>
          <w:szCs w:val="20"/>
        </w:rPr>
        <w:drawing>
          <wp:inline distT="0" distB="0" distL="0" distR="0" wp14:anchorId="315DF2D7" wp14:editId="5DE006BC">
            <wp:extent cx="5486400" cy="3200400"/>
            <wp:effectExtent l="0" t="0" r="0" b="57150"/>
            <wp:docPr id="2037453560" name="Diagram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264888C" w14:textId="77777777" w:rsidR="006F7143" w:rsidRPr="00E74915" w:rsidRDefault="006F7143" w:rsidP="006F7143">
      <w:pPr>
        <w:pStyle w:val="NoSpacing"/>
        <w:rPr>
          <w:rFonts w:ascii="Times New Roman" w:hAnsi="Times New Roman" w:cs="Times New Roman"/>
          <w:sz w:val="20"/>
          <w:szCs w:val="20"/>
        </w:rPr>
      </w:pPr>
      <w:r w:rsidRPr="0072731F">
        <w:rPr>
          <w:rFonts w:ascii="Times New Roman" w:hAnsi="Times New Roman" w:cs="Times New Roman"/>
          <w:bCs/>
          <w:sz w:val="20"/>
          <w:szCs w:val="20"/>
        </w:rPr>
        <w:t xml:space="preserve">AC anticoagulant (e.g., DOAC, warfarin, LMWH (in setting of </w:t>
      </w:r>
      <w:proofErr w:type="gramStart"/>
      <w:r w:rsidRPr="0072731F">
        <w:rPr>
          <w:rFonts w:ascii="Times New Roman" w:hAnsi="Times New Roman" w:cs="Times New Roman"/>
          <w:bCs/>
          <w:sz w:val="20"/>
          <w:szCs w:val="20"/>
        </w:rPr>
        <w:t>VTE))</w:t>
      </w:r>
      <w:proofErr w:type="gramEnd"/>
      <w:r>
        <w:rPr>
          <w:rFonts w:ascii="Times New Roman" w:hAnsi="Times New Roman" w:cs="Times New Roman"/>
          <w:bCs/>
          <w:sz w:val="20"/>
          <w:szCs w:val="20"/>
        </w:rPr>
        <w:t>, DAPT dual antiplatelet therapy, P2Y12i P2Y12 inhibitor (clopidogrel, ticagrelor, or prasugrel)</w:t>
      </w:r>
    </w:p>
    <w:p w14:paraId="75D733C7" w14:textId="77777777" w:rsidR="006F7143" w:rsidRDefault="006F7143" w:rsidP="006F7143">
      <w:pPr>
        <w:pStyle w:val="NoSpacing"/>
        <w:rPr>
          <w:rFonts w:ascii="Times New Roman" w:hAnsi="Times New Roman" w:cs="Times New Roman"/>
          <w:sz w:val="20"/>
          <w:szCs w:val="20"/>
        </w:rPr>
      </w:pPr>
    </w:p>
    <w:p w14:paraId="242344CA" w14:textId="77777777" w:rsidR="00C03A59" w:rsidRDefault="00C03A59" w:rsidP="00786432">
      <w:pPr>
        <w:rPr>
          <w:rFonts w:ascii="Times New Roman" w:hAnsi="Times New Roman" w:cs="Times New Roman"/>
          <w:b/>
          <w:sz w:val="20"/>
          <w:szCs w:val="20"/>
        </w:rPr>
      </w:pPr>
    </w:p>
    <w:p w14:paraId="3028C35C" w14:textId="1701CB9D" w:rsidR="0032055C" w:rsidRDefault="0032055C" w:rsidP="0072731F">
      <w:pPr>
        <w:rPr>
          <w:rFonts w:ascii="Times New Roman" w:hAnsi="Times New Roman" w:cs="Times New Roman"/>
          <w:bCs/>
          <w:sz w:val="20"/>
          <w:szCs w:val="20"/>
        </w:rPr>
      </w:pPr>
      <w:r>
        <w:rPr>
          <w:rFonts w:ascii="Times New Roman" w:hAnsi="Times New Roman" w:cs="Times New Roman"/>
          <w:bCs/>
          <w:sz w:val="20"/>
          <w:szCs w:val="20"/>
        </w:rPr>
        <w:br w:type="page"/>
      </w:r>
    </w:p>
    <w:p w14:paraId="6BE17010" w14:textId="3DB219C9" w:rsidR="0072731F" w:rsidRDefault="00787A5B" w:rsidP="0072731F">
      <w:pPr>
        <w:rPr>
          <w:rFonts w:ascii="Times New Roman" w:hAnsi="Times New Roman" w:cs="Times New Roman"/>
          <w:b/>
          <w:sz w:val="20"/>
          <w:szCs w:val="20"/>
        </w:rPr>
      </w:pPr>
      <w:r w:rsidRPr="00787A5B">
        <w:rPr>
          <w:rFonts w:ascii="Times New Roman" w:hAnsi="Times New Roman" w:cs="Times New Roman"/>
          <w:b/>
          <w:sz w:val="20"/>
          <w:szCs w:val="20"/>
        </w:rPr>
        <w:lastRenderedPageBreak/>
        <w:t xml:space="preserve">AMS Protocol </w:t>
      </w:r>
      <w:r>
        <w:rPr>
          <w:rFonts w:ascii="Times New Roman" w:hAnsi="Times New Roman" w:cs="Times New Roman"/>
          <w:b/>
          <w:sz w:val="20"/>
          <w:szCs w:val="20"/>
        </w:rPr>
        <w:t>for</w:t>
      </w:r>
      <w:r>
        <w:rPr>
          <w:rFonts w:ascii="Times New Roman" w:hAnsi="Times New Roman" w:cs="Times New Roman"/>
          <w:bCs/>
          <w:sz w:val="20"/>
          <w:szCs w:val="20"/>
        </w:rPr>
        <w:t xml:space="preserve"> </w:t>
      </w:r>
      <w:r w:rsidR="0072731F" w:rsidRPr="0032055C">
        <w:rPr>
          <w:rFonts w:ascii="Times New Roman" w:hAnsi="Times New Roman" w:cs="Times New Roman"/>
          <w:b/>
          <w:sz w:val="20"/>
          <w:szCs w:val="20"/>
        </w:rPr>
        <w:t>Bleeding Risk Score</w:t>
      </w:r>
      <w:r w:rsidR="0032055C">
        <w:rPr>
          <w:rFonts w:ascii="Times New Roman" w:hAnsi="Times New Roman" w:cs="Times New Roman"/>
          <w:b/>
          <w:sz w:val="20"/>
          <w:szCs w:val="20"/>
        </w:rPr>
        <w:t xml:space="preserve"> </w:t>
      </w:r>
    </w:p>
    <w:p w14:paraId="2D49CE15" w14:textId="4A237681" w:rsidR="00DD37A4" w:rsidRPr="00DD37A4" w:rsidRDefault="00DD37A4" w:rsidP="0072731F">
      <w:pPr>
        <w:rPr>
          <w:rFonts w:ascii="Times New Roman" w:hAnsi="Times New Roman" w:cs="Times New Roman"/>
          <w:bCs/>
          <w:sz w:val="20"/>
          <w:szCs w:val="20"/>
        </w:rPr>
      </w:pPr>
      <w:r w:rsidRPr="0072731F">
        <w:rPr>
          <w:rFonts w:ascii="Times New Roman" w:hAnsi="Times New Roman" w:cs="Times New Roman"/>
          <w:bCs/>
          <w:sz w:val="20"/>
          <w:szCs w:val="20"/>
        </w:rPr>
        <w:t>Bleeding risk may be assessed using scoring tools like HAS-BLED</w:t>
      </w:r>
      <w:r w:rsidR="0058383D">
        <w:rPr>
          <w:rFonts w:ascii="Times New Roman" w:hAnsi="Times New Roman" w:cs="Times New Roman"/>
          <w:bCs/>
          <w:sz w:val="20"/>
          <w:szCs w:val="20"/>
          <w:vertAlign w:val="superscript"/>
        </w:rPr>
        <w:t xml:space="preserve"> </w:t>
      </w:r>
      <w:r w:rsidR="0058383D">
        <w:rPr>
          <w:rFonts w:ascii="Times New Roman" w:hAnsi="Times New Roman" w:cs="Times New Roman"/>
          <w:bCs/>
          <w:sz w:val="20"/>
          <w:szCs w:val="20"/>
        </w:rPr>
        <w:t>[1]</w:t>
      </w:r>
      <w:r w:rsidRPr="0072731F">
        <w:rPr>
          <w:rFonts w:ascii="Times New Roman" w:hAnsi="Times New Roman" w:cs="Times New Roman"/>
          <w:bCs/>
          <w:sz w:val="20"/>
          <w:szCs w:val="20"/>
        </w:rPr>
        <w:t xml:space="preserve"> or utilizing the Academic Research Consortium definition for high bleeding risk</w:t>
      </w:r>
      <w:r>
        <w:rPr>
          <w:rFonts w:ascii="Times New Roman" w:hAnsi="Times New Roman" w:cs="Times New Roman"/>
          <w:bCs/>
          <w:sz w:val="20"/>
          <w:szCs w:val="20"/>
        </w:rPr>
        <w:t xml:space="preserve"> (</w:t>
      </w:r>
      <w:r w:rsidRPr="0072731F">
        <w:rPr>
          <w:rFonts w:ascii="Times New Roman" w:hAnsi="Times New Roman" w:cs="Times New Roman"/>
          <w:bCs/>
          <w:sz w:val="20"/>
          <w:szCs w:val="20"/>
        </w:rPr>
        <w:t>ARC-HBR)</w:t>
      </w:r>
      <w:r w:rsidR="0058383D">
        <w:rPr>
          <w:rFonts w:ascii="Times New Roman" w:hAnsi="Times New Roman" w:cs="Times New Roman"/>
          <w:bCs/>
          <w:sz w:val="20"/>
          <w:szCs w:val="20"/>
          <w:vertAlign w:val="superscript"/>
        </w:rPr>
        <w:t xml:space="preserve"> </w:t>
      </w:r>
      <w:r w:rsidR="0058383D">
        <w:rPr>
          <w:rFonts w:ascii="Times New Roman" w:hAnsi="Times New Roman" w:cs="Times New Roman"/>
          <w:bCs/>
          <w:sz w:val="20"/>
          <w:szCs w:val="20"/>
        </w:rPr>
        <w:t>[5].</w:t>
      </w:r>
    </w:p>
    <w:p w14:paraId="54B95BE9" w14:textId="4F24F3F5" w:rsidR="0072731F" w:rsidRPr="007531B4" w:rsidRDefault="0072731F" w:rsidP="00DD37A4">
      <w:pPr>
        <w:pStyle w:val="ListParagraph"/>
        <w:numPr>
          <w:ilvl w:val="0"/>
          <w:numId w:val="28"/>
        </w:numPr>
        <w:rPr>
          <w:rFonts w:ascii="Times New Roman" w:hAnsi="Times New Roman" w:cs="Times New Roman"/>
          <w:bCs/>
          <w:sz w:val="20"/>
          <w:szCs w:val="20"/>
        </w:rPr>
      </w:pPr>
      <w:r w:rsidRPr="007531B4">
        <w:rPr>
          <w:rFonts w:ascii="Times New Roman" w:hAnsi="Times New Roman" w:cs="Times New Roman"/>
          <w:bCs/>
          <w:sz w:val="20"/>
          <w:szCs w:val="20"/>
        </w:rPr>
        <w:t>HAS-BLED</w:t>
      </w:r>
    </w:p>
    <w:p w14:paraId="5EACFC2C" w14:textId="500675D7" w:rsidR="0072731F" w:rsidRDefault="006F7143" w:rsidP="0072731F">
      <w:pPr>
        <w:rPr>
          <w:rFonts w:ascii="Times New Roman" w:hAnsi="Times New Roman" w:cs="Times New Roman"/>
          <w:bCs/>
          <w:sz w:val="20"/>
          <w:szCs w:val="20"/>
        </w:rPr>
      </w:pPr>
      <w:r>
        <w:rPr>
          <w:rFonts w:ascii="Times New Roman" w:hAnsi="Times New Roman" w:cs="Times New Roman"/>
          <w:bCs/>
          <w:sz w:val="20"/>
          <w:szCs w:val="20"/>
        </w:rPr>
        <w:t>At Atrius Health AMS, w</w:t>
      </w:r>
      <w:r w:rsidR="0072731F" w:rsidRPr="0072731F">
        <w:rPr>
          <w:rFonts w:ascii="Times New Roman" w:hAnsi="Times New Roman" w:cs="Times New Roman"/>
          <w:bCs/>
          <w:sz w:val="20"/>
          <w:szCs w:val="20"/>
        </w:rPr>
        <w:t>e are now using HAS-BLED to determine bleeding risk scores of our patients</w:t>
      </w:r>
      <w:r w:rsidR="00A03A9A">
        <w:rPr>
          <w:rFonts w:ascii="Times New Roman" w:hAnsi="Times New Roman" w:cs="Times New Roman"/>
          <w:bCs/>
          <w:sz w:val="20"/>
          <w:szCs w:val="20"/>
        </w:rPr>
        <w:t>,</w:t>
      </w:r>
      <w:r w:rsidR="0072731F" w:rsidRPr="0072731F">
        <w:rPr>
          <w:rFonts w:ascii="Times New Roman" w:hAnsi="Times New Roman" w:cs="Times New Roman"/>
          <w:bCs/>
          <w:sz w:val="20"/>
          <w:szCs w:val="20"/>
        </w:rPr>
        <w:t xml:space="preserve"> the relevant risk factors are noted below. Bear in mind that there are other available bleeding risk scores, which may consider some factors not in the HAS-BLED tool</w:t>
      </w:r>
      <w:r w:rsidR="00824AD3">
        <w:rPr>
          <w:rFonts w:ascii="Times New Roman" w:hAnsi="Times New Roman" w:cs="Times New Roman"/>
          <w:bCs/>
          <w:sz w:val="20"/>
          <w:szCs w:val="20"/>
        </w:rPr>
        <w:t>.</w:t>
      </w:r>
    </w:p>
    <w:p w14:paraId="7F312D1E" w14:textId="76671291" w:rsidR="00DD37A4" w:rsidRDefault="00DD37A4" w:rsidP="0072731F">
      <w:pPr>
        <w:rPr>
          <w:rFonts w:ascii="Times New Roman" w:hAnsi="Times New Roman" w:cs="Times New Roman"/>
          <w:bCs/>
          <w:sz w:val="20"/>
          <w:szCs w:val="20"/>
        </w:rPr>
      </w:pPr>
      <w:r w:rsidRPr="0072731F">
        <w:rPr>
          <w:rFonts w:ascii="Times New Roman" w:hAnsi="Times New Roman" w:cs="Times New Roman"/>
          <w:bCs/>
          <w:sz w:val="20"/>
          <w:szCs w:val="20"/>
        </w:rPr>
        <w:t xml:space="preserve">HAS-BLED 0-2 = low bleed risk: HAS-BLED ≥3 = high bleed risk: HAS-BLED ≥3 plus history of major bleeding = unusually high bleeding risk </w:t>
      </w:r>
    </w:p>
    <w:p w14:paraId="68CD4B50" w14:textId="163E7303" w:rsidR="00824AD3" w:rsidRDefault="00824AD3" w:rsidP="0072731F">
      <w:pPr>
        <w:rPr>
          <w:rFonts w:ascii="Times New Roman" w:hAnsi="Times New Roman" w:cs="Times New Roman"/>
          <w:bCs/>
          <w:sz w:val="20"/>
          <w:szCs w:val="20"/>
        </w:rPr>
      </w:pPr>
      <w:r w:rsidRPr="00573B1C">
        <w:rPr>
          <w:rFonts w:ascii="Times New Roman" w:hAnsi="Times New Roman" w:cs="Times New Roman"/>
          <w:b/>
          <w:sz w:val="20"/>
          <w:szCs w:val="20"/>
        </w:rPr>
        <w:t>Supplementary Table 1.</w:t>
      </w:r>
      <w:r w:rsidR="00787A5B">
        <w:rPr>
          <w:rFonts w:ascii="Times New Roman" w:hAnsi="Times New Roman" w:cs="Times New Roman"/>
          <w:bCs/>
          <w:sz w:val="20"/>
          <w:szCs w:val="20"/>
        </w:rPr>
        <w:t xml:space="preserve"> </w:t>
      </w:r>
      <w:r>
        <w:rPr>
          <w:rFonts w:ascii="Times New Roman" w:hAnsi="Times New Roman" w:cs="Times New Roman"/>
          <w:bCs/>
          <w:sz w:val="20"/>
          <w:szCs w:val="20"/>
        </w:rPr>
        <w:t>HAS-BLED score</w:t>
      </w:r>
    </w:p>
    <w:tbl>
      <w:tblPr>
        <w:tblStyle w:val="TableGrid"/>
        <w:tblW w:w="5000" w:type="pct"/>
        <w:jc w:val="center"/>
        <w:tblLook w:val="04A0" w:firstRow="1" w:lastRow="0" w:firstColumn="1" w:lastColumn="0" w:noHBand="0" w:noVBand="1"/>
      </w:tblPr>
      <w:tblGrid>
        <w:gridCol w:w="7195"/>
        <w:gridCol w:w="2155"/>
      </w:tblGrid>
      <w:tr w:rsidR="0072731F" w:rsidRPr="00583D31" w14:paraId="1ECAC78B" w14:textId="77777777" w:rsidTr="00C02050">
        <w:trPr>
          <w:trHeight w:val="278"/>
          <w:jc w:val="center"/>
        </w:trPr>
        <w:tc>
          <w:tcPr>
            <w:tcW w:w="7195" w:type="dxa"/>
            <w:vAlign w:val="center"/>
          </w:tcPr>
          <w:p w14:paraId="740EB164" w14:textId="18BEA81A" w:rsidR="0072731F" w:rsidRPr="00C02050" w:rsidRDefault="0072731F" w:rsidP="00ED3451">
            <w:pPr>
              <w:pStyle w:val="ListParagraph"/>
              <w:ind w:left="0"/>
              <w:jc w:val="center"/>
              <w:rPr>
                <w:rFonts w:ascii="Times New Roman" w:hAnsi="Times New Roman" w:cs="Times New Roman"/>
                <w:b/>
                <w:bCs/>
                <w:noProof/>
                <w:sz w:val="20"/>
                <w:szCs w:val="20"/>
              </w:rPr>
            </w:pPr>
            <w:r w:rsidRPr="00C02050">
              <w:rPr>
                <w:rFonts w:ascii="Times New Roman" w:hAnsi="Times New Roman" w:cs="Times New Roman"/>
                <w:b/>
                <w:bCs/>
                <w:noProof/>
                <w:sz w:val="20"/>
                <w:szCs w:val="20"/>
              </w:rPr>
              <w:t>Bleeding risk score</w:t>
            </w:r>
          </w:p>
        </w:tc>
        <w:tc>
          <w:tcPr>
            <w:tcW w:w="2155" w:type="dxa"/>
            <w:vAlign w:val="center"/>
          </w:tcPr>
          <w:p w14:paraId="72B82E07" w14:textId="1AA28B69" w:rsidR="0072731F" w:rsidRPr="00C02050" w:rsidRDefault="0072731F" w:rsidP="00ED3451">
            <w:pPr>
              <w:pStyle w:val="ListParagraph"/>
              <w:ind w:left="0"/>
              <w:jc w:val="center"/>
              <w:rPr>
                <w:rFonts w:ascii="Times New Roman" w:hAnsi="Times New Roman" w:cs="Times New Roman"/>
                <w:b/>
                <w:bCs/>
                <w:noProof/>
                <w:sz w:val="20"/>
                <w:szCs w:val="20"/>
              </w:rPr>
            </w:pPr>
            <w:r w:rsidRPr="00C02050">
              <w:rPr>
                <w:rFonts w:ascii="Times New Roman" w:hAnsi="Times New Roman" w:cs="Times New Roman"/>
                <w:b/>
                <w:bCs/>
                <w:noProof/>
                <w:sz w:val="20"/>
                <w:szCs w:val="20"/>
              </w:rPr>
              <w:t>Points</w:t>
            </w:r>
          </w:p>
        </w:tc>
      </w:tr>
      <w:tr w:rsidR="0072731F" w:rsidRPr="00583D31" w14:paraId="431A1536" w14:textId="77777777" w:rsidTr="0072731F">
        <w:trPr>
          <w:trHeight w:val="458"/>
          <w:jc w:val="center"/>
        </w:trPr>
        <w:tc>
          <w:tcPr>
            <w:tcW w:w="7195" w:type="dxa"/>
            <w:shd w:val="clear" w:color="auto" w:fill="FFFFFF" w:themeFill="background1"/>
            <w:vAlign w:val="center"/>
          </w:tcPr>
          <w:p w14:paraId="110FB834" w14:textId="27D1272B" w:rsidR="0072731F" w:rsidRPr="0072731F" w:rsidRDefault="0072731F" w:rsidP="0072731F">
            <w:pPr>
              <w:pStyle w:val="Default"/>
              <w:jc w:val="center"/>
              <w:rPr>
                <w:rFonts w:ascii="Times New Roman" w:hAnsi="Times New Roman" w:cs="Times New Roman"/>
                <w:sz w:val="20"/>
                <w:szCs w:val="20"/>
              </w:rPr>
            </w:pPr>
            <w:r w:rsidRPr="0072731F">
              <w:rPr>
                <w:rFonts w:ascii="Times New Roman" w:hAnsi="Times New Roman" w:cs="Times New Roman"/>
                <w:sz w:val="20"/>
                <w:szCs w:val="20"/>
              </w:rPr>
              <w:t>Hypertension History (uncontrolled, &gt;160 systolic)</w:t>
            </w:r>
          </w:p>
        </w:tc>
        <w:tc>
          <w:tcPr>
            <w:tcW w:w="2155" w:type="dxa"/>
            <w:shd w:val="clear" w:color="auto" w:fill="FFFFFF" w:themeFill="background1"/>
            <w:vAlign w:val="center"/>
          </w:tcPr>
          <w:p w14:paraId="231A4D74" w14:textId="79D5B9B9" w:rsidR="0072731F" w:rsidRPr="0072731F" w:rsidRDefault="0072731F" w:rsidP="0072731F">
            <w:pPr>
              <w:jc w:val="center"/>
              <w:rPr>
                <w:rFonts w:ascii="Times New Roman" w:hAnsi="Times New Roman" w:cs="Times New Roman"/>
                <w:noProof/>
                <w:sz w:val="20"/>
                <w:szCs w:val="20"/>
              </w:rPr>
            </w:pPr>
            <w:r w:rsidRPr="0072731F">
              <w:rPr>
                <w:rFonts w:ascii="Times New Roman" w:hAnsi="Times New Roman" w:cs="Times New Roman"/>
                <w:noProof/>
                <w:sz w:val="20"/>
                <w:szCs w:val="20"/>
              </w:rPr>
              <w:t>1</w:t>
            </w:r>
          </w:p>
        </w:tc>
      </w:tr>
      <w:tr w:rsidR="0072731F" w:rsidRPr="00583D31" w14:paraId="3262E0B2" w14:textId="77777777" w:rsidTr="0072731F">
        <w:trPr>
          <w:trHeight w:val="467"/>
          <w:jc w:val="center"/>
        </w:trPr>
        <w:tc>
          <w:tcPr>
            <w:tcW w:w="7195" w:type="dxa"/>
            <w:shd w:val="clear" w:color="auto" w:fill="FFFFFF" w:themeFill="background1"/>
            <w:vAlign w:val="center"/>
          </w:tcPr>
          <w:p w14:paraId="6E0AA3C7" w14:textId="4D022752" w:rsidR="0072731F" w:rsidRPr="0072731F" w:rsidRDefault="0072731F" w:rsidP="0072731F">
            <w:pPr>
              <w:pStyle w:val="Default"/>
              <w:jc w:val="center"/>
              <w:rPr>
                <w:rFonts w:ascii="Times New Roman" w:hAnsi="Times New Roman" w:cs="Times New Roman"/>
                <w:sz w:val="20"/>
                <w:szCs w:val="20"/>
              </w:rPr>
            </w:pPr>
            <w:r w:rsidRPr="0072731F">
              <w:rPr>
                <w:rFonts w:ascii="Times New Roman" w:hAnsi="Times New Roman" w:cs="Times New Roman"/>
                <w:sz w:val="20"/>
                <w:szCs w:val="20"/>
              </w:rPr>
              <w:t xml:space="preserve">Renal disease (Dialysis, transplant, </w:t>
            </w:r>
            <w:r w:rsidR="00C02050">
              <w:rPr>
                <w:rFonts w:ascii="Times New Roman" w:hAnsi="Times New Roman" w:cs="Times New Roman"/>
                <w:sz w:val="20"/>
                <w:szCs w:val="20"/>
              </w:rPr>
              <w:t>serum creatine</w:t>
            </w:r>
            <w:r w:rsidRPr="0072731F">
              <w:rPr>
                <w:rFonts w:ascii="Times New Roman" w:hAnsi="Times New Roman" w:cs="Times New Roman"/>
                <w:sz w:val="20"/>
                <w:szCs w:val="20"/>
              </w:rPr>
              <w:t xml:space="preserve"> &gt;2.26 mg/dL)</w:t>
            </w:r>
          </w:p>
        </w:tc>
        <w:tc>
          <w:tcPr>
            <w:tcW w:w="2155" w:type="dxa"/>
            <w:shd w:val="clear" w:color="auto" w:fill="FFFFFF" w:themeFill="background1"/>
            <w:vAlign w:val="center"/>
          </w:tcPr>
          <w:p w14:paraId="293A0873" w14:textId="1742E6B2" w:rsidR="0072731F" w:rsidRPr="0072731F" w:rsidRDefault="0072731F" w:rsidP="0072731F">
            <w:pPr>
              <w:jc w:val="center"/>
              <w:rPr>
                <w:rFonts w:ascii="Times New Roman" w:hAnsi="Times New Roman" w:cs="Times New Roman"/>
                <w:noProof/>
                <w:sz w:val="20"/>
                <w:szCs w:val="20"/>
              </w:rPr>
            </w:pPr>
            <w:r w:rsidRPr="0072731F">
              <w:rPr>
                <w:rFonts w:ascii="Times New Roman" w:hAnsi="Times New Roman" w:cs="Times New Roman"/>
                <w:noProof/>
                <w:sz w:val="20"/>
                <w:szCs w:val="20"/>
              </w:rPr>
              <w:t>1</w:t>
            </w:r>
          </w:p>
        </w:tc>
      </w:tr>
      <w:tr w:rsidR="0072731F" w:rsidRPr="00583D31" w14:paraId="0A73E665" w14:textId="77777777" w:rsidTr="0072731F">
        <w:trPr>
          <w:trHeight w:val="467"/>
          <w:jc w:val="center"/>
        </w:trPr>
        <w:tc>
          <w:tcPr>
            <w:tcW w:w="7195" w:type="dxa"/>
            <w:shd w:val="clear" w:color="auto" w:fill="FFFFFF" w:themeFill="background1"/>
            <w:vAlign w:val="center"/>
          </w:tcPr>
          <w:p w14:paraId="2068B16C" w14:textId="3246680A" w:rsidR="0072731F" w:rsidRPr="0072731F" w:rsidRDefault="0072731F" w:rsidP="0072731F">
            <w:pPr>
              <w:pStyle w:val="Default"/>
              <w:jc w:val="center"/>
              <w:rPr>
                <w:rFonts w:ascii="Times New Roman" w:hAnsi="Times New Roman" w:cs="Times New Roman"/>
                <w:sz w:val="20"/>
                <w:szCs w:val="20"/>
              </w:rPr>
            </w:pPr>
            <w:r w:rsidRPr="0072731F">
              <w:rPr>
                <w:rFonts w:ascii="Times New Roman" w:hAnsi="Times New Roman" w:cs="Times New Roman"/>
                <w:sz w:val="20"/>
                <w:szCs w:val="20"/>
              </w:rPr>
              <w:t xml:space="preserve">Liver disease (Cirrhosis or Bilirubin &gt;2x Normal or AST/ALT/AP &gt;3x </w:t>
            </w:r>
            <w:proofErr w:type="gramStart"/>
            <w:r w:rsidRPr="0072731F">
              <w:rPr>
                <w:rFonts w:ascii="Times New Roman" w:hAnsi="Times New Roman" w:cs="Times New Roman"/>
                <w:sz w:val="20"/>
                <w:szCs w:val="20"/>
              </w:rPr>
              <w:t>Normal)</w:t>
            </w:r>
            <w:r w:rsidR="00C02050">
              <w:rPr>
                <w:rFonts w:ascii="Times New Roman" w:hAnsi="Times New Roman" w:cs="Times New Roman"/>
                <w:sz w:val="20"/>
                <w:szCs w:val="20"/>
              </w:rPr>
              <w:t>*</w:t>
            </w:r>
            <w:proofErr w:type="gramEnd"/>
          </w:p>
        </w:tc>
        <w:tc>
          <w:tcPr>
            <w:tcW w:w="2155" w:type="dxa"/>
            <w:shd w:val="clear" w:color="auto" w:fill="FFFFFF" w:themeFill="background1"/>
            <w:vAlign w:val="center"/>
          </w:tcPr>
          <w:p w14:paraId="6B6B3241" w14:textId="7C98F122" w:rsidR="0072731F" w:rsidRPr="0072731F" w:rsidRDefault="0072731F" w:rsidP="0072731F">
            <w:pPr>
              <w:jc w:val="center"/>
              <w:rPr>
                <w:rFonts w:ascii="Times New Roman" w:hAnsi="Times New Roman" w:cs="Times New Roman"/>
                <w:noProof/>
                <w:sz w:val="20"/>
                <w:szCs w:val="20"/>
              </w:rPr>
            </w:pPr>
            <w:r w:rsidRPr="0072731F">
              <w:rPr>
                <w:rFonts w:ascii="Times New Roman" w:hAnsi="Times New Roman" w:cs="Times New Roman"/>
                <w:noProof/>
                <w:sz w:val="20"/>
                <w:szCs w:val="20"/>
              </w:rPr>
              <w:t>1</w:t>
            </w:r>
          </w:p>
        </w:tc>
      </w:tr>
      <w:tr w:rsidR="0072731F" w:rsidRPr="00583D31" w14:paraId="362516D5" w14:textId="77777777" w:rsidTr="0072731F">
        <w:trPr>
          <w:trHeight w:val="467"/>
          <w:jc w:val="center"/>
        </w:trPr>
        <w:tc>
          <w:tcPr>
            <w:tcW w:w="7195" w:type="dxa"/>
            <w:shd w:val="clear" w:color="auto" w:fill="FFFFFF" w:themeFill="background1"/>
            <w:vAlign w:val="center"/>
          </w:tcPr>
          <w:p w14:paraId="1B5A710F" w14:textId="369B19C1" w:rsidR="0072731F" w:rsidRPr="0072731F" w:rsidRDefault="0072731F" w:rsidP="0072731F">
            <w:pPr>
              <w:pStyle w:val="Default"/>
              <w:jc w:val="center"/>
              <w:rPr>
                <w:rFonts w:ascii="Times New Roman" w:hAnsi="Times New Roman" w:cs="Times New Roman"/>
                <w:sz w:val="20"/>
                <w:szCs w:val="20"/>
              </w:rPr>
            </w:pPr>
            <w:r w:rsidRPr="0072731F">
              <w:rPr>
                <w:rFonts w:ascii="Times New Roman" w:hAnsi="Times New Roman" w:cs="Times New Roman"/>
                <w:sz w:val="20"/>
                <w:szCs w:val="20"/>
              </w:rPr>
              <w:t>History of Stroke</w:t>
            </w:r>
          </w:p>
        </w:tc>
        <w:tc>
          <w:tcPr>
            <w:tcW w:w="2155" w:type="dxa"/>
            <w:shd w:val="clear" w:color="auto" w:fill="FFFFFF" w:themeFill="background1"/>
            <w:vAlign w:val="center"/>
          </w:tcPr>
          <w:p w14:paraId="77B0010C" w14:textId="1267A794" w:rsidR="0072731F" w:rsidRPr="0072731F" w:rsidRDefault="0072731F" w:rsidP="0072731F">
            <w:pPr>
              <w:jc w:val="center"/>
              <w:rPr>
                <w:rFonts w:ascii="Times New Roman" w:hAnsi="Times New Roman" w:cs="Times New Roman"/>
                <w:noProof/>
                <w:sz w:val="20"/>
                <w:szCs w:val="20"/>
              </w:rPr>
            </w:pPr>
            <w:r w:rsidRPr="0072731F">
              <w:rPr>
                <w:rFonts w:ascii="Times New Roman" w:hAnsi="Times New Roman" w:cs="Times New Roman"/>
                <w:noProof/>
                <w:sz w:val="20"/>
                <w:szCs w:val="20"/>
              </w:rPr>
              <w:t>1</w:t>
            </w:r>
          </w:p>
        </w:tc>
      </w:tr>
      <w:tr w:rsidR="0072731F" w:rsidRPr="00583D31" w14:paraId="6AECB013" w14:textId="77777777" w:rsidTr="0072731F">
        <w:trPr>
          <w:trHeight w:val="467"/>
          <w:jc w:val="center"/>
        </w:trPr>
        <w:tc>
          <w:tcPr>
            <w:tcW w:w="7195" w:type="dxa"/>
            <w:shd w:val="clear" w:color="auto" w:fill="FFFFFF" w:themeFill="background1"/>
            <w:vAlign w:val="center"/>
          </w:tcPr>
          <w:p w14:paraId="24CFA29D" w14:textId="7737E058" w:rsidR="0072731F" w:rsidRPr="0072731F" w:rsidRDefault="0072731F" w:rsidP="0072731F">
            <w:pPr>
              <w:pStyle w:val="Default"/>
              <w:jc w:val="center"/>
              <w:rPr>
                <w:rFonts w:ascii="Times New Roman" w:hAnsi="Times New Roman" w:cs="Times New Roman"/>
                <w:sz w:val="20"/>
                <w:szCs w:val="20"/>
              </w:rPr>
            </w:pPr>
            <w:r w:rsidRPr="0072731F">
              <w:rPr>
                <w:rFonts w:ascii="Times New Roman" w:hAnsi="Times New Roman" w:cs="Times New Roman"/>
                <w:sz w:val="20"/>
                <w:szCs w:val="20"/>
              </w:rPr>
              <w:t>Prior Major Bleeding or Predisposition to Bleeding</w:t>
            </w:r>
          </w:p>
        </w:tc>
        <w:tc>
          <w:tcPr>
            <w:tcW w:w="2155" w:type="dxa"/>
            <w:shd w:val="clear" w:color="auto" w:fill="FFFFFF" w:themeFill="background1"/>
            <w:vAlign w:val="center"/>
          </w:tcPr>
          <w:p w14:paraId="4C9E2B37" w14:textId="2D94A6EB" w:rsidR="0072731F" w:rsidRPr="0072731F" w:rsidRDefault="0072731F" w:rsidP="0072731F">
            <w:pPr>
              <w:jc w:val="center"/>
              <w:rPr>
                <w:rFonts w:ascii="Times New Roman" w:hAnsi="Times New Roman" w:cs="Times New Roman"/>
                <w:noProof/>
                <w:sz w:val="20"/>
                <w:szCs w:val="20"/>
              </w:rPr>
            </w:pPr>
            <w:r w:rsidRPr="0072731F">
              <w:rPr>
                <w:rFonts w:ascii="Times New Roman" w:hAnsi="Times New Roman" w:cs="Times New Roman"/>
                <w:noProof/>
                <w:sz w:val="20"/>
                <w:szCs w:val="20"/>
              </w:rPr>
              <w:t>1</w:t>
            </w:r>
          </w:p>
        </w:tc>
      </w:tr>
      <w:tr w:rsidR="0072731F" w:rsidRPr="00583D31" w14:paraId="39E2AB74" w14:textId="77777777" w:rsidTr="0072731F">
        <w:trPr>
          <w:trHeight w:val="467"/>
          <w:jc w:val="center"/>
        </w:trPr>
        <w:tc>
          <w:tcPr>
            <w:tcW w:w="7195" w:type="dxa"/>
            <w:shd w:val="clear" w:color="auto" w:fill="FFFFFF" w:themeFill="background1"/>
            <w:vAlign w:val="center"/>
          </w:tcPr>
          <w:p w14:paraId="152BB39A" w14:textId="50E5AA80" w:rsidR="0072731F" w:rsidRPr="0072731F" w:rsidRDefault="0072731F" w:rsidP="0072731F">
            <w:pPr>
              <w:pStyle w:val="Default"/>
              <w:jc w:val="center"/>
              <w:rPr>
                <w:rFonts w:ascii="Times New Roman" w:hAnsi="Times New Roman" w:cs="Times New Roman"/>
                <w:sz w:val="20"/>
                <w:szCs w:val="20"/>
              </w:rPr>
            </w:pPr>
            <w:r w:rsidRPr="0072731F">
              <w:rPr>
                <w:rFonts w:ascii="Times New Roman" w:hAnsi="Times New Roman" w:cs="Times New Roman"/>
                <w:sz w:val="20"/>
                <w:szCs w:val="20"/>
              </w:rPr>
              <w:t>Labile</w:t>
            </w:r>
            <w:r w:rsidR="007531B4">
              <w:rPr>
                <w:rFonts w:ascii="Times New Roman" w:hAnsi="Times New Roman" w:cs="Times New Roman"/>
                <w:sz w:val="20"/>
                <w:szCs w:val="20"/>
              </w:rPr>
              <w:t xml:space="preserve"> </w:t>
            </w:r>
            <w:r w:rsidR="007531B4" w:rsidRPr="007531B4">
              <w:rPr>
                <w:rFonts w:ascii="Times New Roman" w:hAnsi="Times New Roman" w:cs="Times New Roman"/>
                <w:sz w:val="20"/>
                <w:szCs w:val="20"/>
              </w:rPr>
              <w:t>International Normalized Ratio</w:t>
            </w:r>
            <w:r w:rsidR="007531B4">
              <w:rPr>
                <w:rFonts w:ascii="Times New Roman" w:hAnsi="Times New Roman" w:cs="Times New Roman"/>
                <w:sz w:val="20"/>
                <w:szCs w:val="20"/>
              </w:rPr>
              <w:t xml:space="preserve"> (INR) on warfarin</w:t>
            </w:r>
          </w:p>
        </w:tc>
        <w:tc>
          <w:tcPr>
            <w:tcW w:w="2155" w:type="dxa"/>
            <w:shd w:val="clear" w:color="auto" w:fill="FFFFFF" w:themeFill="background1"/>
            <w:vAlign w:val="center"/>
          </w:tcPr>
          <w:p w14:paraId="4895E799" w14:textId="3AD44A28" w:rsidR="0072731F" w:rsidRPr="0072731F" w:rsidRDefault="0072731F" w:rsidP="0072731F">
            <w:pPr>
              <w:jc w:val="center"/>
              <w:rPr>
                <w:rFonts w:ascii="Times New Roman" w:hAnsi="Times New Roman" w:cs="Times New Roman"/>
                <w:noProof/>
                <w:sz w:val="20"/>
                <w:szCs w:val="20"/>
              </w:rPr>
            </w:pPr>
            <w:r w:rsidRPr="0072731F">
              <w:rPr>
                <w:rFonts w:ascii="Times New Roman" w:hAnsi="Times New Roman" w:cs="Times New Roman"/>
                <w:noProof/>
                <w:sz w:val="20"/>
                <w:szCs w:val="20"/>
              </w:rPr>
              <w:t>1</w:t>
            </w:r>
          </w:p>
        </w:tc>
      </w:tr>
      <w:tr w:rsidR="0072731F" w:rsidRPr="00583D31" w14:paraId="7F49F4D9" w14:textId="77777777" w:rsidTr="0072731F">
        <w:trPr>
          <w:trHeight w:val="467"/>
          <w:jc w:val="center"/>
        </w:trPr>
        <w:tc>
          <w:tcPr>
            <w:tcW w:w="7195" w:type="dxa"/>
            <w:shd w:val="clear" w:color="auto" w:fill="FFFFFF" w:themeFill="background1"/>
            <w:vAlign w:val="center"/>
          </w:tcPr>
          <w:p w14:paraId="47D856EF" w14:textId="512F62BB" w:rsidR="0072731F" w:rsidRPr="0072731F" w:rsidRDefault="0072731F" w:rsidP="0072731F">
            <w:pPr>
              <w:pStyle w:val="Default"/>
              <w:jc w:val="center"/>
              <w:rPr>
                <w:rFonts w:ascii="Times New Roman" w:hAnsi="Times New Roman" w:cs="Times New Roman"/>
                <w:sz w:val="20"/>
                <w:szCs w:val="20"/>
              </w:rPr>
            </w:pPr>
            <w:r w:rsidRPr="0072731F">
              <w:rPr>
                <w:rFonts w:ascii="Times New Roman" w:hAnsi="Times New Roman" w:cs="Times New Roman"/>
                <w:sz w:val="20"/>
                <w:szCs w:val="20"/>
              </w:rPr>
              <w:t>Age &gt; 65 years</w:t>
            </w:r>
          </w:p>
        </w:tc>
        <w:tc>
          <w:tcPr>
            <w:tcW w:w="2155" w:type="dxa"/>
            <w:shd w:val="clear" w:color="auto" w:fill="FFFFFF" w:themeFill="background1"/>
            <w:vAlign w:val="center"/>
          </w:tcPr>
          <w:p w14:paraId="518BE7D7" w14:textId="7D2DB0A0" w:rsidR="0072731F" w:rsidRPr="0072731F" w:rsidRDefault="0072731F" w:rsidP="0072731F">
            <w:pPr>
              <w:jc w:val="center"/>
              <w:rPr>
                <w:rFonts w:ascii="Times New Roman" w:hAnsi="Times New Roman" w:cs="Times New Roman"/>
                <w:noProof/>
                <w:sz w:val="20"/>
                <w:szCs w:val="20"/>
              </w:rPr>
            </w:pPr>
            <w:r w:rsidRPr="0072731F">
              <w:rPr>
                <w:rFonts w:ascii="Times New Roman" w:hAnsi="Times New Roman" w:cs="Times New Roman"/>
                <w:noProof/>
                <w:sz w:val="20"/>
                <w:szCs w:val="20"/>
              </w:rPr>
              <w:t>1</w:t>
            </w:r>
          </w:p>
        </w:tc>
      </w:tr>
      <w:tr w:rsidR="0072731F" w:rsidRPr="00583D31" w14:paraId="0F86262C" w14:textId="77777777" w:rsidTr="0072731F">
        <w:trPr>
          <w:trHeight w:val="467"/>
          <w:jc w:val="center"/>
        </w:trPr>
        <w:tc>
          <w:tcPr>
            <w:tcW w:w="7195" w:type="dxa"/>
            <w:shd w:val="clear" w:color="auto" w:fill="FFFFFF" w:themeFill="background1"/>
            <w:vAlign w:val="center"/>
          </w:tcPr>
          <w:p w14:paraId="53432F8D" w14:textId="4F4CA3D7" w:rsidR="0072731F" w:rsidRPr="0072731F" w:rsidRDefault="0072731F" w:rsidP="0072731F">
            <w:pPr>
              <w:pStyle w:val="Default"/>
              <w:jc w:val="center"/>
              <w:rPr>
                <w:rFonts w:ascii="Times New Roman" w:hAnsi="Times New Roman" w:cs="Times New Roman"/>
                <w:sz w:val="20"/>
                <w:szCs w:val="20"/>
              </w:rPr>
            </w:pPr>
            <w:r w:rsidRPr="0072731F">
              <w:rPr>
                <w:rFonts w:ascii="Times New Roman" w:hAnsi="Times New Roman" w:cs="Times New Roman"/>
                <w:sz w:val="20"/>
                <w:szCs w:val="20"/>
              </w:rPr>
              <w:t>Medication Usage Predisposing to Bleeding (</w:t>
            </w:r>
            <w:r w:rsidR="007531B4">
              <w:rPr>
                <w:rFonts w:ascii="Times New Roman" w:hAnsi="Times New Roman" w:cs="Times New Roman"/>
                <w:bCs/>
                <w:sz w:val="20"/>
                <w:szCs w:val="20"/>
              </w:rPr>
              <w:t>n</w:t>
            </w:r>
            <w:r w:rsidR="007531B4" w:rsidRPr="0051422A">
              <w:rPr>
                <w:rFonts w:ascii="Times New Roman" w:hAnsi="Times New Roman" w:cs="Times New Roman"/>
                <w:bCs/>
                <w:sz w:val="20"/>
                <w:szCs w:val="20"/>
              </w:rPr>
              <w:t xml:space="preserve">onsteroidal </w:t>
            </w:r>
            <w:r w:rsidR="007531B4">
              <w:rPr>
                <w:rFonts w:ascii="Times New Roman" w:hAnsi="Times New Roman" w:cs="Times New Roman"/>
                <w:bCs/>
                <w:sz w:val="20"/>
                <w:szCs w:val="20"/>
              </w:rPr>
              <w:t>a</w:t>
            </w:r>
            <w:r w:rsidR="007531B4" w:rsidRPr="0051422A">
              <w:rPr>
                <w:rFonts w:ascii="Times New Roman" w:hAnsi="Times New Roman" w:cs="Times New Roman"/>
                <w:bCs/>
                <w:sz w:val="20"/>
                <w:szCs w:val="20"/>
              </w:rPr>
              <w:t>nti</w:t>
            </w:r>
            <w:r w:rsidR="007531B4">
              <w:rPr>
                <w:rFonts w:ascii="Times New Roman" w:hAnsi="Times New Roman" w:cs="Times New Roman"/>
                <w:bCs/>
                <w:sz w:val="20"/>
                <w:szCs w:val="20"/>
              </w:rPr>
              <w:t>-i</w:t>
            </w:r>
            <w:r w:rsidR="007531B4" w:rsidRPr="0051422A">
              <w:rPr>
                <w:rFonts w:ascii="Times New Roman" w:hAnsi="Times New Roman" w:cs="Times New Roman"/>
                <w:bCs/>
                <w:sz w:val="20"/>
                <w:szCs w:val="20"/>
              </w:rPr>
              <w:t xml:space="preserve">nflammatory </w:t>
            </w:r>
            <w:r w:rsidR="007531B4">
              <w:rPr>
                <w:rFonts w:ascii="Times New Roman" w:hAnsi="Times New Roman" w:cs="Times New Roman"/>
                <w:bCs/>
                <w:sz w:val="20"/>
                <w:szCs w:val="20"/>
              </w:rPr>
              <w:t>d</w:t>
            </w:r>
            <w:r w:rsidR="007531B4" w:rsidRPr="0051422A">
              <w:rPr>
                <w:rFonts w:ascii="Times New Roman" w:hAnsi="Times New Roman" w:cs="Times New Roman"/>
                <w:bCs/>
                <w:sz w:val="20"/>
                <w:szCs w:val="20"/>
              </w:rPr>
              <w:t>rug</w:t>
            </w:r>
            <w:r w:rsidR="007531B4">
              <w:rPr>
                <w:rFonts w:ascii="Times New Roman" w:hAnsi="Times New Roman" w:cs="Times New Roman"/>
                <w:bCs/>
                <w:sz w:val="20"/>
                <w:szCs w:val="20"/>
              </w:rPr>
              <w:t>s</w:t>
            </w:r>
            <w:r w:rsidR="007531B4" w:rsidRPr="004075DF">
              <w:rPr>
                <w:rFonts w:ascii="Times New Roman" w:hAnsi="Times New Roman" w:cs="Times New Roman"/>
                <w:bCs/>
                <w:sz w:val="20"/>
                <w:szCs w:val="20"/>
              </w:rPr>
              <w:t xml:space="preserve"> </w:t>
            </w:r>
            <w:r w:rsidR="007531B4">
              <w:rPr>
                <w:rFonts w:ascii="Times New Roman" w:hAnsi="Times New Roman" w:cs="Times New Roman"/>
                <w:bCs/>
                <w:sz w:val="20"/>
                <w:szCs w:val="20"/>
              </w:rPr>
              <w:t>(</w:t>
            </w:r>
            <w:r w:rsidR="007531B4" w:rsidRPr="004075DF">
              <w:rPr>
                <w:rFonts w:ascii="Times New Roman" w:hAnsi="Times New Roman" w:cs="Times New Roman"/>
                <w:bCs/>
                <w:sz w:val="20"/>
                <w:szCs w:val="20"/>
              </w:rPr>
              <w:t>NSAIDs</w:t>
            </w:r>
            <w:r w:rsidR="007531B4">
              <w:rPr>
                <w:rFonts w:ascii="Times New Roman" w:hAnsi="Times New Roman" w:cs="Times New Roman"/>
                <w:bCs/>
                <w:sz w:val="20"/>
                <w:szCs w:val="20"/>
              </w:rPr>
              <w:t>)</w:t>
            </w:r>
            <w:r w:rsidRPr="0072731F">
              <w:rPr>
                <w:rFonts w:ascii="Times New Roman" w:hAnsi="Times New Roman" w:cs="Times New Roman"/>
                <w:sz w:val="20"/>
                <w:szCs w:val="20"/>
              </w:rPr>
              <w:t>, antiplatelet agents)</w:t>
            </w:r>
          </w:p>
        </w:tc>
        <w:tc>
          <w:tcPr>
            <w:tcW w:w="2155" w:type="dxa"/>
            <w:shd w:val="clear" w:color="auto" w:fill="FFFFFF" w:themeFill="background1"/>
            <w:vAlign w:val="center"/>
          </w:tcPr>
          <w:p w14:paraId="538424D7" w14:textId="5CDDF0FF" w:rsidR="0072731F" w:rsidRPr="0072731F" w:rsidRDefault="0072731F" w:rsidP="0072731F">
            <w:pPr>
              <w:jc w:val="center"/>
              <w:rPr>
                <w:rFonts w:ascii="Times New Roman" w:hAnsi="Times New Roman" w:cs="Times New Roman"/>
                <w:noProof/>
                <w:sz w:val="20"/>
                <w:szCs w:val="20"/>
              </w:rPr>
            </w:pPr>
            <w:r w:rsidRPr="0072731F">
              <w:rPr>
                <w:rFonts w:ascii="Times New Roman" w:hAnsi="Times New Roman" w:cs="Times New Roman"/>
                <w:noProof/>
                <w:sz w:val="20"/>
                <w:szCs w:val="20"/>
              </w:rPr>
              <w:t>1</w:t>
            </w:r>
          </w:p>
        </w:tc>
      </w:tr>
      <w:tr w:rsidR="0072731F" w:rsidRPr="00583D31" w14:paraId="6EA249AB" w14:textId="77777777" w:rsidTr="0072731F">
        <w:trPr>
          <w:trHeight w:val="467"/>
          <w:jc w:val="center"/>
        </w:trPr>
        <w:tc>
          <w:tcPr>
            <w:tcW w:w="7195" w:type="dxa"/>
            <w:shd w:val="clear" w:color="auto" w:fill="FFFFFF" w:themeFill="background1"/>
            <w:vAlign w:val="center"/>
          </w:tcPr>
          <w:p w14:paraId="55493771" w14:textId="604FA240" w:rsidR="0072731F" w:rsidRPr="0072731F" w:rsidRDefault="0072731F" w:rsidP="0072731F">
            <w:pPr>
              <w:pStyle w:val="Default"/>
              <w:jc w:val="center"/>
              <w:rPr>
                <w:rFonts w:ascii="Times New Roman" w:hAnsi="Times New Roman" w:cs="Times New Roman"/>
                <w:sz w:val="20"/>
                <w:szCs w:val="20"/>
              </w:rPr>
            </w:pPr>
            <w:r w:rsidRPr="0072731F">
              <w:rPr>
                <w:rFonts w:ascii="Times New Roman" w:hAnsi="Times New Roman" w:cs="Times New Roman"/>
                <w:sz w:val="20"/>
                <w:szCs w:val="20"/>
              </w:rPr>
              <w:t>Alcohol or Drug Usage history (≥8 drinks/week)</w:t>
            </w:r>
          </w:p>
        </w:tc>
        <w:tc>
          <w:tcPr>
            <w:tcW w:w="2155" w:type="dxa"/>
            <w:shd w:val="clear" w:color="auto" w:fill="FFFFFF" w:themeFill="background1"/>
            <w:vAlign w:val="center"/>
          </w:tcPr>
          <w:p w14:paraId="74E0C995" w14:textId="49733EAD" w:rsidR="0072731F" w:rsidRPr="0072731F" w:rsidRDefault="0072731F" w:rsidP="0072731F">
            <w:pPr>
              <w:jc w:val="center"/>
              <w:rPr>
                <w:rFonts w:ascii="Times New Roman" w:hAnsi="Times New Roman" w:cs="Times New Roman"/>
                <w:noProof/>
                <w:sz w:val="20"/>
                <w:szCs w:val="20"/>
              </w:rPr>
            </w:pPr>
            <w:r w:rsidRPr="0072731F">
              <w:rPr>
                <w:rFonts w:ascii="Times New Roman" w:hAnsi="Times New Roman" w:cs="Times New Roman"/>
                <w:noProof/>
                <w:sz w:val="20"/>
                <w:szCs w:val="20"/>
              </w:rPr>
              <w:t>1</w:t>
            </w:r>
          </w:p>
        </w:tc>
      </w:tr>
    </w:tbl>
    <w:p w14:paraId="422FF219" w14:textId="3CF1B36C" w:rsidR="0072731F" w:rsidRDefault="00C02050" w:rsidP="0072731F">
      <w:pPr>
        <w:rPr>
          <w:rFonts w:ascii="Times New Roman" w:hAnsi="Times New Roman" w:cs="Times New Roman"/>
          <w:bCs/>
          <w:sz w:val="20"/>
          <w:szCs w:val="20"/>
        </w:rPr>
      </w:pPr>
      <w:r>
        <w:rPr>
          <w:rFonts w:ascii="Times New Roman" w:hAnsi="Times New Roman" w:cs="Times New Roman"/>
          <w:bCs/>
          <w:sz w:val="20"/>
          <w:szCs w:val="20"/>
        </w:rPr>
        <w:t>*</w:t>
      </w:r>
      <w:r w:rsidRPr="00C02050">
        <w:t xml:space="preserve"> </w:t>
      </w:r>
      <w:r w:rsidRPr="00C02050">
        <w:rPr>
          <w:rFonts w:ascii="Times New Roman" w:hAnsi="Times New Roman" w:cs="Times New Roman"/>
          <w:bCs/>
          <w:sz w:val="20"/>
          <w:szCs w:val="20"/>
        </w:rPr>
        <w:t>AST aspartate aminotransferase</w:t>
      </w:r>
      <w:r>
        <w:rPr>
          <w:rFonts w:ascii="Times New Roman" w:hAnsi="Times New Roman" w:cs="Times New Roman"/>
          <w:bCs/>
          <w:sz w:val="20"/>
          <w:szCs w:val="20"/>
        </w:rPr>
        <w:t>,</w:t>
      </w:r>
      <w:r w:rsidRPr="00C02050">
        <w:rPr>
          <w:rFonts w:ascii="Times New Roman" w:hAnsi="Times New Roman" w:cs="Times New Roman"/>
          <w:bCs/>
          <w:sz w:val="20"/>
          <w:szCs w:val="20"/>
        </w:rPr>
        <w:t xml:space="preserve"> ALT alanine aminotransferase</w:t>
      </w:r>
      <w:r>
        <w:rPr>
          <w:rFonts w:ascii="Times New Roman" w:hAnsi="Times New Roman" w:cs="Times New Roman"/>
          <w:bCs/>
          <w:sz w:val="20"/>
          <w:szCs w:val="20"/>
        </w:rPr>
        <w:t>, AP a</w:t>
      </w:r>
      <w:r w:rsidRPr="00C02050">
        <w:rPr>
          <w:rFonts w:ascii="Times New Roman" w:hAnsi="Times New Roman" w:cs="Times New Roman"/>
          <w:bCs/>
          <w:sz w:val="20"/>
          <w:szCs w:val="20"/>
        </w:rPr>
        <w:t>lkaline phosphatase</w:t>
      </w:r>
    </w:p>
    <w:p w14:paraId="0E0963F0" w14:textId="3406875D" w:rsidR="004075DF" w:rsidRPr="007531B4" w:rsidRDefault="00DD37A4" w:rsidP="00DD37A4">
      <w:pPr>
        <w:pStyle w:val="ListParagraph"/>
        <w:numPr>
          <w:ilvl w:val="0"/>
          <w:numId w:val="28"/>
        </w:numPr>
        <w:rPr>
          <w:rFonts w:ascii="Times New Roman" w:hAnsi="Times New Roman" w:cs="Times New Roman"/>
          <w:bCs/>
          <w:sz w:val="20"/>
          <w:szCs w:val="20"/>
        </w:rPr>
      </w:pPr>
      <w:r w:rsidRPr="007531B4">
        <w:rPr>
          <w:rFonts w:ascii="Times New Roman" w:hAnsi="Times New Roman" w:cs="Times New Roman"/>
          <w:bCs/>
          <w:sz w:val="20"/>
          <w:szCs w:val="20"/>
        </w:rPr>
        <w:t>Academic Research Consortium for High Bleeding Risk (ARC-HBR)</w:t>
      </w:r>
    </w:p>
    <w:p w14:paraId="493BFD02" w14:textId="1CD5087C" w:rsidR="00DD37A4" w:rsidRDefault="00DD37A4" w:rsidP="00DD37A4">
      <w:pPr>
        <w:rPr>
          <w:rFonts w:ascii="Times New Roman" w:hAnsi="Times New Roman" w:cs="Times New Roman"/>
          <w:bCs/>
          <w:sz w:val="20"/>
          <w:szCs w:val="20"/>
        </w:rPr>
      </w:pPr>
      <w:r w:rsidRPr="00DD37A4">
        <w:rPr>
          <w:rFonts w:ascii="Times New Roman" w:hAnsi="Times New Roman" w:cs="Times New Roman"/>
          <w:bCs/>
          <w:sz w:val="20"/>
          <w:szCs w:val="20"/>
        </w:rPr>
        <w:t>High bleeding risk (HBR) in patients undergoing PCI defined by the Academic Research Consortium for High Bleeding Risk (ARC-HBR)</w:t>
      </w:r>
      <w:r w:rsidR="0058383D">
        <w:rPr>
          <w:rFonts w:ascii="Times New Roman" w:hAnsi="Times New Roman" w:cs="Times New Roman"/>
          <w:bCs/>
          <w:sz w:val="20"/>
          <w:szCs w:val="20"/>
        </w:rPr>
        <w:t xml:space="preserve"> [5].</w:t>
      </w:r>
      <w:r>
        <w:rPr>
          <w:rFonts w:ascii="Times New Roman" w:hAnsi="Times New Roman" w:cs="Times New Roman"/>
          <w:bCs/>
          <w:sz w:val="20"/>
          <w:szCs w:val="20"/>
        </w:rPr>
        <w:t xml:space="preserve"> </w:t>
      </w:r>
    </w:p>
    <w:p w14:paraId="69C7314B" w14:textId="33737EA7" w:rsidR="00C02050" w:rsidRDefault="00C02050" w:rsidP="00DD37A4">
      <w:pPr>
        <w:rPr>
          <w:rFonts w:ascii="Times New Roman" w:hAnsi="Times New Roman" w:cs="Times New Roman"/>
          <w:bCs/>
          <w:sz w:val="20"/>
          <w:szCs w:val="20"/>
        </w:rPr>
      </w:pPr>
      <w:r>
        <w:rPr>
          <w:rFonts w:ascii="Times New Roman" w:hAnsi="Times New Roman" w:cs="Times New Roman"/>
          <w:bCs/>
          <w:sz w:val="20"/>
          <w:szCs w:val="20"/>
        </w:rPr>
        <w:br w:type="page"/>
      </w:r>
    </w:p>
    <w:p w14:paraId="6E52A212" w14:textId="2AC8D27E" w:rsidR="00DD37A4" w:rsidRDefault="00DD37A4" w:rsidP="00DD37A4">
      <w:pPr>
        <w:rPr>
          <w:rFonts w:ascii="Times New Roman" w:hAnsi="Times New Roman" w:cs="Times New Roman"/>
          <w:bCs/>
          <w:sz w:val="20"/>
          <w:szCs w:val="20"/>
        </w:rPr>
      </w:pPr>
      <w:r>
        <w:rPr>
          <w:rFonts w:ascii="Times New Roman" w:hAnsi="Times New Roman" w:cs="Times New Roman"/>
          <w:bCs/>
          <w:sz w:val="20"/>
          <w:szCs w:val="20"/>
        </w:rPr>
        <w:lastRenderedPageBreak/>
        <w:t>P</w:t>
      </w:r>
      <w:r w:rsidRPr="00DD37A4">
        <w:rPr>
          <w:rFonts w:ascii="Times New Roman" w:hAnsi="Times New Roman" w:cs="Times New Roman"/>
          <w:bCs/>
          <w:sz w:val="20"/>
          <w:szCs w:val="20"/>
        </w:rPr>
        <w:t xml:space="preserve">atients </w:t>
      </w:r>
      <w:proofErr w:type="gramStart"/>
      <w:r w:rsidRPr="00DD37A4">
        <w:rPr>
          <w:rFonts w:ascii="Times New Roman" w:hAnsi="Times New Roman" w:cs="Times New Roman"/>
          <w:bCs/>
          <w:sz w:val="20"/>
          <w:szCs w:val="20"/>
        </w:rPr>
        <w:t>are considered to be</w:t>
      </w:r>
      <w:proofErr w:type="gramEnd"/>
      <w:r w:rsidRPr="00DD37A4">
        <w:rPr>
          <w:rFonts w:ascii="Times New Roman" w:hAnsi="Times New Roman" w:cs="Times New Roman"/>
          <w:bCs/>
          <w:sz w:val="20"/>
          <w:szCs w:val="20"/>
        </w:rPr>
        <w:t xml:space="preserve"> at </w:t>
      </w:r>
      <w:r w:rsidR="00C02050">
        <w:rPr>
          <w:rFonts w:ascii="Times New Roman" w:hAnsi="Times New Roman" w:cs="Times New Roman"/>
          <w:bCs/>
          <w:sz w:val="20"/>
          <w:szCs w:val="20"/>
        </w:rPr>
        <w:t>high bleeding risk</w:t>
      </w:r>
      <w:r w:rsidRPr="00DD37A4">
        <w:rPr>
          <w:rFonts w:ascii="Times New Roman" w:hAnsi="Times New Roman" w:cs="Times New Roman"/>
          <w:bCs/>
          <w:sz w:val="20"/>
          <w:szCs w:val="20"/>
        </w:rPr>
        <w:t xml:space="preserve"> if at least 1 major or 2 minor criteria are met: </w:t>
      </w:r>
    </w:p>
    <w:p w14:paraId="719AC663" w14:textId="0BF8401F" w:rsidR="00DD37A4" w:rsidRDefault="00DD37A4" w:rsidP="00DD37A4">
      <w:pPr>
        <w:rPr>
          <w:rFonts w:ascii="Times New Roman" w:hAnsi="Times New Roman" w:cs="Times New Roman"/>
          <w:bCs/>
          <w:sz w:val="20"/>
          <w:szCs w:val="20"/>
        </w:rPr>
      </w:pPr>
      <w:r w:rsidRPr="007531B4">
        <w:rPr>
          <w:rFonts w:ascii="Times New Roman" w:hAnsi="Times New Roman" w:cs="Times New Roman"/>
          <w:b/>
          <w:sz w:val="20"/>
          <w:szCs w:val="20"/>
        </w:rPr>
        <w:t>Supplementary Table 2.</w:t>
      </w:r>
      <w:r>
        <w:rPr>
          <w:rFonts w:ascii="Times New Roman" w:hAnsi="Times New Roman" w:cs="Times New Roman"/>
          <w:bCs/>
          <w:sz w:val="20"/>
          <w:szCs w:val="20"/>
        </w:rPr>
        <w:t xml:space="preserve"> </w:t>
      </w:r>
      <w:r w:rsidR="007531B4" w:rsidRPr="007531B4">
        <w:rPr>
          <w:rFonts w:ascii="Times New Roman" w:hAnsi="Times New Roman" w:cs="Times New Roman"/>
          <w:bCs/>
          <w:sz w:val="20"/>
          <w:szCs w:val="20"/>
        </w:rPr>
        <w:t>Academic Research Consortium High Bleeding Risk Criteria After PCI</w:t>
      </w:r>
    </w:p>
    <w:tbl>
      <w:tblPr>
        <w:tblStyle w:val="TableGrid"/>
        <w:tblW w:w="0" w:type="auto"/>
        <w:jc w:val="center"/>
        <w:tblLook w:val="04A0" w:firstRow="1" w:lastRow="0" w:firstColumn="1" w:lastColumn="0" w:noHBand="0" w:noVBand="1"/>
      </w:tblPr>
      <w:tblGrid>
        <w:gridCol w:w="4675"/>
        <w:gridCol w:w="4675"/>
      </w:tblGrid>
      <w:tr w:rsidR="00DD37A4" w14:paraId="2DDF01FD" w14:textId="77777777" w:rsidTr="00C02050">
        <w:trPr>
          <w:trHeight w:val="395"/>
          <w:jc w:val="center"/>
        </w:trPr>
        <w:tc>
          <w:tcPr>
            <w:tcW w:w="4675" w:type="dxa"/>
            <w:vAlign w:val="center"/>
          </w:tcPr>
          <w:p w14:paraId="54AFB2C1" w14:textId="355331B8" w:rsidR="00DD37A4" w:rsidRPr="00C02050" w:rsidRDefault="00DD37A4" w:rsidP="00C02050">
            <w:pPr>
              <w:jc w:val="center"/>
              <w:rPr>
                <w:rFonts w:ascii="Times New Roman" w:hAnsi="Times New Roman" w:cs="Times New Roman"/>
                <w:b/>
                <w:sz w:val="20"/>
                <w:szCs w:val="20"/>
              </w:rPr>
            </w:pPr>
            <w:r w:rsidRPr="00C02050">
              <w:rPr>
                <w:rFonts w:ascii="Times New Roman" w:hAnsi="Times New Roman" w:cs="Times New Roman"/>
                <w:b/>
                <w:kern w:val="2"/>
                <w:sz w:val="20"/>
                <w:szCs w:val="20"/>
                <w14:ligatures w14:val="standardContextual"/>
              </w:rPr>
              <w:t>Major criteria</w:t>
            </w:r>
          </w:p>
        </w:tc>
        <w:tc>
          <w:tcPr>
            <w:tcW w:w="4675" w:type="dxa"/>
            <w:vAlign w:val="center"/>
          </w:tcPr>
          <w:p w14:paraId="7369689B" w14:textId="2FCCD38F" w:rsidR="00DD37A4" w:rsidRPr="00C02050" w:rsidRDefault="00DD37A4" w:rsidP="00C02050">
            <w:pPr>
              <w:jc w:val="center"/>
              <w:rPr>
                <w:rFonts w:ascii="Times New Roman" w:hAnsi="Times New Roman" w:cs="Times New Roman"/>
                <w:b/>
                <w:sz w:val="20"/>
                <w:szCs w:val="20"/>
              </w:rPr>
            </w:pPr>
            <w:r w:rsidRPr="00C02050">
              <w:rPr>
                <w:rFonts w:ascii="Times New Roman" w:hAnsi="Times New Roman" w:cs="Times New Roman"/>
                <w:b/>
                <w:sz w:val="20"/>
                <w:szCs w:val="20"/>
              </w:rPr>
              <w:t>Minor criteria</w:t>
            </w:r>
          </w:p>
        </w:tc>
      </w:tr>
      <w:tr w:rsidR="00DD37A4" w14:paraId="14616EBE" w14:textId="77777777" w:rsidTr="00C02050">
        <w:trPr>
          <w:jc w:val="center"/>
        </w:trPr>
        <w:tc>
          <w:tcPr>
            <w:tcW w:w="4675" w:type="dxa"/>
          </w:tcPr>
          <w:p w14:paraId="2ECC19AD" w14:textId="77777777"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A</w:t>
            </w:r>
            <w:r w:rsidRPr="00DD37A4">
              <w:rPr>
                <w:rFonts w:ascii="Times New Roman" w:hAnsi="Times New Roman" w:cs="Times New Roman"/>
                <w:bCs/>
                <w:sz w:val="20"/>
                <w:szCs w:val="20"/>
              </w:rPr>
              <w:t>nticipated use of long-term oral anticoagulation (excluding vascular protection doses)</w:t>
            </w:r>
          </w:p>
          <w:p w14:paraId="5044DAC3" w14:textId="1C912BF3"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S</w:t>
            </w:r>
            <w:r w:rsidRPr="00DD37A4">
              <w:rPr>
                <w:rFonts w:ascii="Times New Roman" w:hAnsi="Times New Roman" w:cs="Times New Roman"/>
                <w:bCs/>
                <w:sz w:val="20"/>
                <w:szCs w:val="20"/>
              </w:rPr>
              <w:t xml:space="preserve">evere or end-stage </w:t>
            </w:r>
            <w:r>
              <w:rPr>
                <w:rFonts w:ascii="Times New Roman" w:hAnsi="Times New Roman" w:cs="Times New Roman"/>
                <w:bCs/>
                <w:sz w:val="20"/>
                <w:szCs w:val="20"/>
              </w:rPr>
              <w:t>chronic kidney disease (CKD)</w:t>
            </w:r>
            <w:r w:rsidRPr="00DD37A4">
              <w:rPr>
                <w:rFonts w:ascii="Times New Roman" w:hAnsi="Times New Roman" w:cs="Times New Roman"/>
                <w:bCs/>
                <w:sz w:val="20"/>
                <w:szCs w:val="20"/>
              </w:rPr>
              <w:t xml:space="preserve"> (eGFR &lt;30 mL/min)</w:t>
            </w:r>
          </w:p>
          <w:p w14:paraId="17328FC7" w14:textId="77777777"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H</w:t>
            </w:r>
            <w:r w:rsidRPr="00DD37A4">
              <w:rPr>
                <w:rFonts w:ascii="Times New Roman" w:hAnsi="Times New Roman" w:cs="Times New Roman"/>
                <w:bCs/>
                <w:sz w:val="20"/>
                <w:szCs w:val="20"/>
              </w:rPr>
              <w:t>emoglobin &lt;11 g/dL</w:t>
            </w:r>
          </w:p>
          <w:p w14:paraId="637B18A6" w14:textId="77777777"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S</w:t>
            </w:r>
            <w:r w:rsidRPr="00DD37A4">
              <w:rPr>
                <w:rFonts w:ascii="Times New Roman" w:hAnsi="Times New Roman" w:cs="Times New Roman"/>
                <w:bCs/>
                <w:sz w:val="20"/>
                <w:szCs w:val="20"/>
              </w:rPr>
              <w:t>pontaneous bleeding requiring hospitalization or transfusion in the past 6 months or at any time, if recurrent</w:t>
            </w:r>
          </w:p>
          <w:p w14:paraId="6A0A396E" w14:textId="77777777"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M</w:t>
            </w:r>
            <w:r w:rsidRPr="00DD37A4">
              <w:rPr>
                <w:rFonts w:ascii="Times New Roman" w:hAnsi="Times New Roman" w:cs="Times New Roman"/>
                <w:bCs/>
                <w:sz w:val="20"/>
                <w:szCs w:val="20"/>
              </w:rPr>
              <w:t>oderate or severe baseline thrombocytopenia (platelet count &lt;100×10</w:t>
            </w:r>
            <w:r w:rsidRPr="00C02050">
              <w:rPr>
                <w:rFonts w:ascii="Times New Roman" w:hAnsi="Times New Roman" w:cs="Times New Roman"/>
                <w:bCs/>
                <w:sz w:val="20"/>
                <w:szCs w:val="20"/>
                <w:vertAlign w:val="superscript"/>
              </w:rPr>
              <w:t>9</w:t>
            </w:r>
            <w:r w:rsidRPr="00DD37A4">
              <w:rPr>
                <w:rFonts w:ascii="Times New Roman" w:hAnsi="Times New Roman" w:cs="Times New Roman"/>
                <w:bCs/>
                <w:sz w:val="20"/>
                <w:szCs w:val="20"/>
              </w:rPr>
              <w:t>/L)</w:t>
            </w:r>
          </w:p>
          <w:p w14:paraId="59B2053E" w14:textId="77777777"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C</w:t>
            </w:r>
            <w:r w:rsidRPr="00DD37A4">
              <w:rPr>
                <w:rFonts w:ascii="Times New Roman" w:hAnsi="Times New Roman" w:cs="Times New Roman"/>
                <w:bCs/>
                <w:sz w:val="20"/>
                <w:szCs w:val="20"/>
              </w:rPr>
              <w:t>hronic bleeding diathesis</w:t>
            </w:r>
          </w:p>
          <w:p w14:paraId="1C02F36F" w14:textId="77777777"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L</w:t>
            </w:r>
            <w:r w:rsidRPr="00DD37A4">
              <w:rPr>
                <w:rFonts w:ascii="Times New Roman" w:hAnsi="Times New Roman" w:cs="Times New Roman"/>
                <w:bCs/>
                <w:sz w:val="20"/>
                <w:szCs w:val="20"/>
              </w:rPr>
              <w:t>iver cirrhosis with portal hypertension</w:t>
            </w:r>
          </w:p>
          <w:p w14:paraId="7C048DD7" w14:textId="77777777"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A</w:t>
            </w:r>
            <w:r w:rsidRPr="00DD37A4">
              <w:rPr>
                <w:rFonts w:ascii="Times New Roman" w:hAnsi="Times New Roman" w:cs="Times New Roman"/>
                <w:bCs/>
                <w:sz w:val="20"/>
                <w:szCs w:val="20"/>
              </w:rPr>
              <w:t>ctive malignancy (excluding nonmelanoma skin cancer) within the past 12 months</w:t>
            </w:r>
          </w:p>
          <w:p w14:paraId="0A3B1438" w14:textId="44460886"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P</w:t>
            </w:r>
            <w:r w:rsidRPr="00DD37A4">
              <w:rPr>
                <w:rFonts w:ascii="Times New Roman" w:hAnsi="Times New Roman" w:cs="Times New Roman"/>
                <w:bCs/>
                <w:sz w:val="20"/>
                <w:szCs w:val="20"/>
              </w:rPr>
              <w:t xml:space="preserve">revious spontaneous </w:t>
            </w:r>
            <w:r w:rsidR="00C02050">
              <w:rPr>
                <w:rFonts w:ascii="Times New Roman" w:hAnsi="Times New Roman" w:cs="Times New Roman"/>
                <w:bCs/>
                <w:sz w:val="20"/>
                <w:szCs w:val="20"/>
              </w:rPr>
              <w:t>intracerebral hemorrhage (</w:t>
            </w:r>
            <w:r w:rsidRPr="00DD37A4">
              <w:rPr>
                <w:rFonts w:ascii="Times New Roman" w:hAnsi="Times New Roman" w:cs="Times New Roman"/>
                <w:bCs/>
                <w:sz w:val="20"/>
                <w:szCs w:val="20"/>
              </w:rPr>
              <w:t>ICH</w:t>
            </w:r>
            <w:r w:rsidR="00C02050">
              <w:rPr>
                <w:rFonts w:ascii="Times New Roman" w:hAnsi="Times New Roman" w:cs="Times New Roman"/>
                <w:bCs/>
                <w:sz w:val="20"/>
                <w:szCs w:val="20"/>
              </w:rPr>
              <w:t>)</w:t>
            </w:r>
            <w:r w:rsidRPr="00DD37A4">
              <w:rPr>
                <w:rFonts w:ascii="Times New Roman" w:hAnsi="Times New Roman" w:cs="Times New Roman"/>
                <w:bCs/>
                <w:sz w:val="20"/>
                <w:szCs w:val="20"/>
              </w:rPr>
              <w:t xml:space="preserve"> at any time</w:t>
            </w:r>
          </w:p>
          <w:p w14:paraId="270A7E0C" w14:textId="77777777"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P</w:t>
            </w:r>
            <w:r w:rsidRPr="00DD37A4">
              <w:rPr>
                <w:rFonts w:ascii="Times New Roman" w:hAnsi="Times New Roman" w:cs="Times New Roman"/>
                <w:bCs/>
                <w:sz w:val="20"/>
                <w:szCs w:val="20"/>
              </w:rPr>
              <w:t>revious traumatic ICH within the past 12 months</w:t>
            </w:r>
          </w:p>
          <w:p w14:paraId="67342054" w14:textId="77777777"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P</w:t>
            </w:r>
            <w:r w:rsidRPr="00DD37A4">
              <w:rPr>
                <w:rFonts w:ascii="Times New Roman" w:hAnsi="Times New Roman" w:cs="Times New Roman"/>
                <w:bCs/>
                <w:sz w:val="20"/>
                <w:szCs w:val="20"/>
              </w:rPr>
              <w:t>resence of a brain arteriovenous malformation (</w:t>
            </w:r>
            <w:proofErr w:type="spellStart"/>
            <w:r w:rsidRPr="00DD37A4">
              <w:rPr>
                <w:rFonts w:ascii="Times New Roman" w:hAnsi="Times New Roman" w:cs="Times New Roman"/>
                <w:bCs/>
                <w:sz w:val="20"/>
                <w:szCs w:val="20"/>
              </w:rPr>
              <w:t>bAVM</w:t>
            </w:r>
            <w:proofErr w:type="spellEnd"/>
            <w:r w:rsidRPr="00DD37A4">
              <w:rPr>
                <w:rFonts w:ascii="Times New Roman" w:hAnsi="Times New Roman" w:cs="Times New Roman"/>
                <w:bCs/>
                <w:sz w:val="20"/>
                <w:szCs w:val="20"/>
              </w:rPr>
              <w:t>)</w:t>
            </w:r>
          </w:p>
          <w:p w14:paraId="333B27D3" w14:textId="2743D228"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M</w:t>
            </w:r>
            <w:r w:rsidRPr="00DD37A4">
              <w:rPr>
                <w:rFonts w:ascii="Times New Roman" w:hAnsi="Times New Roman" w:cs="Times New Roman"/>
                <w:bCs/>
                <w:sz w:val="20"/>
                <w:szCs w:val="20"/>
              </w:rPr>
              <w:t>oderate or severe ischemic stroke (</w:t>
            </w:r>
            <w:r w:rsidR="00C02050" w:rsidRPr="00C02050">
              <w:rPr>
                <w:rFonts w:ascii="Times New Roman" w:hAnsi="Times New Roman" w:cs="Times New Roman"/>
                <w:bCs/>
                <w:sz w:val="20"/>
                <w:szCs w:val="20"/>
              </w:rPr>
              <w:t xml:space="preserve">National Institutes of Health Stroke Scale </w:t>
            </w:r>
            <w:r w:rsidR="00C02050">
              <w:rPr>
                <w:rFonts w:ascii="Times New Roman" w:hAnsi="Times New Roman" w:cs="Times New Roman"/>
                <w:bCs/>
                <w:sz w:val="20"/>
                <w:szCs w:val="20"/>
              </w:rPr>
              <w:t>(</w:t>
            </w:r>
            <w:r w:rsidRPr="00DD37A4">
              <w:rPr>
                <w:rFonts w:ascii="Times New Roman" w:hAnsi="Times New Roman" w:cs="Times New Roman"/>
                <w:bCs/>
                <w:sz w:val="20"/>
                <w:szCs w:val="20"/>
              </w:rPr>
              <w:t>NIHSS</w:t>
            </w:r>
            <w:r w:rsidR="00C02050">
              <w:rPr>
                <w:rFonts w:ascii="Times New Roman" w:hAnsi="Times New Roman" w:cs="Times New Roman"/>
                <w:bCs/>
                <w:sz w:val="20"/>
                <w:szCs w:val="20"/>
              </w:rPr>
              <w:t>)</w:t>
            </w:r>
            <w:r w:rsidRPr="00DD37A4">
              <w:rPr>
                <w:rFonts w:ascii="Times New Roman" w:hAnsi="Times New Roman" w:cs="Times New Roman"/>
                <w:bCs/>
                <w:sz w:val="20"/>
                <w:szCs w:val="20"/>
              </w:rPr>
              <w:t xml:space="preserve"> ≥5) within the past 6 months</w:t>
            </w:r>
          </w:p>
          <w:p w14:paraId="56E6CA70" w14:textId="77777777"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N</w:t>
            </w:r>
            <w:r w:rsidRPr="00DD37A4">
              <w:rPr>
                <w:rFonts w:ascii="Times New Roman" w:hAnsi="Times New Roman" w:cs="Times New Roman"/>
                <w:bCs/>
                <w:sz w:val="20"/>
                <w:szCs w:val="20"/>
              </w:rPr>
              <w:t>ondeferrable major surgery on DAPT</w:t>
            </w:r>
          </w:p>
          <w:p w14:paraId="5F5C0E2A" w14:textId="6EF1129C" w:rsidR="00DD37A4" w:rsidRP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R</w:t>
            </w:r>
            <w:r w:rsidRPr="00DD37A4">
              <w:rPr>
                <w:rFonts w:ascii="Times New Roman" w:hAnsi="Times New Roman" w:cs="Times New Roman"/>
                <w:bCs/>
                <w:sz w:val="20"/>
                <w:szCs w:val="20"/>
              </w:rPr>
              <w:t xml:space="preserve">ecent major surgery or major trauma within 30 days before PCI </w:t>
            </w:r>
          </w:p>
        </w:tc>
        <w:tc>
          <w:tcPr>
            <w:tcW w:w="4675" w:type="dxa"/>
          </w:tcPr>
          <w:p w14:paraId="66EAB8D6" w14:textId="77777777"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A</w:t>
            </w:r>
            <w:r w:rsidRPr="00DD37A4">
              <w:rPr>
                <w:rFonts w:ascii="Times New Roman" w:hAnsi="Times New Roman" w:cs="Times New Roman"/>
                <w:bCs/>
                <w:sz w:val="20"/>
                <w:szCs w:val="20"/>
              </w:rPr>
              <w:t>ge ≥75 years</w:t>
            </w:r>
          </w:p>
          <w:p w14:paraId="0E4D549C" w14:textId="77777777"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M</w:t>
            </w:r>
            <w:r w:rsidRPr="00DD37A4">
              <w:rPr>
                <w:rFonts w:ascii="Times New Roman" w:hAnsi="Times New Roman" w:cs="Times New Roman"/>
                <w:bCs/>
                <w:sz w:val="20"/>
                <w:szCs w:val="20"/>
              </w:rPr>
              <w:t>oderate CKD (eGFR 30 to 59 mL/min)</w:t>
            </w:r>
          </w:p>
          <w:p w14:paraId="3BD375B1" w14:textId="77777777"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H</w:t>
            </w:r>
            <w:r w:rsidRPr="00DD37A4">
              <w:rPr>
                <w:rFonts w:ascii="Times New Roman" w:hAnsi="Times New Roman" w:cs="Times New Roman"/>
                <w:bCs/>
                <w:sz w:val="20"/>
                <w:szCs w:val="20"/>
              </w:rPr>
              <w:t>emoglobin 11 to 12.9 g/dL for men and 11 to 11.9 g/dL for women</w:t>
            </w:r>
          </w:p>
          <w:p w14:paraId="34550B01" w14:textId="77777777"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S</w:t>
            </w:r>
            <w:r w:rsidRPr="00DD37A4">
              <w:rPr>
                <w:rFonts w:ascii="Times New Roman" w:hAnsi="Times New Roman" w:cs="Times New Roman"/>
                <w:bCs/>
                <w:sz w:val="20"/>
                <w:szCs w:val="20"/>
              </w:rPr>
              <w:t>pontaneous bleeding requiring hospitalization or transfusion within the past 12 months not meeting the major criterion</w:t>
            </w:r>
          </w:p>
          <w:p w14:paraId="75A663B4" w14:textId="600BA4CC" w:rsid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L</w:t>
            </w:r>
            <w:r w:rsidRPr="00DD37A4">
              <w:rPr>
                <w:rFonts w:ascii="Times New Roman" w:hAnsi="Times New Roman" w:cs="Times New Roman"/>
                <w:bCs/>
                <w:sz w:val="20"/>
                <w:szCs w:val="20"/>
              </w:rPr>
              <w:t xml:space="preserve">ong-term use of oral </w:t>
            </w:r>
            <w:r>
              <w:rPr>
                <w:rFonts w:ascii="Times New Roman" w:hAnsi="Times New Roman" w:cs="Times New Roman"/>
                <w:bCs/>
                <w:sz w:val="20"/>
                <w:szCs w:val="20"/>
              </w:rPr>
              <w:t>n</w:t>
            </w:r>
            <w:r w:rsidRPr="0051422A">
              <w:rPr>
                <w:rFonts w:ascii="Times New Roman" w:hAnsi="Times New Roman" w:cs="Times New Roman"/>
                <w:bCs/>
                <w:sz w:val="20"/>
                <w:szCs w:val="20"/>
              </w:rPr>
              <w:t xml:space="preserve">onsteroidal </w:t>
            </w:r>
            <w:r>
              <w:rPr>
                <w:rFonts w:ascii="Times New Roman" w:hAnsi="Times New Roman" w:cs="Times New Roman"/>
                <w:bCs/>
                <w:sz w:val="20"/>
                <w:szCs w:val="20"/>
              </w:rPr>
              <w:t>a</w:t>
            </w:r>
            <w:r w:rsidRPr="0051422A">
              <w:rPr>
                <w:rFonts w:ascii="Times New Roman" w:hAnsi="Times New Roman" w:cs="Times New Roman"/>
                <w:bCs/>
                <w:sz w:val="20"/>
                <w:szCs w:val="20"/>
              </w:rPr>
              <w:t>nti</w:t>
            </w:r>
            <w:r>
              <w:rPr>
                <w:rFonts w:ascii="Times New Roman" w:hAnsi="Times New Roman" w:cs="Times New Roman"/>
                <w:bCs/>
                <w:sz w:val="20"/>
                <w:szCs w:val="20"/>
              </w:rPr>
              <w:t>-i</w:t>
            </w:r>
            <w:r w:rsidRPr="0051422A">
              <w:rPr>
                <w:rFonts w:ascii="Times New Roman" w:hAnsi="Times New Roman" w:cs="Times New Roman"/>
                <w:bCs/>
                <w:sz w:val="20"/>
                <w:szCs w:val="20"/>
              </w:rPr>
              <w:t xml:space="preserve">nflammatory </w:t>
            </w:r>
            <w:r>
              <w:rPr>
                <w:rFonts w:ascii="Times New Roman" w:hAnsi="Times New Roman" w:cs="Times New Roman"/>
                <w:bCs/>
                <w:sz w:val="20"/>
                <w:szCs w:val="20"/>
              </w:rPr>
              <w:t>d</w:t>
            </w:r>
            <w:r w:rsidRPr="0051422A">
              <w:rPr>
                <w:rFonts w:ascii="Times New Roman" w:hAnsi="Times New Roman" w:cs="Times New Roman"/>
                <w:bCs/>
                <w:sz w:val="20"/>
                <w:szCs w:val="20"/>
              </w:rPr>
              <w:t>rug</w:t>
            </w:r>
            <w:r>
              <w:rPr>
                <w:rFonts w:ascii="Times New Roman" w:hAnsi="Times New Roman" w:cs="Times New Roman"/>
                <w:bCs/>
                <w:sz w:val="20"/>
                <w:szCs w:val="20"/>
              </w:rPr>
              <w:t>s</w:t>
            </w:r>
            <w:r w:rsidRPr="004075DF">
              <w:rPr>
                <w:rFonts w:ascii="Times New Roman" w:hAnsi="Times New Roman" w:cs="Times New Roman"/>
                <w:bCs/>
                <w:sz w:val="20"/>
                <w:szCs w:val="20"/>
              </w:rPr>
              <w:t xml:space="preserve"> </w:t>
            </w:r>
            <w:r>
              <w:rPr>
                <w:rFonts w:ascii="Times New Roman" w:hAnsi="Times New Roman" w:cs="Times New Roman"/>
                <w:bCs/>
                <w:sz w:val="20"/>
                <w:szCs w:val="20"/>
              </w:rPr>
              <w:t>(</w:t>
            </w:r>
            <w:r w:rsidRPr="004075DF">
              <w:rPr>
                <w:rFonts w:ascii="Times New Roman" w:hAnsi="Times New Roman" w:cs="Times New Roman"/>
                <w:bCs/>
                <w:sz w:val="20"/>
                <w:szCs w:val="20"/>
              </w:rPr>
              <w:t>NSAIDs</w:t>
            </w:r>
            <w:r>
              <w:rPr>
                <w:rFonts w:ascii="Times New Roman" w:hAnsi="Times New Roman" w:cs="Times New Roman"/>
                <w:bCs/>
                <w:sz w:val="20"/>
                <w:szCs w:val="20"/>
              </w:rPr>
              <w:t>)</w:t>
            </w:r>
            <w:r w:rsidRPr="00DD37A4">
              <w:rPr>
                <w:rFonts w:ascii="Times New Roman" w:hAnsi="Times New Roman" w:cs="Times New Roman"/>
                <w:bCs/>
                <w:sz w:val="20"/>
                <w:szCs w:val="20"/>
              </w:rPr>
              <w:t xml:space="preserve"> or steroids</w:t>
            </w:r>
          </w:p>
          <w:p w14:paraId="6998577E" w14:textId="072ACB9E" w:rsidR="00DD37A4" w:rsidRPr="00DD37A4" w:rsidRDefault="00DD37A4" w:rsidP="00DD37A4">
            <w:pPr>
              <w:pStyle w:val="ListParagraph"/>
              <w:numPr>
                <w:ilvl w:val="0"/>
                <w:numId w:val="8"/>
              </w:numPr>
              <w:rPr>
                <w:rFonts w:ascii="Times New Roman" w:hAnsi="Times New Roman" w:cs="Times New Roman"/>
                <w:bCs/>
                <w:sz w:val="20"/>
                <w:szCs w:val="20"/>
              </w:rPr>
            </w:pPr>
            <w:r>
              <w:rPr>
                <w:rFonts w:ascii="Times New Roman" w:hAnsi="Times New Roman" w:cs="Times New Roman"/>
                <w:bCs/>
                <w:sz w:val="20"/>
                <w:szCs w:val="20"/>
              </w:rPr>
              <w:t>A</w:t>
            </w:r>
            <w:r w:rsidRPr="00DD37A4">
              <w:rPr>
                <w:rFonts w:ascii="Times New Roman" w:hAnsi="Times New Roman" w:cs="Times New Roman"/>
                <w:bCs/>
                <w:sz w:val="20"/>
                <w:szCs w:val="20"/>
              </w:rPr>
              <w:t>ny ischemic stroke at any time not meeting the major criterion</w:t>
            </w:r>
          </w:p>
        </w:tc>
      </w:tr>
    </w:tbl>
    <w:p w14:paraId="5CE52186" w14:textId="77777777" w:rsidR="00DD37A4" w:rsidRPr="00DD37A4" w:rsidRDefault="00DD37A4" w:rsidP="00DD37A4">
      <w:pPr>
        <w:rPr>
          <w:rFonts w:ascii="Times New Roman" w:hAnsi="Times New Roman" w:cs="Times New Roman"/>
          <w:bCs/>
          <w:sz w:val="20"/>
          <w:szCs w:val="20"/>
        </w:rPr>
      </w:pPr>
    </w:p>
    <w:p w14:paraId="01F57F6F" w14:textId="77777777" w:rsidR="00DD37A4" w:rsidRDefault="00DD37A4" w:rsidP="0072731F">
      <w:pPr>
        <w:rPr>
          <w:rFonts w:ascii="Times New Roman" w:hAnsi="Times New Roman" w:cs="Times New Roman"/>
          <w:b/>
          <w:sz w:val="20"/>
          <w:szCs w:val="20"/>
        </w:rPr>
      </w:pPr>
      <w:r>
        <w:rPr>
          <w:rFonts w:ascii="Times New Roman" w:hAnsi="Times New Roman" w:cs="Times New Roman"/>
          <w:b/>
          <w:sz w:val="20"/>
          <w:szCs w:val="20"/>
        </w:rPr>
        <w:br w:type="page"/>
      </w:r>
    </w:p>
    <w:p w14:paraId="384145B4" w14:textId="77777777" w:rsidR="00787A5B" w:rsidRDefault="00787A5B" w:rsidP="004075DF">
      <w:pPr>
        <w:rPr>
          <w:rFonts w:ascii="Times New Roman" w:hAnsi="Times New Roman" w:cs="Times New Roman"/>
          <w:b/>
          <w:sz w:val="20"/>
          <w:szCs w:val="20"/>
        </w:rPr>
      </w:pPr>
      <w:r w:rsidRPr="00787A5B">
        <w:rPr>
          <w:rFonts w:ascii="Times New Roman" w:hAnsi="Times New Roman" w:cs="Times New Roman"/>
          <w:b/>
          <w:sz w:val="20"/>
          <w:szCs w:val="20"/>
        </w:rPr>
        <w:lastRenderedPageBreak/>
        <w:t>AMS Protocol for Gastrointestinal Bleeding Prophylaxis</w:t>
      </w:r>
    </w:p>
    <w:p w14:paraId="5F37620C" w14:textId="2B24A7AC" w:rsidR="004075DF" w:rsidRPr="004075DF" w:rsidRDefault="005D7063" w:rsidP="004075DF">
      <w:pPr>
        <w:rPr>
          <w:rFonts w:ascii="Times New Roman" w:hAnsi="Times New Roman" w:cs="Times New Roman"/>
          <w:bCs/>
          <w:sz w:val="20"/>
          <w:szCs w:val="20"/>
        </w:rPr>
      </w:pPr>
      <w:r>
        <w:rPr>
          <w:rFonts w:ascii="Times New Roman" w:hAnsi="Times New Roman" w:cs="Times New Roman"/>
          <w:bCs/>
          <w:sz w:val="20"/>
          <w:szCs w:val="20"/>
        </w:rPr>
        <w:t xml:space="preserve">We recommended addition of proton pump inhibitor (PPI) or histamine-2 receptor antagonist (H2RA) if PPI is contraindicated in patients at high risk of bleeding, including </w:t>
      </w:r>
      <w:r w:rsidR="004075DF" w:rsidRPr="004075DF">
        <w:rPr>
          <w:rFonts w:ascii="Times New Roman" w:hAnsi="Times New Roman" w:cs="Times New Roman"/>
          <w:bCs/>
          <w:sz w:val="20"/>
          <w:szCs w:val="20"/>
        </w:rPr>
        <w:t xml:space="preserve">patients treated with </w:t>
      </w:r>
      <w:r w:rsidR="00734FA0">
        <w:rPr>
          <w:rFonts w:ascii="Times New Roman" w:hAnsi="Times New Roman" w:cs="Times New Roman"/>
          <w:bCs/>
          <w:sz w:val="20"/>
          <w:szCs w:val="20"/>
        </w:rPr>
        <w:t>two</w:t>
      </w:r>
      <w:r w:rsidR="004075DF" w:rsidRPr="004075DF">
        <w:rPr>
          <w:rFonts w:ascii="Times New Roman" w:hAnsi="Times New Roman" w:cs="Times New Roman"/>
          <w:bCs/>
          <w:sz w:val="20"/>
          <w:szCs w:val="20"/>
        </w:rPr>
        <w:t xml:space="preserve"> antithrombotic agents</w:t>
      </w:r>
      <w:r>
        <w:rPr>
          <w:rFonts w:ascii="Times New Roman" w:hAnsi="Times New Roman" w:cs="Times New Roman"/>
          <w:bCs/>
          <w:sz w:val="20"/>
          <w:szCs w:val="20"/>
        </w:rPr>
        <w:t xml:space="preserve"> or history of gastrointestinal (GI) bleeding. One exclusion to this is patients taking rivaroxaban 2.5 mg twice daily with aspirin 81 mg daily for </w:t>
      </w:r>
      <w:r>
        <w:rPr>
          <w:rFonts w:ascii="Times New Roman" w:eastAsia="Times New Roman" w:hAnsi="Times New Roman"/>
          <w:color w:val="0E101A"/>
          <w:sz w:val="20"/>
          <w:szCs w:val="20"/>
        </w:rPr>
        <w:t>the reduction of major cardiovascular events in CAD or major thrombotic vascular events in</w:t>
      </w:r>
      <w:r w:rsidRPr="00CF4D9A">
        <w:rPr>
          <w:rFonts w:ascii="Times New Roman" w:eastAsia="Times New Roman" w:hAnsi="Times New Roman"/>
          <w:color w:val="0E101A"/>
          <w:sz w:val="20"/>
          <w:szCs w:val="20"/>
        </w:rPr>
        <w:t xml:space="preserve"> peripheral artery disease</w:t>
      </w:r>
      <w:r>
        <w:rPr>
          <w:rFonts w:ascii="Times New Roman" w:eastAsia="Times New Roman" w:hAnsi="Times New Roman"/>
          <w:color w:val="0E101A"/>
          <w:sz w:val="20"/>
          <w:szCs w:val="20"/>
        </w:rPr>
        <w:t>. PPI use in this population has not been shown to reduce GI bleeding risk.</w:t>
      </w:r>
      <w:r>
        <w:rPr>
          <w:rFonts w:ascii="Times New Roman" w:hAnsi="Times New Roman" w:cs="Times New Roman"/>
          <w:bCs/>
          <w:sz w:val="20"/>
          <w:szCs w:val="20"/>
        </w:rPr>
        <w:t xml:space="preserve"> </w:t>
      </w:r>
      <w:r w:rsidR="004075DF" w:rsidRPr="004075DF">
        <w:rPr>
          <w:rFonts w:ascii="Times New Roman" w:hAnsi="Times New Roman" w:cs="Times New Roman"/>
          <w:bCs/>
          <w:sz w:val="20"/>
          <w:szCs w:val="20"/>
        </w:rPr>
        <w:t xml:space="preserve">In </w:t>
      </w:r>
      <w:r>
        <w:rPr>
          <w:rFonts w:ascii="Times New Roman" w:hAnsi="Times New Roman" w:cs="Times New Roman"/>
          <w:bCs/>
          <w:sz w:val="20"/>
          <w:szCs w:val="20"/>
        </w:rPr>
        <w:t xml:space="preserve">other </w:t>
      </w:r>
      <w:r w:rsidR="004075DF" w:rsidRPr="004075DF">
        <w:rPr>
          <w:rFonts w:ascii="Times New Roman" w:hAnsi="Times New Roman" w:cs="Times New Roman"/>
          <w:bCs/>
          <w:sz w:val="20"/>
          <w:szCs w:val="20"/>
        </w:rPr>
        <w:t xml:space="preserve">patients with increased risk of GI bleeding, including those with advanced age and those with concomitant use of warfarin, steroids, or </w:t>
      </w:r>
      <w:r w:rsidR="00DD37A4">
        <w:rPr>
          <w:rFonts w:ascii="Times New Roman" w:hAnsi="Times New Roman" w:cs="Times New Roman"/>
          <w:bCs/>
          <w:sz w:val="20"/>
          <w:szCs w:val="20"/>
        </w:rPr>
        <w:t>NSAIDs</w:t>
      </w:r>
      <w:r w:rsidR="004075DF" w:rsidRPr="004075DF">
        <w:rPr>
          <w:rFonts w:ascii="Times New Roman" w:hAnsi="Times New Roman" w:cs="Times New Roman"/>
          <w:bCs/>
          <w:sz w:val="20"/>
          <w:szCs w:val="20"/>
        </w:rPr>
        <w:t xml:space="preserve"> use of a PPI is reasonable. Concomitant administration of aspirin and nonselective NSAIDs, such as ibuprofen, should be avoided if </w:t>
      </w:r>
      <w:proofErr w:type="gramStart"/>
      <w:r w:rsidR="004075DF" w:rsidRPr="004075DF">
        <w:rPr>
          <w:rFonts w:ascii="Times New Roman" w:hAnsi="Times New Roman" w:cs="Times New Roman"/>
          <w:bCs/>
          <w:sz w:val="20"/>
          <w:szCs w:val="20"/>
        </w:rPr>
        <w:t>possible</w:t>
      </w:r>
      <w:proofErr w:type="gramEnd"/>
      <w:r w:rsidR="004075DF" w:rsidRPr="004075DF">
        <w:rPr>
          <w:rFonts w:ascii="Times New Roman" w:hAnsi="Times New Roman" w:cs="Times New Roman"/>
          <w:bCs/>
          <w:sz w:val="20"/>
          <w:szCs w:val="20"/>
        </w:rPr>
        <w:t xml:space="preserve"> to reduce the risk of GI bleeding. Routine use of PPIs is not recommended for patients at low risk of GI bleedin</w:t>
      </w:r>
      <w:r w:rsidR="0058383D">
        <w:rPr>
          <w:rFonts w:ascii="Times New Roman" w:hAnsi="Times New Roman" w:cs="Times New Roman"/>
          <w:bCs/>
          <w:sz w:val="20"/>
          <w:szCs w:val="20"/>
        </w:rPr>
        <w:t>g [6].</w:t>
      </w:r>
    </w:p>
    <w:p w14:paraId="27C8E3D5" w14:textId="4B49630B" w:rsidR="004075DF" w:rsidRDefault="004075DF" w:rsidP="004075DF">
      <w:pPr>
        <w:rPr>
          <w:rFonts w:ascii="Times New Roman" w:hAnsi="Times New Roman" w:cs="Times New Roman"/>
          <w:bCs/>
          <w:sz w:val="20"/>
          <w:szCs w:val="20"/>
          <w:vertAlign w:val="superscript"/>
        </w:rPr>
      </w:pPr>
      <w:r w:rsidRPr="004075DF">
        <w:rPr>
          <w:rFonts w:ascii="Times New Roman" w:hAnsi="Times New Roman" w:cs="Times New Roman"/>
          <w:bCs/>
          <w:sz w:val="20"/>
          <w:szCs w:val="20"/>
        </w:rPr>
        <w:t>There have been concerns regarding reduced efficacy of clopidogrel with concomitant PPI use (particularly omeprazole). However, in the only randomized controlled trial on this topic, omeprazole was protective for GI bleeding without an increase in ischemic events</w:t>
      </w:r>
      <w:r w:rsidR="0058383D">
        <w:rPr>
          <w:rFonts w:ascii="Times New Roman" w:hAnsi="Times New Roman" w:cs="Times New Roman"/>
          <w:bCs/>
          <w:sz w:val="20"/>
          <w:szCs w:val="20"/>
        </w:rPr>
        <w:t xml:space="preserve"> [7].</w:t>
      </w:r>
    </w:p>
    <w:p w14:paraId="4C3DD88A" w14:textId="4D903F6C" w:rsidR="004075DF" w:rsidRDefault="004075DF" w:rsidP="0072731F">
      <w:pPr>
        <w:rPr>
          <w:rFonts w:ascii="Times New Roman" w:hAnsi="Times New Roman" w:cs="Times New Roman"/>
          <w:bCs/>
          <w:sz w:val="20"/>
          <w:szCs w:val="20"/>
        </w:rPr>
      </w:pPr>
      <w:r>
        <w:rPr>
          <w:rFonts w:ascii="Times New Roman" w:hAnsi="Times New Roman" w:cs="Times New Roman"/>
          <w:bCs/>
          <w:sz w:val="20"/>
          <w:szCs w:val="20"/>
        </w:rPr>
        <w:br w:type="page"/>
      </w:r>
    </w:p>
    <w:p w14:paraId="49A1905D" w14:textId="77777777" w:rsidR="004075DF" w:rsidRDefault="004075DF" w:rsidP="004075DF">
      <w:pPr>
        <w:rPr>
          <w:rFonts w:ascii="Times New Roman" w:hAnsi="Times New Roman" w:cs="Times New Roman"/>
          <w:b/>
          <w:sz w:val="20"/>
          <w:szCs w:val="20"/>
        </w:rPr>
      </w:pPr>
      <w:r>
        <w:rPr>
          <w:rFonts w:ascii="Times New Roman" w:hAnsi="Times New Roman" w:cs="Times New Roman"/>
          <w:b/>
          <w:sz w:val="20"/>
          <w:szCs w:val="20"/>
        </w:rPr>
        <w:lastRenderedPageBreak/>
        <w:t>References</w:t>
      </w:r>
    </w:p>
    <w:p w14:paraId="769DAC40" w14:textId="7A020BB7" w:rsidR="00C00B87" w:rsidRDefault="00C00B87" w:rsidP="004075DF">
      <w:pPr>
        <w:pStyle w:val="ListParagraph"/>
        <w:numPr>
          <w:ilvl w:val="0"/>
          <w:numId w:val="26"/>
        </w:numPr>
        <w:rPr>
          <w:rFonts w:ascii="Times New Roman" w:hAnsi="Times New Roman" w:cs="Times New Roman"/>
          <w:bCs/>
          <w:sz w:val="20"/>
          <w:szCs w:val="20"/>
        </w:rPr>
      </w:pPr>
      <w:r w:rsidRPr="00C00B87">
        <w:rPr>
          <w:rFonts w:ascii="Times New Roman" w:hAnsi="Times New Roman" w:cs="Times New Roman"/>
          <w:bCs/>
          <w:sz w:val="20"/>
          <w:szCs w:val="20"/>
        </w:rPr>
        <w:t xml:space="preserve">Pisters R, Lane DA, </w:t>
      </w:r>
      <w:proofErr w:type="spellStart"/>
      <w:r w:rsidRPr="00C00B87">
        <w:rPr>
          <w:rFonts w:ascii="Times New Roman" w:hAnsi="Times New Roman" w:cs="Times New Roman"/>
          <w:bCs/>
          <w:sz w:val="20"/>
          <w:szCs w:val="20"/>
        </w:rPr>
        <w:t>Nieuwlaat</w:t>
      </w:r>
      <w:proofErr w:type="spellEnd"/>
      <w:r w:rsidRPr="00C00B87">
        <w:rPr>
          <w:rFonts w:ascii="Times New Roman" w:hAnsi="Times New Roman" w:cs="Times New Roman"/>
          <w:bCs/>
          <w:sz w:val="20"/>
          <w:szCs w:val="20"/>
        </w:rPr>
        <w:t xml:space="preserve"> R, de Vos CB, </w:t>
      </w:r>
      <w:proofErr w:type="spellStart"/>
      <w:r w:rsidRPr="00C00B87">
        <w:rPr>
          <w:rFonts w:ascii="Times New Roman" w:hAnsi="Times New Roman" w:cs="Times New Roman"/>
          <w:bCs/>
          <w:sz w:val="20"/>
          <w:szCs w:val="20"/>
        </w:rPr>
        <w:t>Crijns</w:t>
      </w:r>
      <w:proofErr w:type="spellEnd"/>
      <w:r w:rsidRPr="00C00B87">
        <w:rPr>
          <w:rFonts w:ascii="Times New Roman" w:hAnsi="Times New Roman" w:cs="Times New Roman"/>
          <w:bCs/>
          <w:sz w:val="20"/>
          <w:szCs w:val="20"/>
        </w:rPr>
        <w:t xml:space="preserve"> HJ, Lip GY. A novel user-friendly score (HAS-BLED) to assess 1-year risk of major bleeding in patients with atrial fibrillation: the Euro Heart Survey. Chest. 2010;138(5):1093-1100. </w:t>
      </w:r>
    </w:p>
    <w:p w14:paraId="562C1EA5" w14:textId="057F1036" w:rsidR="004075DF" w:rsidRPr="00A66D81" w:rsidRDefault="004075DF" w:rsidP="004075DF">
      <w:pPr>
        <w:pStyle w:val="ListParagraph"/>
        <w:numPr>
          <w:ilvl w:val="0"/>
          <w:numId w:val="26"/>
        </w:numPr>
        <w:rPr>
          <w:rFonts w:ascii="Times New Roman" w:hAnsi="Times New Roman" w:cs="Times New Roman"/>
          <w:bCs/>
          <w:sz w:val="20"/>
          <w:szCs w:val="20"/>
        </w:rPr>
      </w:pPr>
      <w:proofErr w:type="spellStart"/>
      <w:r w:rsidRPr="00A66D81">
        <w:rPr>
          <w:rFonts w:ascii="Times New Roman" w:hAnsi="Times New Roman" w:cs="Times New Roman"/>
          <w:bCs/>
          <w:sz w:val="20"/>
          <w:szCs w:val="20"/>
        </w:rPr>
        <w:t>Kumbhani</w:t>
      </w:r>
      <w:proofErr w:type="spellEnd"/>
      <w:r w:rsidRPr="00A66D81">
        <w:rPr>
          <w:rFonts w:ascii="Times New Roman" w:hAnsi="Times New Roman" w:cs="Times New Roman"/>
          <w:bCs/>
          <w:sz w:val="20"/>
          <w:szCs w:val="20"/>
        </w:rPr>
        <w:t xml:space="preserve"> DJ, Cannon CP, Beavers CJ, et al. 2020 ACC Expert Consensus Decision Pathway for Anticoagulant and Antiplatelet Therapy in Patients </w:t>
      </w:r>
      <w:proofErr w:type="gramStart"/>
      <w:r w:rsidRPr="00A66D81">
        <w:rPr>
          <w:rFonts w:ascii="Times New Roman" w:hAnsi="Times New Roman" w:cs="Times New Roman"/>
          <w:bCs/>
          <w:sz w:val="20"/>
          <w:szCs w:val="20"/>
        </w:rPr>
        <w:t>With</w:t>
      </w:r>
      <w:proofErr w:type="gramEnd"/>
      <w:r w:rsidRPr="00A66D81">
        <w:rPr>
          <w:rFonts w:ascii="Times New Roman" w:hAnsi="Times New Roman" w:cs="Times New Roman"/>
          <w:bCs/>
          <w:sz w:val="20"/>
          <w:szCs w:val="20"/>
        </w:rPr>
        <w:t xml:space="preserve"> Atrial Fibrillation or Venous Thromboembolism Undergoing Percutaneous Coronary Intervention or With Atherosclerotic Cardiovascular Disease: A Report of the American College of Cardiology Solution Set Oversight Committee. J Am Coll </w:t>
      </w:r>
      <w:proofErr w:type="spellStart"/>
      <w:r w:rsidRPr="00A66D81">
        <w:rPr>
          <w:rFonts w:ascii="Times New Roman" w:hAnsi="Times New Roman" w:cs="Times New Roman"/>
          <w:bCs/>
          <w:sz w:val="20"/>
          <w:szCs w:val="20"/>
        </w:rPr>
        <w:t>Cardiol</w:t>
      </w:r>
      <w:proofErr w:type="spellEnd"/>
      <w:r w:rsidRPr="00A66D81">
        <w:rPr>
          <w:rFonts w:ascii="Times New Roman" w:hAnsi="Times New Roman" w:cs="Times New Roman"/>
          <w:bCs/>
          <w:sz w:val="20"/>
          <w:szCs w:val="20"/>
        </w:rPr>
        <w:t>. 2021;77(5):629-658.</w:t>
      </w:r>
    </w:p>
    <w:p w14:paraId="75A08398" w14:textId="77777777" w:rsidR="004075DF" w:rsidRDefault="004075DF" w:rsidP="004075DF">
      <w:pPr>
        <w:pStyle w:val="ListParagraph"/>
        <w:numPr>
          <w:ilvl w:val="0"/>
          <w:numId w:val="26"/>
        </w:numPr>
        <w:rPr>
          <w:rFonts w:ascii="Times New Roman" w:hAnsi="Times New Roman" w:cs="Times New Roman"/>
          <w:bCs/>
          <w:sz w:val="20"/>
          <w:szCs w:val="20"/>
        </w:rPr>
      </w:pPr>
      <w:r w:rsidRPr="00A66D81">
        <w:rPr>
          <w:rFonts w:ascii="Times New Roman" w:hAnsi="Times New Roman" w:cs="Times New Roman"/>
          <w:bCs/>
          <w:sz w:val="20"/>
          <w:szCs w:val="20"/>
        </w:rPr>
        <w:t xml:space="preserve">Angiolillo DJ, Bhatt DL, Cannon CP, et al. Antithrombotic Therapy in Patients </w:t>
      </w:r>
      <w:proofErr w:type="gramStart"/>
      <w:r w:rsidRPr="00A66D81">
        <w:rPr>
          <w:rFonts w:ascii="Times New Roman" w:hAnsi="Times New Roman" w:cs="Times New Roman"/>
          <w:bCs/>
          <w:sz w:val="20"/>
          <w:szCs w:val="20"/>
        </w:rPr>
        <w:t>With</w:t>
      </w:r>
      <w:proofErr w:type="gramEnd"/>
      <w:r w:rsidRPr="00A66D81">
        <w:rPr>
          <w:rFonts w:ascii="Times New Roman" w:hAnsi="Times New Roman" w:cs="Times New Roman"/>
          <w:bCs/>
          <w:sz w:val="20"/>
          <w:szCs w:val="20"/>
        </w:rPr>
        <w:t xml:space="preserve"> Atrial Fibrillation Treated </w:t>
      </w:r>
      <w:proofErr w:type="gramStart"/>
      <w:r w:rsidRPr="00A66D81">
        <w:rPr>
          <w:rFonts w:ascii="Times New Roman" w:hAnsi="Times New Roman" w:cs="Times New Roman"/>
          <w:bCs/>
          <w:sz w:val="20"/>
          <w:szCs w:val="20"/>
        </w:rPr>
        <w:t>With</w:t>
      </w:r>
      <w:proofErr w:type="gramEnd"/>
      <w:r w:rsidRPr="00A66D81">
        <w:rPr>
          <w:rFonts w:ascii="Times New Roman" w:hAnsi="Times New Roman" w:cs="Times New Roman"/>
          <w:bCs/>
          <w:sz w:val="20"/>
          <w:szCs w:val="20"/>
        </w:rPr>
        <w:t xml:space="preserve"> Oral Anticoagulation Undergoing Percutaneous Coronary Intervention: A North American Perspective: 2021 Update. Circulation. 2021 Feb 9;143(6):583-596.</w:t>
      </w:r>
    </w:p>
    <w:p w14:paraId="3B29C08A" w14:textId="24B176B7" w:rsidR="005D7063" w:rsidRDefault="005D7063" w:rsidP="004075DF">
      <w:pPr>
        <w:pStyle w:val="ListParagraph"/>
        <w:numPr>
          <w:ilvl w:val="0"/>
          <w:numId w:val="26"/>
        </w:numPr>
        <w:rPr>
          <w:rFonts w:ascii="Times New Roman" w:hAnsi="Times New Roman" w:cs="Times New Roman"/>
          <w:bCs/>
          <w:sz w:val="20"/>
          <w:szCs w:val="20"/>
        </w:rPr>
      </w:pPr>
      <w:r w:rsidRPr="005D7063">
        <w:rPr>
          <w:rFonts w:ascii="Times New Roman" w:hAnsi="Times New Roman" w:cs="Times New Roman"/>
          <w:bCs/>
          <w:sz w:val="20"/>
          <w:szCs w:val="20"/>
        </w:rPr>
        <w:t xml:space="preserve">Rao SV, O'Donoghue ML, Ruel M, et al. 2025 ACC/AHA/ACEP/NAEMSP/SCAI Guideline for the Management of Patients </w:t>
      </w:r>
      <w:proofErr w:type="gramStart"/>
      <w:r w:rsidRPr="005D7063">
        <w:rPr>
          <w:rFonts w:ascii="Times New Roman" w:hAnsi="Times New Roman" w:cs="Times New Roman"/>
          <w:bCs/>
          <w:sz w:val="20"/>
          <w:szCs w:val="20"/>
        </w:rPr>
        <w:t>With</w:t>
      </w:r>
      <w:proofErr w:type="gramEnd"/>
      <w:r w:rsidRPr="005D7063">
        <w:rPr>
          <w:rFonts w:ascii="Times New Roman" w:hAnsi="Times New Roman" w:cs="Times New Roman"/>
          <w:bCs/>
          <w:sz w:val="20"/>
          <w:szCs w:val="20"/>
        </w:rPr>
        <w:t xml:space="preserve"> Acute Coronary Syndromes: A Report of the American College of Cardiology/American Heart Association Joint Committee on Clinical Practice Guidelines. Circulation. 2025;151(13</w:t>
      </w:r>
      <w:proofErr w:type="gramStart"/>
      <w:r w:rsidRPr="005D7063">
        <w:rPr>
          <w:rFonts w:ascii="Times New Roman" w:hAnsi="Times New Roman" w:cs="Times New Roman"/>
          <w:bCs/>
          <w:sz w:val="20"/>
          <w:szCs w:val="20"/>
        </w:rPr>
        <w:t>):e</w:t>
      </w:r>
      <w:proofErr w:type="gramEnd"/>
      <w:r w:rsidRPr="005D7063">
        <w:rPr>
          <w:rFonts w:ascii="Times New Roman" w:hAnsi="Times New Roman" w:cs="Times New Roman"/>
          <w:bCs/>
          <w:sz w:val="20"/>
          <w:szCs w:val="20"/>
        </w:rPr>
        <w:t xml:space="preserve">771-e862. </w:t>
      </w:r>
    </w:p>
    <w:p w14:paraId="29E54E63" w14:textId="77777777" w:rsidR="004075DF" w:rsidRDefault="004075DF" w:rsidP="004075DF">
      <w:pPr>
        <w:pStyle w:val="ListParagraph"/>
        <w:numPr>
          <w:ilvl w:val="0"/>
          <w:numId w:val="26"/>
        </w:numPr>
        <w:rPr>
          <w:rFonts w:ascii="Times New Roman" w:hAnsi="Times New Roman" w:cs="Times New Roman"/>
          <w:bCs/>
          <w:sz w:val="20"/>
          <w:szCs w:val="20"/>
        </w:rPr>
      </w:pPr>
      <w:r w:rsidRPr="0072731F">
        <w:rPr>
          <w:rFonts w:ascii="Times New Roman" w:hAnsi="Times New Roman" w:cs="Times New Roman"/>
          <w:bCs/>
          <w:sz w:val="20"/>
          <w:szCs w:val="20"/>
        </w:rPr>
        <w:t>Urban P, Mehran R, Colleran R, et al. Defining High Bleeding Risk in Patients Undergoing Percutaneous Coronary Intervention. Circulation. 2019;140(3):240-261.</w:t>
      </w:r>
    </w:p>
    <w:p w14:paraId="0080008B" w14:textId="20FA09E9" w:rsidR="004075DF" w:rsidRDefault="004075DF" w:rsidP="004075DF">
      <w:pPr>
        <w:pStyle w:val="ListParagraph"/>
        <w:numPr>
          <w:ilvl w:val="0"/>
          <w:numId w:val="26"/>
        </w:numPr>
        <w:rPr>
          <w:rFonts w:ascii="Times New Roman" w:hAnsi="Times New Roman" w:cs="Times New Roman"/>
          <w:bCs/>
          <w:sz w:val="20"/>
          <w:szCs w:val="20"/>
        </w:rPr>
      </w:pPr>
      <w:r w:rsidRPr="004075DF">
        <w:rPr>
          <w:rFonts w:ascii="Times New Roman" w:hAnsi="Times New Roman" w:cs="Times New Roman"/>
          <w:bCs/>
          <w:sz w:val="20"/>
          <w:szCs w:val="20"/>
        </w:rPr>
        <w:t xml:space="preserve">Levine GN, Bates ER, </w:t>
      </w:r>
      <w:proofErr w:type="spellStart"/>
      <w:r w:rsidRPr="004075DF">
        <w:rPr>
          <w:rFonts w:ascii="Times New Roman" w:hAnsi="Times New Roman" w:cs="Times New Roman"/>
          <w:bCs/>
          <w:sz w:val="20"/>
          <w:szCs w:val="20"/>
        </w:rPr>
        <w:t>Bittl</w:t>
      </w:r>
      <w:proofErr w:type="spellEnd"/>
      <w:r w:rsidRPr="004075DF">
        <w:rPr>
          <w:rFonts w:ascii="Times New Roman" w:hAnsi="Times New Roman" w:cs="Times New Roman"/>
          <w:bCs/>
          <w:sz w:val="20"/>
          <w:szCs w:val="20"/>
        </w:rPr>
        <w:t xml:space="preserve"> JA, et al. 2016 ACC/AHA guideline Focused Update on duration of Dual Antiplatelet therapy in patients with coronary artery disease. J Am Coll </w:t>
      </w:r>
      <w:proofErr w:type="spellStart"/>
      <w:r w:rsidRPr="004075DF">
        <w:rPr>
          <w:rFonts w:ascii="Times New Roman" w:hAnsi="Times New Roman" w:cs="Times New Roman"/>
          <w:bCs/>
          <w:sz w:val="20"/>
          <w:szCs w:val="20"/>
        </w:rPr>
        <w:t>Cardiol</w:t>
      </w:r>
      <w:proofErr w:type="spellEnd"/>
      <w:r w:rsidRPr="004075DF">
        <w:rPr>
          <w:rFonts w:ascii="Times New Roman" w:hAnsi="Times New Roman" w:cs="Times New Roman"/>
          <w:bCs/>
          <w:sz w:val="20"/>
          <w:szCs w:val="20"/>
        </w:rPr>
        <w:t>. 2016;68(10):1082.</w:t>
      </w:r>
    </w:p>
    <w:p w14:paraId="44F81DB2" w14:textId="73D5310D" w:rsidR="004075DF" w:rsidRPr="004075DF" w:rsidRDefault="004075DF" w:rsidP="004075DF">
      <w:pPr>
        <w:pStyle w:val="ListParagraph"/>
        <w:numPr>
          <w:ilvl w:val="0"/>
          <w:numId w:val="26"/>
        </w:numPr>
        <w:rPr>
          <w:rFonts w:ascii="Times New Roman" w:hAnsi="Times New Roman" w:cs="Times New Roman"/>
          <w:bCs/>
          <w:sz w:val="20"/>
          <w:szCs w:val="20"/>
        </w:rPr>
      </w:pPr>
      <w:r w:rsidRPr="004075DF">
        <w:rPr>
          <w:rFonts w:ascii="Times New Roman" w:hAnsi="Times New Roman" w:cs="Times New Roman"/>
          <w:bCs/>
          <w:sz w:val="20"/>
          <w:szCs w:val="20"/>
        </w:rPr>
        <w:t>Bhatt DL, Cryer BL, Contant CF, et al. Clopidogrel with or without omeprazole in coronary artery disease. N Engl J Med. 2010;363(20):1909-1917.</w:t>
      </w:r>
    </w:p>
    <w:sectPr w:rsidR="004075DF" w:rsidRPr="004075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37223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BD638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B9037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62661A"/>
    <w:multiLevelType w:val="hybridMultilevel"/>
    <w:tmpl w:val="A3DA4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603DEB"/>
    <w:multiLevelType w:val="hybridMultilevel"/>
    <w:tmpl w:val="4CDCF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835E61"/>
    <w:multiLevelType w:val="hybridMultilevel"/>
    <w:tmpl w:val="89923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35420E"/>
    <w:multiLevelType w:val="hybridMultilevel"/>
    <w:tmpl w:val="9258B3B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10A5455D"/>
    <w:multiLevelType w:val="hybridMultilevel"/>
    <w:tmpl w:val="65ACFD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358AC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D4515D9"/>
    <w:multiLevelType w:val="hybridMultilevel"/>
    <w:tmpl w:val="B22E07D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CFE5157"/>
    <w:multiLevelType w:val="hybridMultilevel"/>
    <w:tmpl w:val="8DD84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9F14DC"/>
    <w:multiLevelType w:val="hybridMultilevel"/>
    <w:tmpl w:val="0D00F8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3464E6"/>
    <w:multiLevelType w:val="hybridMultilevel"/>
    <w:tmpl w:val="89923D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28725D7"/>
    <w:multiLevelType w:val="hybridMultilevel"/>
    <w:tmpl w:val="C0809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739C9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D8D1386"/>
    <w:multiLevelType w:val="hybridMultilevel"/>
    <w:tmpl w:val="4E92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7944E5"/>
    <w:multiLevelType w:val="hybridMultilevel"/>
    <w:tmpl w:val="B1A6C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D443BD"/>
    <w:multiLevelType w:val="hybridMultilevel"/>
    <w:tmpl w:val="DE2A9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45AD75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469925CA"/>
    <w:multiLevelType w:val="hybridMultilevel"/>
    <w:tmpl w:val="33049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102DDF"/>
    <w:multiLevelType w:val="hybridMultilevel"/>
    <w:tmpl w:val="3BAED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F6B95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124664D"/>
    <w:multiLevelType w:val="hybridMultilevel"/>
    <w:tmpl w:val="DBB42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BC2961"/>
    <w:multiLevelType w:val="hybridMultilevel"/>
    <w:tmpl w:val="42400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ED3320"/>
    <w:multiLevelType w:val="hybridMultilevel"/>
    <w:tmpl w:val="4EE29B7A"/>
    <w:lvl w:ilvl="0" w:tplc="FFFFFFFF">
      <w:start w:val="1"/>
      <w:numFmt w:val="bullet"/>
      <w:lvlText w:val="•"/>
      <w:lvlJc w:val="left"/>
    </w:lvl>
    <w:lvl w:ilvl="1" w:tplc="04090001">
      <w:start w:val="1"/>
      <w:numFmt w:val="bullet"/>
      <w:lvlText w:val=""/>
      <w:lvlJc w:val="left"/>
      <w:pPr>
        <w:ind w:left="720" w:hanging="360"/>
      </w:pPr>
      <w:rPr>
        <w:rFonts w:ascii="Symbol" w:hAnsi="Symbol" w:hint="default"/>
      </w:rPr>
    </w:lvl>
    <w:lvl w:ilvl="2" w:tplc="04090003">
      <w:start w:val="1"/>
      <w:numFmt w:val="bullet"/>
      <w:lvlText w:val="o"/>
      <w:lvlJc w:val="left"/>
      <w:pPr>
        <w:ind w:left="360" w:hanging="360"/>
      </w:pPr>
      <w:rPr>
        <w:rFonts w:ascii="Courier New" w:hAnsi="Courier New" w:cs="Courier New" w:hint="default"/>
      </w:r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9EF3283"/>
    <w:multiLevelType w:val="hybridMultilevel"/>
    <w:tmpl w:val="AADEB6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64A551A">
      <w:numFmt w:val="bullet"/>
      <w:lvlText w:val=""/>
      <w:lvlJc w:val="left"/>
      <w:pPr>
        <w:ind w:left="2160" w:hanging="360"/>
      </w:pPr>
      <w:rPr>
        <w:rFonts w:ascii="Wingdings" w:eastAsiaTheme="minorHAnsi" w:hAnsi="Wingdings" w:cs="Calibri" w:hint="default"/>
        <w:b/>
        <w:i/>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BFA16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6AA2F34"/>
    <w:multiLevelType w:val="hybridMultilevel"/>
    <w:tmpl w:val="27461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14591908">
    <w:abstractNumId w:val="7"/>
  </w:num>
  <w:num w:numId="2" w16cid:durableId="1316567752">
    <w:abstractNumId w:val="15"/>
  </w:num>
  <w:num w:numId="3" w16cid:durableId="1129863012">
    <w:abstractNumId w:val="23"/>
  </w:num>
  <w:num w:numId="4" w16cid:durableId="1953054763">
    <w:abstractNumId w:val="27"/>
  </w:num>
  <w:num w:numId="5" w16cid:durableId="262151559">
    <w:abstractNumId w:val="6"/>
  </w:num>
  <w:num w:numId="6" w16cid:durableId="932933951">
    <w:abstractNumId w:val="20"/>
  </w:num>
  <w:num w:numId="7" w16cid:durableId="1242712821">
    <w:abstractNumId w:val="9"/>
  </w:num>
  <w:num w:numId="8" w16cid:durableId="1679963509">
    <w:abstractNumId w:val="3"/>
  </w:num>
  <w:num w:numId="9" w16cid:durableId="565382802">
    <w:abstractNumId w:val="1"/>
  </w:num>
  <w:num w:numId="10" w16cid:durableId="767427609">
    <w:abstractNumId w:val="26"/>
  </w:num>
  <w:num w:numId="11" w16cid:durableId="1218665423">
    <w:abstractNumId w:val="22"/>
  </w:num>
  <w:num w:numId="12" w16cid:durableId="1466973616">
    <w:abstractNumId w:val="16"/>
  </w:num>
  <w:num w:numId="13" w16cid:durableId="1900167035">
    <w:abstractNumId w:val="8"/>
  </w:num>
  <w:num w:numId="14" w16cid:durableId="589584045">
    <w:abstractNumId w:val="14"/>
  </w:num>
  <w:num w:numId="15" w16cid:durableId="633829349">
    <w:abstractNumId w:val="25"/>
  </w:num>
  <w:num w:numId="16" w16cid:durableId="924261927">
    <w:abstractNumId w:val="0"/>
  </w:num>
  <w:num w:numId="17" w16cid:durableId="396518546">
    <w:abstractNumId w:val="24"/>
  </w:num>
  <w:num w:numId="18" w16cid:durableId="1940023947">
    <w:abstractNumId w:val="13"/>
  </w:num>
  <w:num w:numId="19" w16cid:durableId="1717117631">
    <w:abstractNumId w:val="17"/>
  </w:num>
  <w:num w:numId="20" w16cid:durableId="2112817499">
    <w:abstractNumId w:val="4"/>
  </w:num>
  <w:num w:numId="21" w16cid:durableId="847906316">
    <w:abstractNumId w:val="10"/>
  </w:num>
  <w:num w:numId="22" w16cid:durableId="189415209">
    <w:abstractNumId w:val="5"/>
  </w:num>
  <w:num w:numId="23" w16cid:durableId="813450755">
    <w:abstractNumId w:val="21"/>
  </w:num>
  <w:num w:numId="24" w16cid:durableId="666060007">
    <w:abstractNumId w:val="18"/>
  </w:num>
  <w:num w:numId="25" w16cid:durableId="307591236">
    <w:abstractNumId w:val="2"/>
  </w:num>
  <w:num w:numId="26" w16cid:durableId="477188208">
    <w:abstractNumId w:val="12"/>
  </w:num>
  <w:num w:numId="27" w16cid:durableId="1357348792">
    <w:abstractNumId w:val="19"/>
  </w:num>
  <w:num w:numId="28" w16cid:durableId="20373435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59A"/>
    <w:rsid w:val="000526AA"/>
    <w:rsid w:val="000B730F"/>
    <w:rsid w:val="000C5819"/>
    <w:rsid w:val="0013310B"/>
    <w:rsid w:val="001375B9"/>
    <w:rsid w:val="001F29DD"/>
    <w:rsid w:val="00214D78"/>
    <w:rsid w:val="00290E60"/>
    <w:rsid w:val="002D1289"/>
    <w:rsid w:val="002F2FCD"/>
    <w:rsid w:val="0032055C"/>
    <w:rsid w:val="00332A65"/>
    <w:rsid w:val="003908BB"/>
    <w:rsid w:val="003B69B1"/>
    <w:rsid w:val="003F2184"/>
    <w:rsid w:val="004075DF"/>
    <w:rsid w:val="004B1A0D"/>
    <w:rsid w:val="004D43AB"/>
    <w:rsid w:val="0051422A"/>
    <w:rsid w:val="00564547"/>
    <w:rsid w:val="00573B1C"/>
    <w:rsid w:val="0058383D"/>
    <w:rsid w:val="00583D31"/>
    <w:rsid w:val="005D7063"/>
    <w:rsid w:val="00624246"/>
    <w:rsid w:val="006A359A"/>
    <w:rsid w:val="006F4D76"/>
    <w:rsid w:val="006F7143"/>
    <w:rsid w:val="00720433"/>
    <w:rsid w:val="0072731F"/>
    <w:rsid w:val="00734FA0"/>
    <w:rsid w:val="007475E0"/>
    <w:rsid w:val="007531B4"/>
    <w:rsid w:val="00786432"/>
    <w:rsid w:val="0078792D"/>
    <w:rsid w:val="00787A5B"/>
    <w:rsid w:val="00792070"/>
    <w:rsid w:val="007C7C4E"/>
    <w:rsid w:val="007E719F"/>
    <w:rsid w:val="008041BC"/>
    <w:rsid w:val="00824AD3"/>
    <w:rsid w:val="00837D6E"/>
    <w:rsid w:val="0087092B"/>
    <w:rsid w:val="008D03F2"/>
    <w:rsid w:val="00941DEA"/>
    <w:rsid w:val="00945D41"/>
    <w:rsid w:val="00A03A9A"/>
    <w:rsid w:val="00A66D81"/>
    <w:rsid w:val="00A701AB"/>
    <w:rsid w:val="00A716DD"/>
    <w:rsid w:val="00A8377F"/>
    <w:rsid w:val="00B31469"/>
    <w:rsid w:val="00B3202C"/>
    <w:rsid w:val="00B961E3"/>
    <w:rsid w:val="00BC056E"/>
    <w:rsid w:val="00C00B87"/>
    <w:rsid w:val="00C02050"/>
    <w:rsid w:val="00C03A59"/>
    <w:rsid w:val="00D113C0"/>
    <w:rsid w:val="00DA176B"/>
    <w:rsid w:val="00DD37A4"/>
    <w:rsid w:val="00E422FB"/>
    <w:rsid w:val="00E47447"/>
    <w:rsid w:val="00E74915"/>
    <w:rsid w:val="00EF580F"/>
    <w:rsid w:val="00F00729"/>
    <w:rsid w:val="00F305A9"/>
    <w:rsid w:val="00FC2EFF"/>
    <w:rsid w:val="00FD63D0"/>
    <w:rsid w:val="00FF15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55D6D"/>
  <w15:chartTrackingRefBased/>
  <w15:docId w15:val="{958773AA-F1CC-410A-9570-EDE820FF6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35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35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A35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A35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35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35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35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35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35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35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35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A35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A35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35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35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35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35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359A"/>
    <w:rPr>
      <w:rFonts w:eastAsiaTheme="majorEastAsia" w:cstheme="majorBidi"/>
      <w:color w:val="272727" w:themeColor="text1" w:themeTint="D8"/>
    </w:rPr>
  </w:style>
  <w:style w:type="paragraph" w:styleId="Title">
    <w:name w:val="Title"/>
    <w:basedOn w:val="Normal"/>
    <w:next w:val="Normal"/>
    <w:link w:val="TitleChar"/>
    <w:uiPriority w:val="10"/>
    <w:qFormat/>
    <w:rsid w:val="006A35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35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35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35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359A"/>
    <w:pPr>
      <w:spacing w:before="160"/>
      <w:jc w:val="center"/>
    </w:pPr>
    <w:rPr>
      <w:i/>
      <w:iCs/>
      <w:color w:val="404040" w:themeColor="text1" w:themeTint="BF"/>
    </w:rPr>
  </w:style>
  <w:style w:type="character" w:customStyle="1" w:styleId="QuoteChar">
    <w:name w:val="Quote Char"/>
    <w:basedOn w:val="DefaultParagraphFont"/>
    <w:link w:val="Quote"/>
    <w:uiPriority w:val="29"/>
    <w:rsid w:val="006A359A"/>
    <w:rPr>
      <w:i/>
      <w:iCs/>
      <w:color w:val="404040" w:themeColor="text1" w:themeTint="BF"/>
    </w:rPr>
  </w:style>
  <w:style w:type="paragraph" w:styleId="ListParagraph">
    <w:name w:val="List Paragraph"/>
    <w:basedOn w:val="Normal"/>
    <w:uiPriority w:val="34"/>
    <w:qFormat/>
    <w:rsid w:val="006A359A"/>
    <w:pPr>
      <w:ind w:left="720"/>
      <w:contextualSpacing/>
    </w:pPr>
  </w:style>
  <w:style w:type="character" w:styleId="IntenseEmphasis">
    <w:name w:val="Intense Emphasis"/>
    <w:basedOn w:val="DefaultParagraphFont"/>
    <w:uiPriority w:val="21"/>
    <w:qFormat/>
    <w:rsid w:val="006A359A"/>
    <w:rPr>
      <w:i/>
      <w:iCs/>
      <w:color w:val="0F4761" w:themeColor="accent1" w:themeShade="BF"/>
    </w:rPr>
  </w:style>
  <w:style w:type="paragraph" w:styleId="IntenseQuote">
    <w:name w:val="Intense Quote"/>
    <w:basedOn w:val="Normal"/>
    <w:next w:val="Normal"/>
    <w:link w:val="IntenseQuoteChar"/>
    <w:uiPriority w:val="30"/>
    <w:qFormat/>
    <w:rsid w:val="006A35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359A"/>
    <w:rPr>
      <w:i/>
      <w:iCs/>
      <w:color w:val="0F4761" w:themeColor="accent1" w:themeShade="BF"/>
    </w:rPr>
  </w:style>
  <w:style w:type="character" w:styleId="IntenseReference">
    <w:name w:val="Intense Reference"/>
    <w:basedOn w:val="DefaultParagraphFont"/>
    <w:uiPriority w:val="32"/>
    <w:qFormat/>
    <w:rsid w:val="006A359A"/>
    <w:rPr>
      <w:b/>
      <w:bCs/>
      <w:smallCaps/>
      <w:color w:val="0F4761" w:themeColor="accent1" w:themeShade="BF"/>
      <w:spacing w:val="5"/>
    </w:rPr>
  </w:style>
  <w:style w:type="table" w:styleId="TableGrid">
    <w:name w:val="Table Grid"/>
    <w:basedOn w:val="TableNormal"/>
    <w:uiPriority w:val="59"/>
    <w:rsid w:val="00941DEA"/>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74915"/>
    <w:pPr>
      <w:spacing w:after="0" w:line="240" w:lineRule="auto"/>
    </w:pPr>
  </w:style>
  <w:style w:type="paragraph" w:customStyle="1" w:styleId="Default">
    <w:name w:val="Default"/>
    <w:rsid w:val="003F2184"/>
    <w:pPr>
      <w:autoSpaceDE w:val="0"/>
      <w:autoSpaceDN w:val="0"/>
      <w:adjustRightInd w:val="0"/>
      <w:spacing w:after="0" w:line="240" w:lineRule="auto"/>
    </w:pPr>
    <w:rPr>
      <w:rFonts w:ascii="Calibri" w:hAnsi="Calibri" w:cs="Calibri"/>
      <w:color w:val="000000"/>
      <w:kern w:val="0"/>
    </w:rPr>
  </w:style>
  <w:style w:type="character" w:styleId="CommentReference">
    <w:name w:val="annotation reference"/>
    <w:basedOn w:val="DefaultParagraphFont"/>
    <w:uiPriority w:val="99"/>
    <w:semiHidden/>
    <w:unhideWhenUsed/>
    <w:rsid w:val="001375B9"/>
    <w:rPr>
      <w:sz w:val="16"/>
      <w:szCs w:val="16"/>
    </w:rPr>
  </w:style>
  <w:style w:type="paragraph" w:styleId="CommentText">
    <w:name w:val="annotation text"/>
    <w:basedOn w:val="Normal"/>
    <w:link w:val="CommentTextChar"/>
    <w:uiPriority w:val="99"/>
    <w:unhideWhenUsed/>
    <w:rsid w:val="001375B9"/>
    <w:pPr>
      <w:spacing w:line="240" w:lineRule="auto"/>
    </w:pPr>
    <w:rPr>
      <w:sz w:val="20"/>
      <w:szCs w:val="20"/>
    </w:rPr>
  </w:style>
  <w:style w:type="character" w:customStyle="1" w:styleId="CommentTextChar">
    <w:name w:val="Comment Text Char"/>
    <w:basedOn w:val="DefaultParagraphFont"/>
    <w:link w:val="CommentText"/>
    <w:uiPriority w:val="99"/>
    <w:rsid w:val="001375B9"/>
    <w:rPr>
      <w:sz w:val="20"/>
      <w:szCs w:val="20"/>
    </w:rPr>
  </w:style>
  <w:style w:type="paragraph" w:styleId="CommentSubject">
    <w:name w:val="annotation subject"/>
    <w:basedOn w:val="CommentText"/>
    <w:next w:val="CommentText"/>
    <w:link w:val="CommentSubjectChar"/>
    <w:uiPriority w:val="99"/>
    <w:semiHidden/>
    <w:unhideWhenUsed/>
    <w:rsid w:val="001375B9"/>
    <w:rPr>
      <w:b/>
      <w:bCs/>
    </w:rPr>
  </w:style>
  <w:style w:type="character" w:customStyle="1" w:styleId="CommentSubjectChar">
    <w:name w:val="Comment Subject Char"/>
    <w:basedOn w:val="CommentTextChar"/>
    <w:link w:val="CommentSubject"/>
    <w:uiPriority w:val="99"/>
    <w:semiHidden/>
    <w:rsid w:val="001375B9"/>
    <w:rPr>
      <w:b/>
      <w:bCs/>
      <w:sz w:val="20"/>
      <w:szCs w:val="20"/>
    </w:rPr>
  </w:style>
  <w:style w:type="paragraph" w:styleId="Revision">
    <w:name w:val="Revision"/>
    <w:hidden/>
    <w:uiPriority w:val="99"/>
    <w:semiHidden/>
    <w:rsid w:val="003908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18" Type="http://schemas.openxmlformats.org/officeDocument/2006/relationships/diagramQuickStyle" Target="diagrams/quickStyle3.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diagramData" Target="diagrams/data4.xm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diagramLayout" Target="diagrams/layout3.xml"/><Relationship Id="rId25" Type="http://schemas.microsoft.com/office/2007/relationships/diagramDrawing" Target="diagrams/drawing4.xml"/><Relationship Id="rId2" Type="http://schemas.openxmlformats.org/officeDocument/2006/relationships/numbering" Target="numbering.xml"/><Relationship Id="rId16" Type="http://schemas.openxmlformats.org/officeDocument/2006/relationships/diagramData" Target="diagrams/data3.xml"/><Relationship Id="rId20" Type="http://schemas.microsoft.com/office/2007/relationships/diagramDrawing" Target="diagrams/drawing3.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diagramData" Target="diagrams/data2.xml"/><Relationship Id="rId24" Type="http://schemas.openxmlformats.org/officeDocument/2006/relationships/diagramColors" Target="diagrams/colors4.xml"/><Relationship Id="rId5" Type="http://schemas.openxmlformats.org/officeDocument/2006/relationships/webSettings" Target="webSettings.xml"/><Relationship Id="rId15" Type="http://schemas.microsoft.com/office/2007/relationships/diagramDrawing" Target="diagrams/drawing2.xml"/><Relationship Id="rId23" Type="http://schemas.openxmlformats.org/officeDocument/2006/relationships/diagramQuickStyle" Target="diagrams/quickStyle4.xml"/><Relationship Id="rId10" Type="http://schemas.microsoft.com/office/2007/relationships/diagramDrawing" Target="diagrams/drawing1.xml"/><Relationship Id="rId19" Type="http://schemas.openxmlformats.org/officeDocument/2006/relationships/diagramColors" Target="diagrams/colors3.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 Id="rId22" Type="http://schemas.openxmlformats.org/officeDocument/2006/relationships/diagramLayout" Target="diagrams/layout4.xml"/><Relationship Id="rId27"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DA9E63D-7007-47A2-902B-7632EC0E0F7D}" type="doc">
      <dgm:prSet loTypeId="urn:microsoft.com/office/officeart/2009/3/layout/HorizontalOrganizationChart" loCatId="hierarchy" qsTypeId="urn:microsoft.com/office/officeart/2005/8/quickstyle/simple1" qsCatId="simple" csTypeId="urn:microsoft.com/office/officeart/2005/8/colors/accent0_1" csCatId="mainScheme" phldr="1"/>
      <dgm:spPr/>
      <dgm:t>
        <a:bodyPr/>
        <a:lstStyle/>
        <a:p>
          <a:endParaRPr lang="en-US"/>
        </a:p>
      </dgm:t>
    </dgm:pt>
    <dgm:pt modelId="{5F2B7E4D-272E-4F39-A444-6FCFD50F626F}">
      <dgm:prSet phldrT="[Text]" custT="1"/>
      <dgm:spPr/>
      <dgm:t>
        <a:bodyPr/>
        <a:lstStyle/>
        <a:p>
          <a:r>
            <a:rPr lang="en-US" sz="900">
              <a:latin typeface="Times New Roman" panose="02020603050405020304" pitchFamily="18" charset="0"/>
              <a:cs typeface="Times New Roman" panose="02020603050405020304" pitchFamily="18" charset="0"/>
            </a:rPr>
            <a:t>Patients enrolled in AMS for at least 1 year</a:t>
          </a:r>
        </a:p>
      </dgm:t>
    </dgm:pt>
    <dgm:pt modelId="{1F34EA57-DDCB-4D0B-BEBE-A996F4719543}" type="parTrans" cxnId="{736FBCBF-A57D-4656-9D0A-F4EF771983E6}">
      <dgm:prSet/>
      <dgm:spPr/>
      <dgm:t>
        <a:bodyPr/>
        <a:lstStyle/>
        <a:p>
          <a:endParaRPr lang="en-US" sz="3200">
            <a:latin typeface="Times New Roman" panose="02020603050405020304" pitchFamily="18" charset="0"/>
            <a:cs typeface="Times New Roman" panose="02020603050405020304" pitchFamily="18" charset="0"/>
          </a:endParaRPr>
        </a:p>
      </dgm:t>
    </dgm:pt>
    <dgm:pt modelId="{B4A2AA9C-B301-4901-B6BA-FB050BB7C381}" type="sibTrans" cxnId="{736FBCBF-A57D-4656-9D0A-F4EF771983E6}">
      <dgm:prSet/>
      <dgm:spPr/>
      <dgm:t>
        <a:bodyPr/>
        <a:lstStyle/>
        <a:p>
          <a:endParaRPr lang="en-US" sz="3200">
            <a:latin typeface="Times New Roman" panose="02020603050405020304" pitchFamily="18" charset="0"/>
            <a:cs typeface="Times New Roman" panose="02020603050405020304" pitchFamily="18" charset="0"/>
          </a:endParaRPr>
        </a:p>
      </dgm:t>
    </dgm:pt>
    <dgm:pt modelId="{0AE123EA-6B25-444C-B2BC-FF2C0CBBE2D2}" type="asst">
      <dgm:prSet phldrT="[Text]" custT="1"/>
      <dgm:spPr/>
      <dgm:t>
        <a:bodyPr/>
        <a:lstStyle/>
        <a:p>
          <a:r>
            <a:rPr lang="en-US" sz="900">
              <a:latin typeface="Times New Roman" panose="02020603050405020304" pitchFamily="18" charset="0"/>
              <a:cs typeface="Times New Roman" panose="02020603050405020304" pitchFamily="18" charset="0"/>
            </a:rPr>
            <a:t>Patients received annual review and antithrombotic therapy assessment from October 1, 2023 to September 30, 2024.</a:t>
          </a:r>
        </a:p>
      </dgm:t>
    </dgm:pt>
    <dgm:pt modelId="{2EB37082-4DE2-4C58-A308-11C66BFD7462}" type="parTrans" cxnId="{89853D08-265B-4CF7-80AB-3EFE6552ED68}">
      <dgm:prSet/>
      <dgm:spPr/>
      <dgm:t>
        <a:bodyPr/>
        <a:lstStyle/>
        <a:p>
          <a:endParaRPr lang="en-US" sz="3200">
            <a:latin typeface="Times New Roman" panose="02020603050405020304" pitchFamily="18" charset="0"/>
            <a:cs typeface="Times New Roman" panose="02020603050405020304" pitchFamily="18" charset="0"/>
          </a:endParaRPr>
        </a:p>
      </dgm:t>
    </dgm:pt>
    <dgm:pt modelId="{39369564-3C1B-4A19-B132-BEB61B78A080}" type="sibTrans" cxnId="{89853D08-265B-4CF7-80AB-3EFE6552ED68}">
      <dgm:prSet/>
      <dgm:spPr/>
      <dgm:t>
        <a:bodyPr/>
        <a:lstStyle/>
        <a:p>
          <a:endParaRPr lang="en-US" sz="3200">
            <a:latin typeface="Times New Roman" panose="02020603050405020304" pitchFamily="18" charset="0"/>
            <a:cs typeface="Times New Roman" panose="02020603050405020304" pitchFamily="18" charset="0"/>
          </a:endParaRPr>
        </a:p>
      </dgm:t>
    </dgm:pt>
    <dgm:pt modelId="{103FD226-AD3A-433E-B9E2-66E8D4BB4D14}">
      <dgm:prSet phldrT="[Text]" custT="1"/>
      <dgm:spPr/>
      <dgm:t>
        <a:bodyPr/>
        <a:lstStyle/>
        <a:p>
          <a:r>
            <a:rPr lang="en-US" sz="900">
              <a:latin typeface="Times New Roman" panose="02020603050405020304" pitchFamily="18" charset="0"/>
              <a:cs typeface="Times New Roman" panose="02020603050405020304" pitchFamily="18" charset="0"/>
            </a:rPr>
            <a:t>Patients with optimized antithrombotic therapy and no therapy changes needed.</a:t>
          </a:r>
        </a:p>
      </dgm:t>
    </dgm:pt>
    <dgm:pt modelId="{2D24C862-DD50-43C1-9BEB-23AFBFBAE5A9}" type="parTrans" cxnId="{5C6707EB-67B5-4EB3-8545-E408BB2F2D64}">
      <dgm:prSet/>
      <dgm:spPr/>
      <dgm:t>
        <a:bodyPr/>
        <a:lstStyle/>
        <a:p>
          <a:endParaRPr lang="en-US" sz="3200">
            <a:latin typeface="Times New Roman" panose="02020603050405020304" pitchFamily="18" charset="0"/>
            <a:cs typeface="Times New Roman" panose="02020603050405020304" pitchFamily="18" charset="0"/>
          </a:endParaRPr>
        </a:p>
      </dgm:t>
    </dgm:pt>
    <dgm:pt modelId="{F9B3D267-FF62-413A-8AE9-2BF53460DD98}" type="sibTrans" cxnId="{5C6707EB-67B5-4EB3-8545-E408BB2F2D64}">
      <dgm:prSet/>
      <dgm:spPr/>
      <dgm:t>
        <a:bodyPr/>
        <a:lstStyle/>
        <a:p>
          <a:endParaRPr lang="en-US" sz="3200">
            <a:latin typeface="Times New Roman" panose="02020603050405020304" pitchFamily="18" charset="0"/>
            <a:cs typeface="Times New Roman" panose="02020603050405020304" pitchFamily="18" charset="0"/>
          </a:endParaRPr>
        </a:p>
      </dgm:t>
    </dgm:pt>
    <dgm:pt modelId="{0C05250D-3297-4DEB-B459-E1F1E425CE32}">
      <dgm:prSet phldrT="[Text]" custT="1"/>
      <dgm:spPr/>
      <dgm:t>
        <a:bodyPr/>
        <a:lstStyle/>
        <a:p>
          <a:r>
            <a:rPr lang="en-US" sz="900">
              <a:latin typeface="Times New Roman" panose="02020603050405020304" pitchFamily="18" charset="0"/>
              <a:cs typeface="Times New Roman" panose="02020603050405020304" pitchFamily="18" charset="0"/>
            </a:rPr>
            <a:t>1. Patient continue current therapy.</a:t>
          </a:r>
        </a:p>
        <a:p>
          <a:r>
            <a:rPr lang="en-US" sz="900">
              <a:latin typeface="Times New Roman" panose="02020603050405020304" pitchFamily="18" charset="0"/>
              <a:cs typeface="Times New Roman" panose="02020603050405020304" pitchFamily="18" charset="0"/>
            </a:rPr>
            <a:t>2. AMS staff document annual review completion. </a:t>
          </a:r>
        </a:p>
      </dgm:t>
    </dgm:pt>
    <dgm:pt modelId="{65A23034-AF09-4C0F-A7F2-C50EBB7E0C1A}" type="parTrans" cxnId="{A170CC72-B47C-4094-AF94-6298E8C7D7FC}">
      <dgm:prSet/>
      <dgm:spPr/>
      <dgm:t>
        <a:bodyPr/>
        <a:lstStyle/>
        <a:p>
          <a:endParaRPr lang="en-US" sz="3200">
            <a:latin typeface="Times New Roman" panose="02020603050405020304" pitchFamily="18" charset="0"/>
            <a:cs typeface="Times New Roman" panose="02020603050405020304" pitchFamily="18" charset="0"/>
          </a:endParaRPr>
        </a:p>
      </dgm:t>
    </dgm:pt>
    <dgm:pt modelId="{8DC1B622-7431-4714-B7CA-D7A3DF10AB77}" type="sibTrans" cxnId="{A170CC72-B47C-4094-AF94-6298E8C7D7FC}">
      <dgm:prSet/>
      <dgm:spPr/>
      <dgm:t>
        <a:bodyPr/>
        <a:lstStyle/>
        <a:p>
          <a:endParaRPr lang="en-US" sz="3200">
            <a:latin typeface="Times New Roman" panose="02020603050405020304" pitchFamily="18" charset="0"/>
            <a:cs typeface="Times New Roman" panose="02020603050405020304" pitchFamily="18" charset="0"/>
          </a:endParaRPr>
        </a:p>
      </dgm:t>
    </dgm:pt>
    <dgm:pt modelId="{2B058A55-9431-4639-AAD9-84C2077C5B4A}">
      <dgm:prSet phldrT="[Text]" custT="1"/>
      <dgm:spPr/>
      <dgm:t>
        <a:bodyPr/>
        <a:lstStyle/>
        <a:p>
          <a:r>
            <a:rPr lang="en-US" sz="900">
              <a:latin typeface="Times New Roman" panose="02020603050405020304" pitchFamily="18" charset="0"/>
              <a:cs typeface="Times New Roman" panose="02020603050405020304" pitchFamily="18" charset="0"/>
            </a:rPr>
            <a:t>Patients needing antithrombotic therapy reassessment, including concomittant anticoagulant and antiplatelet use</a:t>
          </a:r>
        </a:p>
      </dgm:t>
    </dgm:pt>
    <dgm:pt modelId="{508D1187-5A89-4DEF-BB43-21C75E7ABD39}" type="parTrans" cxnId="{3BBB2F24-8C2B-41F5-8DDF-B876BD2F3147}">
      <dgm:prSet/>
      <dgm:spPr/>
      <dgm:t>
        <a:bodyPr/>
        <a:lstStyle/>
        <a:p>
          <a:endParaRPr lang="en-US" sz="3200">
            <a:latin typeface="Times New Roman" panose="02020603050405020304" pitchFamily="18" charset="0"/>
            <a:cs typeface="Times New Roman" panose="02020603050405020304" pitchFamily="18" charset="0"/>
          </a:endParaRPr>
        </a:p>
      </dgm:t>
    </dgm:pt>
    <dgm:pt modelId="{A815D888-95FE-4CD5-B4D1-3C8EF08E5764}" type="sibTrans" cxnId="{3BBB2F24-8C2B-41F5-8DDF-B876BD2F3147}">
      <dgm:prSet/>
      <dgm:spPr/>
      <dgm:t>
        <a:bodyPr/>
        <a:lstStyle/>
        <a:p>
          <a:endParaRPr lang="en-US" sz="3200">
            <a:latin typeface="Times New Roman" panose="02020603050405020304" pitchFamily="18" charset="0"/>
            <a:cs typeface="Times New Roman" panose="02020603050405020304" pitchFamily="18" charset="0"/>
          </a:endParaRPr>
        </a:p>
      </dgm:t>
    </dgm:pt>
    <dgm:pt modelId="{F1368CBA-D354-42AD-B956-31D767644C1D}">
      <dgm:prSet phldrT="[Text]" custT="1"/>
      <dgm:spPr/>
      <dgm:t>
        <a:bodyPr/>
        <a:lstStyle/>
        <a:p>
          <a:r>
            <a:rPr lang="en-US" sz="900">
              <a:latin typeface="Times New Roman" panose="02020603050405020304" pitchFamily="18" charset="0"/>
              <a:cs typeface="Times New Roman" panose="02020603050405020304" pitchFamily="18" charset="0"/>
            </a:rPr>
            <a:t>AMS staff document annual review completion and provide recommendation for therapy changes and supporting evidence based on AMS guidelines and practice protocol.</a:t>
          </a:r>
        </a:p>
      </dgm:t>
    </dgm:pt>
    <dgm:pt modelId="{DA7116B2-1C94-426B-A838-0F962FC876D6}" type="parTrans" cxnId="{4ACAC423-79E1-4D28-B96B-4813B9CC6983}">
      <dgm:prSet/>
      <dgm:spPr/>
      <dgm:t>
        <a:bodyPr/>
        <a:lstStyle/>
        <a:p>
          <a:endParaRPr lang="en-US" sz="3200">
            <a:latin typeface="Times New Roman" panose="02020603050405020304" pitchFamily="18" charset="0"/>
            <a:cs typeface="Times New Roman" panose="02020603050405020304" pitchFamily="18" charset="0"/>
          </a:endParaRPr>
        </a:p>
      </dgm:t>
    </dgm:pt>
    <dgm:pt modelId="{BA77D3F5-FAB9-48B7-801A-04C9C444D9B9}" type="sibTrans" cxnId="{4ACAC423-79E1-4D28-B96B-4813B9CC6983}">
      <dgm:prSet/>
      <dgm:spPr/>
      <dgm:t>
        <a:bodyPr/>
        <a:lstStyle/>
        <a:p>
          <a:endParaRPr lang="en-US" sz="3200">
            <a:latin typeface="Times New Roman" panose="02020603050405020304" pitchFamily="18" charset="0"/>
            <a:cs typeface="Times New Roman" panose="02020603050405020304" pitchFamily="18" charset="0"/>
          </a:endParaRPr>
        </a:p>
      </dgm:t>
    </dgm:pt>
    <dgm:pt modelId="{9F003351-C915-4B7B-89F3-8065192ADD80}">
      <dgm:prSet phldrT="[Text]" custT="1"/>
      <dgm:spPr/>
      <dgm:t>
        <a:bodyPr/>
        <a:lstStyle/>
        <a:p>
          <a:r>
            <a:rPr lang="en-US" sz="900">
              <a:latin typeface="Times New Roman" panose="02020603050405020304" pitchFamily="18" charset="0"/>
              <a:cs typeface="Times New Roman" panose="02020603050405020304" pitchFamily="18" charset="0"/>
            </a:rPr>
            <a:t>Message is sent to provider(s) and involved care team(s). </a:t>
          </a:r>
        </a:p>
        <a:p>
          <a:r>
            <a:rPr lang="en-US" sz="900">
              <a:latin typeface="Times New Roman" panose="02020603050405020304" pitchFamily="18" charset="0"/>
              <a:cs typeface="Times New Roman" panose="02020603050405020304" pitchFamily="18" charset="0"/>
            </a:rPr>
            <a:t>If patient has external provider, recommendations will be communicated via phone or fax.</a:t>
          </a:r>
        </a:p>
      </dgm:t>
    </dgm:pt>
    <dgm:pt modelId="{57A6DA62-9C59-45B6-A668-A1741052E9F8}" type="parTrans" cxnId="{B722A699-69E2-4108-A408-77D69D97DAC0}">
      <dgm:prSet/>
      <dgm:spPr/>
      <dgm:t>
        <a:bodyPr/>
        <a:lstStyle/>
        <a:p>
          <a:endParaRPr lang="en-US" sz="3200">
            <a:latin typeface="Times New Roman" panose="02020603050405020304" pitchFamily="18" charset="0"/>
            <a:cs typeface="Times New Roman" panose="02020603050405020304" pitchFamily="18" charset="0"/>
          </a:endParaRPr>
        </a:p>
      </dgm:t>
    </dgm:pt>
    <dgm:pt modelId="{7D838E03-CFA4-4E53-96C3-CB1420CBEDCC}" type="sibTrans" cxnId="{B722A699-69E2-4108-A408-77D69D97DAC0}">
      <dgm:prSet/>
      <dgm:spPr/>
      <dgm:t>
        <a:bodyPr/>
        <a:lstStyle/>
        <a:p>
          <a:endParaRPr lang="en-US" sz="3200">
            <a:latin typeface="Times New Roman" panose="02020603050405020304" pitchFamily="18" charset="0"/>
            <a:cs typeface="Times New Roman" panose="02020603050405020304" pitchFamily="18" charset="0"/>
          </a:endParaRPr>
        </a:p>
      </dgm:t>
    </dgm:pt>
    <dgm:pt modelId="{C13FB8C1-FA95-4F76-960D-48AC1554944D}">
      <dgm:prSet phldrT="[Text]" custT="1"/>
      <dgm:spPr/>
      <dgm:t>
        <a:bodyPr/>
        <a:lstStyle/>
        <a:p>
          <a:r>
            <a:rPr lang="en-US" sz="900">
              <a:latin typeface="Times New Roman" panose="02020603050405020304" pitchFamily="18" charset="0"/>
              <a:cs typeface="Times New Roman" panose="02020603050405020304" pitchFamily="18" charset="0"/>
            </a:rPr>
            <a:t>Provider(s) accept recommendation and implement changes.</a:t>
          </a:r>
        </a:p>
      </dgm:t>
    </dgm:pt>
    <dgm:pt modelId="{0D027E2D-0E0A-4C2F-83D2-CEF2C07EE044}" type="parTrans" cxnId="{CC1C4B39-E528-48E2-88F7-1DAE40B21A06}">
      <dgm:prSet/>
      <dgm:spPr/>
      <dgm:t>
        <a:bodyPr/>
        <a:lstStyle/>
        <a:p>
          <a:endParaRPr lang="en-US" sz="3200">
            <a:latin typeface="Times New Roman" panose="02020603050405020304" pitchFamily="18" charset="0"/>
            <a:cs typeface="Times New Roman" panose="02020603050405020304" pitchFamily="18" charset="0"/>
          </a:endParaRPr>
        </a:p>
      </dgm:t>
    </dgm:pt>
    <dgm:pt modelId="{1E74D34B-7377-4BB9-9D1B-9735FC246D9F}" type="sibTrans" cxnId="{CC1C4B39-E528-48E2-88F7-1DAE40B21A06}">
      <dgm:prSet/>
      <dgm:spPr/>
      <dgm:t>
        <a:bodyPr/>
        <a:lstStyle/>
        <a:p>
          <a:endParaRPr lang="en-US" sz="3200">
            <a:latin typeface="Times New Roman" panose="02020603050405020304" pitchFamily="18" charset="0"/>
            <a:cs typeface="Times New Roman" panose="02020603050405020304" pitchFamily="18" charset="0"/>
          </a:endParaRPr>
        </a:p>
      </dgm:t>
    </dgm:pt>
    <dgm:pt modelId="{D9AF65F4-2A8C-4F10-8345-1113AAD43FA6}">
      <dgm:prSet phldrT="[Text]" custT="1"/>
      <dgm:spPr/>
      <dgm:t>
        <a:bodyPr/>
        <a:lstStyle/>
        <a:p>
          <a:r>
            <a:rPr lang="en-US" sz="900">
              <a:latin typeface="Times New Roman" panose="02020603050405020304" pitchFamily="18" charset="0"/>
              <a:cs typeface="Times New Roman" panose="02020603050405020304" pitchFamily="18" charset="0"/>
            </a:rPr>
            <a:t>Provider(s) decline and document reasons for declining (if available). </a:t>
          </a:r>
        </a:p>
      </dgm:t>
    </dgm:pt>
    <dgm:pt modelId="{AC8C42DC-8741-4640-89F5-B7BA216C7C47}" type="parTrans" cxnId="{CC0751AB-85C9-46BE-8A41-BE221692E031}">
      <dgm:prSet/>
      <dgm:spPr/>
      <dgm:t>
        <a:bodyPr/>
        <a:lstStyle/>
        <a:p>
          <a:endParaRPr lang="en-US" sz="3200">
            <a:latin typeface="Times New Roman" panose="02020603050405020304" pitchFamily="18" charset="0"/>
            <a:cs typeface="Times New Roman" panose="02020603050405020304" pitchFamily="18" charset="0"/>
          </a:endParaRPr>
        </a:p>
      </dgm:t>
    </dgm:pt>
    <dgm:pt modelId="{E22F431A-59A3-405B-B296-5F8F80F79A5F}" type="sibTrans" cxnId="{CC0751AB-85C9-46BE-8A41-BE221692E031}">
      <dgm:prSet/>
      <dgm:spPr/>
      <dgm:t>
        <a:bodyPr/>
        <a:lstStyle/>
        <a:p>
          <a:endParaRPr lang="en-US" sz="3200">
            <a:latin typeface="Times New Roman" panose="02020603050405020304" pitchFamily="18" charset="0"/>
            <a:cs typeface="Times New Roman" panose="02020603050405020304" pitchFamily="18" charset="0"/>
          </a:endParaRPr>
        </a:p>
      </dgm:t>
    </dgm:pt>
    <dgm:pt modelId="{8B8E2520-CD3B-418B-9471-49A2C12B2D98}">
      <dgm:prSet phldrT="[Text]" custT="1"/>
      <dgm:spPr/>
      <dgm:t>
        <a:bodyPr/>
        <a:lstStyle/>
        <a:p>
          <a:r>
            <a:rPr lang="en-US" sz="900">
              <a:latin typeface="Times New Roman" panose="02020603050405020304" pitchFamily="18" charset="0"/>
              <a:cs typeface="Times New Roman" panose="02020603050405020304" pitchFamily="18" charset="0"/>
            </a:rPr>
            <a:t>No response: AMS staff follow up after 4 weeks from initial message.</a:t>
          </a:r>
        </a:p>
      </dgm:t>
    </dgm:pt>
    <dgm:pt modelId="{B9094F5A-B89B-4C5E-95AC-931BD7A9C42C}" type="parTrans" cxnId="{B9A61AC9-DDC3-49A9-88BE-E6FAC74CE7F1}">
      <dgm:prSet/>
      <dgm:spPr/>
      <dgm:t>
        <a:bodyPr/>
        <a:lstStyle/>
        <a:p>
          <a:endParaRPr lang="en-US" sz="3200">
            <a:latin typeface="Times New Roman" panose="02020603050405020304" pitchFamily="18" charset="0"/>
            <a:cs typeface="Times New Roman" panose="02020603050405020304" pitchFamily="18" charset="0"/>
          </a:endParaRPr>
        </a:p>
      </dgm:t>
    </dgm:pt>
    <dgm:pt modelId="{24426873-9456-4FB0-B36C-D37A9C595258}" type="sibTrans" cxnId="{B9A61AC9-DDC3-49A9-88BE-E6FAC74CE7F1}">
      <dgm:prSet/>
      <dgm:spPr/>
      <dgm:t>
        <a:bodyPr/>
        <a:lstStyle/>
        <a:p>
          <a:endParaRPr lang="en-US" sz="3200">
            <a:latin typeface="Times New Roman" panose="02020603050405020304" pitchFamily="18" charset="0"/>
            <a:cs typeface="Times New Roman" panose="02020603050405020304" pitchFamily="18" charset="0"/>
          </a:endParaRPr>
        </a:p>
      </dgm:t>
    </dgm:pt>
    <dgm:pt modelId="{6E0C6121-DD34-482F-B6BA-C06F1639C3A0}" type="pres">
      <dgm:prSet presAssocID="{CDA9E63D-7007-47A2-902B-7632EC0E0F7D}" presName="hierChild1" presStyleCnt="0">
        <dgm:presLayoutVars>
          <dgm:orgChart val="1"/>
          <dgm:chPref val="1"/>
          <dgm:dir/>
          <dgm:animOne val="branch"/>
          <dgm:animLvl val="lvl"/>
          <dgm:resizeHandles/>
        </dgm:presLayoutVars>
      </dgm:prSet>
      <dgm:spPr/>
    </dgm:pt>
    <dgm:pt modelId="{9B6F3C42-F143-4BBF-8072-B93D05AB08C8}" type="pres">
      <dgm:prSet presAssocID="{5F2B7E4D-272E-4F39-A444-6FCFD50F626F}" presName="hierRoot1" presStyleCnt="0">
        <dgm:presLayoutVars>
          <dgm:hierBranch val="init"/>
        </dgm:presLayoutVars>
      </dgm:prSet>
      <dgm:spPr/>
    </dgm:pt>
    <dgm:pt modelId="{72CD71AD-4200-4D86-BDDB-B8CB34C986CA}" type="pres">
      <dgm:prSet presAssocID="{5F2B7E4D-272E-4F39-A444-6FCFD50F626F}" presName="rootComposite1" presStyleCnt="0"/>
      <dgm:spPr/>
    </dgm:pt>
    <dgm:pt modelId="{2DA7EEBC-24B9-4ABA-83EB-48C12A933F04}" type="pres">
      <dgm:prSet presAssocID="{5F2B7E4D-272E-4F39-A444-6FCFD50F626F}" presName="rootText1" presStyleLbl="node0" presStyleIdx="0" presStyleCnt="1" custScaleX="49040" custScaleY="123082">
        <dgm:presLayoutVars>
          <dgm:chPref val="3"/>
        </dgm:presLayoutVars>
      </dgm:prSet>
      <dgm:spPr/>
    </dgm:pt>
    <dgm:pt modelId="{EDD1302B-DB9F-4E29-8B3E-4B2D9E2F4AE0}" type="pres">
      <dgm:prSet presAssocID="{5F2B7E4D-272E-4F39-A444-6FCFD50F626F}" presName="rootConnector1" presStyleLbl="node1" presStyleIdx="0" presStyleCnt="0"/>
      <dgm:spPr/>
    </dgm:pt>
    <dgm:pt modelId="{5C9054AB-8DC4-45C7-A3D0-3F7377A4CC78}" type="pres">
      <dgm:prSet presAssocID="{5F2B7E4D-272E-4F39-A444-6FCFD50F626F}" presName="hierChild2" presStyleCnt="0"/>
      <dgm:spPr/>
    </dgm:pt>
    <dgm:pt modelId="{B9A2A2EA-BA01-40C6-89A6-0EDFA114085A}" type="pres">
      <dgm:prSet presAssocID="{2D24C862-DD50-43C1-9BEB-23AFBFBAE5A9}" presName="Name64" presStyleLbl="parChTrans1D2" presStyleIdx="0" presStyleCnt="3"/>
      <dgm:spPr/>
    </dgm:pt>
    <dgm:pt modelId="{7154A610-41C5-4136-BDDA-F318DB56BD29}" type="pres">
      <dgm:prSet presAssocID="{103FD226-AD3A-433E-B9E2-66E8D4BB4D14}" presName="hierRoot2" presStyleCnt="0">
        <dgm:presLayoutVars>
          <dgm:hierBranch val="init"/>
        </dgm:presLayoutVars>
      </dgm:prSet>
      <dgm:spPr/>
    </dgm:pt>
    <dgm:pt modelId="{68CC1C94-4E5C-46D2-8C93-92F10F5EF424}" type="pres">
      <dgm:prSet presAssocID="{103FD226-AD3A-433E-B9E2-66E8D4BB4D14}" presName="rootComposite" presStyleCnt="0"/>
      <dgm:spPr/>
    </dgm:pt>
    <dgm:pt modelId="{C1761BF2-FD86-4E03-82B2-F7CD08EB5A29}" type="pres">
      <dgm:prSet presAssocID="{103FD226-AD3A-433E-B9E2-66E8D4BB4D14}" presName="rootText" presStyleLbl="node2" presStyleIdx="0" presStyleCnt="2" custScaleX="52662" custScaleY="173668">
        <dgm:presLayoutVars>
          <dgm:chPref val="3"/>
        </dgm:presLayoutVars>
      </dgm:prSet>
      <dgm:spPr/>
    </dgm:pt>
    <dgm:pt modelId="{59B6EDF5-A6BD-4948-AB48-C7DC68478024}" type="pres">
      <dgm:prSet presAssocID="{103FD226-AD3A-433E-B9E2-66E8D4BB4D14}" presName="rootConnector" presStyleLbl="node2" presStyleIdx="0" presStyleCnt="2"/>
      <dgm:spPr/>
    </dgm:pt>
    <dgm:pt modelId="{9C30AF23-A184-4706-8492-8B7CACD39BD4}" type="pres">
      <dgm:prSet presAssocID="{103FD226-AD3A-433E-B9E2-66E8D4BB4D14}" presName="hierChild4" presStyleCnt="0"/>
      <dgm:spPr/>
    </dgm:pt>
    <dgm:pt modelId="{0AA27B35-1C06-4876-A8A5-9D302D80C528}" type="pres">
      <dgm:prSet presAssocID="{65A23034-AF09-4C0F-A7F2-C50EBB7E0C1A}" presName="Name64" presStyleLbl="parChTrans1D3" presStyleIdx="0" presStyleCnt="2"/>
      <dgm:spPr/>
    </dgm:pt>
    <dgm:pt modelId="{B6C1AAE0-0E90-48BE-9395-C2BB8FD216A7}" type="pres">
      <dgm:prSet presAssocID="{0C05250D-3297-4DEB-B459-E1F1E425CE32}" presName="hierRoot2" presStyleCnt="0">
        <dgm:presLayoutVars>
          <dgm:hierBranch val="init"/>
        </dgm:presLayoutVars>
      </dgm:prSet>
      <dgm:spPr/>
    </dgm:pt>
    <dgm:pt modelId="{6BBF1D43-88B6-48B0-8A52-AF96862E9545}" type="pres">
      <dgm:prSet presAssocID="{0C05250D-3297-4DEB-B459-E1F1E425CE32}" presName="rootComposite" presStyleCnt="0"/>
      <dgm:spPr/>
    </dgm:pt>
    <dgm:pt modelId="{8A0390AB-0944-4596-9273-09186C246937}" type="pres">
      <dgm:prSet presAssocID="{0C05250D-3297-4DEB-B459-E1F1E425CE32}" presName="rootText" presStyleLbl="node3" presStyleIdx="0" presStyleCnt="2" custScaleX="56005" custScaleY="224776">
        <dgm:presLayoutVars>
          <dgm:chPref val="3"/>
        </dgm:presLayoutVars>
      </dgm:prSet>
      <dgm:spPr/>
    </dgm:pt>
    <dgm:pt modelId="{BA556811-F50D-4B8A-B3BA-4DA988BBDB51}" type="pres">
      <dgm:prSet presAssocID="{0C05250D-3297-4DEB-B459-E1F1E425CE32}" presName="rootConnector" presStyleLbl="node3" presStyleIdx="0" presStyleCnt="2"/>
      <dgm:spPr/>
    </dgm:pt>
    <dgm:pt modelId="{98C0BCE8-4026-457B-8C68-BFBB2F58D5BF}" type="pres">
      <dgm:prSet presAssocID="{0C05250D-3297-4DEB-B459-E1F1E425CE32}" presName="hierChild4" presStyleCnt="0"/>
      <dgm:spPr/>
    </dgm:pt>
    <dgm:pt modelId="{0E790337-63BC-4E80-AC99-6E797D6D8BBD}" type="pres">
      <dgm:prSet presAssocID="{0C05250D-3297-4DEB-B459-E1F1E425CE32}" presName="hierChild5" presStyleCnt="0"/>
      <dgm:spPr/>
    </dgm:pt>
    <dgm:pt modelId="{2B358110-5639-4E37-90BB-3428F493D1D3}" type="pres">
      <dgm:prSet presAssocID="{103FD226-AD3A-433E-B9E2-66E8D4BB4D14}" presName="hierChild5" presStyleCnt="0"/>
      <dgm:spPr/>
    </dgm:pt>
    <dgm:pt modelId="{58DBC849-15C1-4544-BB96-78C36EFADECC}" type="pres">
      <dgm:prSet presAssocID="{508D1187-5A89-4DEF-BB43-21C75E7ABD39}" presName="Name64" presStyleLbl="parChTrans1D2" presStyleIdx="1" presStyleCnt="3"/>
      <dgm:spPr/>
    </dgm:pt>
    <dgm:pt modelId="{4F3F128F-C41D-4D31-B7DD-E5179444F8ED}" type="pres">
      <dgm:prSet presAssocID="{2B058A55-9431-4639-AAD9-84C2077C5B4A}" presName="hierRoot2" presStyleCnt="0">
        <dgm:presLayoutVars>
          <dgm:hierBranch val="init"/>
        </dgm:presLayoutVars>
      </dgm:prSet>
      <dgm:spPr/>
    </dgm:pt>
    <dgm:pt modelId="{34F0EF4F-3BC9-4FBF-8229-6E8B304ECFA5}" type="pres">
      <dgm:prSet presAssocID="{2B058A55-9431-4639-AAD9-84C2077C5B4A}" presName="rootComposite" presStyleCnt="0"/>
      <dgm:spPr/>
    </dgm:pt>
    <dgm:pt modelId="{4F015633-AEDF-488A-A5AA-57B2948CE616}" type="pres">
      <dgm:prSet presAssocID="{2B058A55-9431-4639-AAD9-84C2077C5B4A}" presName="rootText" presStyleLbl="node2" presStyleIdx="1" presStyleCnt="2" custScaleX="53604" custScaleY="250902">
        <dgm:presLayoutVars>
          <dgm:chPref val="3"/>
        </dgm:presLayoutVars>
      </dgm:prSet>
      <dgm:spPr/>
    </dgm:pt>
    <dgm:pt modelId="{02E6B461-7449-4BB7-AB51-FE22E48157F9}" type="pres">
      <dgm:prSet presAssocID="{2B058A55-9431-4639-AAD9-84C2077C5B4A}" presName="rootConnector" presStyleLbl="node2" presStyleIdx="1" presStyleCnt="2"/>
      <dgm:spPr/>
    </dgm:pt>
    <dgm:pt modelId="{E7F4837D-2E07-4210-8136-F0A5F7D252C4}" type="pres">
      <dgm:prSet presAssocID="{2B058A55-9431-4639-AAD9-84C2077C5B4A}" presName="hierChild4" presStyleCnt="0"/>
      <dgm:spPr/>
    </dgm:pt>
    <dgm:pt modelId="{D3CD9AD9-C837-4079-8EA1-84D23A72F84F}" type="pres">
      <dgm:prSet presAssocID="{DA7116B2-1C94-426B-A838-0F962FC876D6}" presName="Name64" presStyleLbl="parChTrans1D3" presStyleIdx="1" presStyleCnt="2"/>
      <dgm:spPr/>
    </dgm:pt>
    <dgm:pt modelId="{F6338562-181B-4372-AC3F-8971BA7B70AA}" type="pres">
      <dgm:prSet presAssocID="{F1368CBA-D354-42AD-B956-31D767644C1D}" presName="hierRoot2" presStyleCnt="0">
        <dgm:presLayoutVars>
          <dgm:hierBranch val="init"/>
        </dgm:presLayoutVars>
      </dgm:prSet>
      <dgm:spPr/>
    </dgm:pt>
    <dgm:pt modelId="{3DC29294-AE79-47B8-A226-261B1621E1DE}" type="pres">
      <dgm:prSet presAssocID="{F1368CBA-D354-42AD-B956-31D767644C1D}" presName="rootComposite" presStyleCnt="0"/>
      <dgm:spPr/>
    </dgm:pt>
    <dgm:pt modelId="{5EAD67DC-B7F1-401F-B2CE-D18F9BD0C38F}" type="pres">
      <dgm:prSet presAssocID="{F1368CBA-D354-42AD-B956-31D767644C1D}" presName="rootText" presStyleLbl="node3" presStyleIdx="1" presStyleCnt="2" custScaleX="54104" custScaleY="374105">
        <dgm:presLayoutVars>
          <dgm:chPref val="3"/>
        </dgm:presLayoutVars>
      </dgm:prSet>
      <dgm:spPr/>
    </dgm:pt>
    <dgm:pt modelId="{583645E2-4EE4-45ED-A2FB-2F3EF41859B9}" type="pres">
      <dgm:prSet presAssocID="{F1368CBA-D354-42AD-B956-31D767644C1D}" presName="rootConnector" presStyleLbl="node3" presStyleIdx="1" presStyleCnt="2"/>
      <dgm:spPr/>
    </dgm:pt>
    <dgm:pt modelId="{125F0086-93ED-4C93-9953-9166B35F6F29}" type="pres">
      <dgm:prSet presAssocID="{F1368CBA-D354-42AD-B956-31D767644C1D}" presName="hierChild4" presStyleCnt="0"/>
      <dgm:spPr/>
    </dgm:pt>
    <dgm:pt modelId="{FEE23A2C-4C29-4B9A-B871-DFA104FF9209}" type="pres">
      <dgm:prSet presAssocID="{57A6DA62-9C59-45B6-A668-A1741052E9F8}" presName="Name64" presStyleLbl="parChTrans1D4" presStyleIdx="0" presStyleCnt="4"/>
      <dgm:spPr/>
    </dgm:pt>
    <dgm:pt modelId="{97BC87F0-47D5-47E5-B259-4B0B6C53FF21}" type="pres">
      <dgm:prSet presAssocID="{9F003351-C915-4B7B-89F3-8065192ADD80}" presName="hierRoot2" presStyleCnt="0">
        <dgm:presLayoutVars>
          <dgm:hierBranch val="init"/>
        </dgm:presLayoutVars>
      </dgm:prSet>
      <dgm:spPr/>
    </dgm:pt>
    <dgm:pt modelId="{56C36C73-7BED-4D08-A004-5CC6A3A6B2D0}" type="pres">
      <dgm:prSet presAssocID="{9F003351-C915-4B7B-89F3-8065192ADD80}" presName="rootComposite" presStyleCnt="0"/>
      <dgm:spPr/>
    </dgm:pt>
    <dgm:pt modelId="{4C81C713-3CDD-4667-8762-9D9718C08BBD}" type="pres">
      <dgm:prSet presAssocID="{9F003351-C915-4B7B-89F3-8065192ADD80}" presName="rootText" presStyleLbl="node4" presStyleIdx="0" presStyleCnt="4" custScaleX="58615" custScaleY="308870" custLinFactNeighborX="-1200" custLinFactNeighborY="-984">
        <dgm:presLayoutVars>
          <dgm:chPref val="3"/>
        </dgm:presLayoutVars>
      </dgm:prSet>
      <dgm:spPr/>
    </dgm:pt>
    <dgm:pt modelId="{06C59785-2C47-4594-963B-D1F76D2051E1}" type="pres">
      <dgm:prSet presAssocID="{9F003351-C915-4B7B-89F3-8065192ADD80}" presName="rootConnector" presStyleLbl="node4" presStyleIdx="0" presStyleCnt="4"/>
      <dgm:spPr/>
    </dgm:pt>
    <dgm:pt modelId="{85CA155C-3498-4F24-AB9A-71315C12D76F}" type="pres">
      <dgm:prSet presAssocID="{9F003351-C915-4B7B-89F3-8065192ADD80}" presName="hierChild4" presStyleCnt="0"/>
      <dgm:spPr/>
    </dgm:pt>
    <dgm:pt modelId="{1F7CEA06-732B-4680-A746-FAB4DA4B7607}" type="pres">
      <dgm:prSet presAssocID="{0D027E2D-0E0A-4C2F-83D2-CEF2C07EE044}" presName="Name64" presStyleLbl="parChTrans1D4" presStyleIdx="1" presStyleCnt="4"/>
      <dgm:spPr/>
    </dgm:pt>
    <dgm:pt modelId="{9C6804D4-9504-4C46-91F7-7C3EDDF2F1D5}" type="pres">
      <dgm:prSet presAssocID="{C13FB8C1-FA95-4F76-960D-48AC1554944D}" presName="hierRoot2" presStyleCnt="0">
        <dgm:presLayoutVars>
          <dgm:hierBranch val="init"/>
        </dgm:presLayoutVars>
      </dgm:prSet>
      <dgm:spPr/>
    </dgm:pt>
    <dgm:pt modelId="{2B831BDA-DBE7-4C26-942A-A4391BD69116}" type="pres">
      <dgm:prSet presAssocID="{C13FB8C1-FA95-4F76-960D-48AC1554944D}" presName="rootComposite" presStyleCnt="0"/>
      <dgm:spPr/>
    </dgm:pt>
    <dgm:pt modelId="{AD0214D6-591F-4E0C-AEF9-C22B5CBC4424}" type="pres">
      <dgm:prSet presAssocID="{C13FB8C1-FA95-4F76-960D-48AC1554944D}" presName="rootText" presStyleLbl="node4" presStyleIdx="1" presStyleCnt="4" custScaleX="55406" custScaleY="184343">
        <dgm:presLayoutVars>
          <dgm:chPref val="3"/>
        </dgm:presLayoutVars>
      </dgm:prSet>
      <dgm:spPr/>
    </dgm:pt>
    <dgm:pt modelId="{14325AB2-BC59-4F97-9022-5A840D5ED9A1}" type="pres">
      <dgm:prSet presAssocID="{C13FB8C1-FA95-4F76-960D-48AC1554944D}" presName="rootConnector" presStyleLbl="node4" presStyleIdx="1" presStyleCnt="4"/>
      <dgm:spPr/>
    </dgm:pt>
    <dgm:pt modelId="{47A0E2E4-FE55-467E-9101-AD109BE6826E}" type="pres">
      <dgm:prSet presAssocID="{C13FB8C1-FA95-4F76-960D-48AC1554944D}" presName="hierChild4" presStyleCnt="0"/>
      <dgm:spPr/>
    </dgm:pt>
    <dgm:pt modelId="{CD8609CC-6A44-4952-8AC5-D0AA5947E7F1}" type="pres">
      <dgm:prSet presAssocID="{C13FB8C1-FA95-4F76-960D-48AC1554944D}" presName="hierChild5" presStyleCnt="0"/>
      <dgm:spPr/>
    </dgm:pt>
    <dgm:pt modelId="{A05E8E83-D1B8-4CAA-B7D6-09BF6D0CAC01}" type="pres">
      <dgm:prSet presAssocID="{AC8C42DC-8741-4640-89F5-B7BA216C7C47}" presName="Name64" presStyleLbl="parChTrans1D4" presStyleIdx="2" presStyleCnt="4"/>
      <dgm:spPr/>
    </dgm:pt>
    <dgm:pt modelId="{92ABA53F-4160-4CA6-A150-FC8CF0B24435}" type="pres">
      <dgm:prSet presAssocID="{D9AF65F4-2A8C-4F10-8345-1113AAD43FA6}" presName="hierRoot2" presStyleCnt="0">
        <dgm:presLayoutVars>
          <dgm:hierBranch val="init"/>
        </dgm:presLayoutVars>
      </dgm:prSet>
      <dgm:spPr/>
    </dgm:pt>
    <dgm:pt modelId="{D0FDA6B7-6D9D-43D2-8587-418CAC7D1B9B}" type="pres">
      <dgm:prSet presAssocID="{D9AF65F4-2A8C-4F10-8345-1113AAD43FA6}" presName="rootComposite" presStyleCnt="0"/>
      <dgm:spPr/>
    </dgm:pt>
    <dgm:pt modelId="{E03D4B3B-4BAF-445D-BAC6-F6D2B5E4E29C}" type="pres">
      <dgm:prSet presAssocID="{D9AF65F4-2A8C-4F10-8345-1113AAD43FA6}" presName="rootText" presStyleLbl="node4" presStyleIdx="2" presStyleCnt="4" custScaleX="56534" custScaleY="188988">
        <dgm:presLayoutVars>
          <dgm:chPref val="3"/>
        </dgm:presLayoutVars>
      </dgm:prSet>
      <dgm:spPr/>
    </dgm:pt>
    <dgm:pt modelId="{77F27FE8-F538-46E4-BBD2-55871ED02FFD}" type="pres">
      <dgm:prSet presAssocID="{D9AF65F4-2A8C-4F10-8345-1113AAD43FA6}" presName="rootConnector" presStyleLbl="node4" presStyleIdx="2" presStyleCnt="4"/>
      <dgm:spPr/>
    </dgm:pt>
    <dgm:pt modelId="{3D85044E-2800-435E-A688-8E1034CC0C19}" type="pres">
      <dgm:prSet presAssocID="{D9AF65F4-2A8C-4F10-8345-1113AAD43FA6}" presName="hierChild4" presStyleCnt="0"/>
      <dgm:spPr/>
    </dgm:pt>
    <dgm:pt modelId="{BA48FB23-6F09-457C-83B3-6158C1E41C6C}" type="pres">
      <dgm:prSet presAssocID="{D9AF65F4-2A8C-4F10-8345-1113AAD43FA6}" presName="hierChild5" presStyleCnt="0"/>
      <dgm:spPr/>
    </dgm:pt>
    <dgm:pt modelId="{5544B2C3-6429-4167-BA4F-323D3FC77D9B}" type="pres">
      <dgm:prSet presAssocID="{B9094F5A-B89B-4C5E-95AC-931BD7A9C42C}" presName="Name64" presStyleLbl="parChTrans1D4" presStyleIdx="3" presStyleCnt="4"/>
      <dgm:spPr/>
    </dgm:pt>
    <dgm:pt modelId="{8359A224-55FF-4041-ACEE-65F1B028D03E}" type="pres">
      <dgm:prSet presAssocID="{8B8E2520-CD3B-418B-9471-49A2C12B2D98}" presName="hierRoot2" presStyleCnt="0">
        <dgm:presLayoutVars>
          <dgm:hierBranch val="init"/>
        </dgm:presLayoutVars>
      </dgm:prSet>
      <dgm:spPr/>
    </dgm:pt>
    <dgm:pt modelId="{9A3DBBBF-B579-4C4A-BDDC-D4C76E9806EF}" type="pres">
      <dgm:prSet presAssocID="{8B8E2520-CD3B-418B-9471-49A2C12B2D98}" presName="rootComposite" presStyleCnt="0"/>
      <dgm:spPr/>
    </dgm:pt>
    <dgm:pt modelId="{2DBADB20-A13F-43F1-8BCC-F7DABD43D166}" type="pres">
      <dgm:prSet presAssocID="{8B8E2520-CD3B-418B-9471-49A2C12B2D98}" presName="rootText" presStyleLbl="node4" presStyleIdx="3" presStyleCnt="4" custScaleX="55941" custScaleY="186573">
        <dgm:presLayoutVars>
          <dgm:chPref val="3"/>
        </dgm:presLayoutVars>
      </dgm:prSet>
      <dgm:spPr/>
    </dgm:pt>
    <dgm:pt modelId="{67BFD374-A805-456A-8E34-3AEAF998A4F4}" type="pres">
      <dgm:prSet presAssocID="{8B8E2520-CD3B-418B-9471-49A2C12B2D98}" presName="rootConnector" presStyleLbl="node4" presStyleIdx="3" presStyleCnt="4"/>
      <dgm:spPr/>
    </dgm:pt>
    <dgm:pt modelId="{ADA31AE0-24A7-4296-85BD-2B35CA1495DC}" type="pres">
      <dgm:prSet presAssocID="{8B8E2520-CD3B-418B-9471-49A2C12B2D98}" presName="hierChild4" presStyleCnt="0"/>
      <dgm:spPr/>
    </dgm:pt>
    <dgm:pt modelId="{1C04F8E8-816B-4F2F-97EA-2007C0D3F924}" type="pres">
      <dgm:prSet presAssocID="{8B8E2520-CD3B-418B-9471-49A2C12B2D98}" presName="hierChild5" presStyleCnt="0"/>
      <dgm:spPr/>
    </dgm:pt>
    <dgm:pt modelId="{AFA6A5CC-BB47-4287-857C-A3DBCC24D3DF}" type="pres">
      <dgm:prSet presAssocID="{9F003351-C915-4B7B-89F3-8065192ADD80}" presName="hierChild5" presStyleCnt="0"/>
      <dgm:spPr/>
    </dgm:pt>
    <dgm:pt modelId="{915D6218-021F-4C19-A6B5-E4DC379E4882}" type="pres">
      <dgm:prSet presAssocID="{F1368CBA-D354-42AD-B956-31D767644C1D}" presName="hierChild5" presStyleCnt="0"/>
      <dgm:spPr/>
    </dgm:pt>
    <dgm:pt modelId="{EBB75EC4-BEC2-498C-A11D-E879699D0110}" type="pres">
      <dgm:prSet presAssocID="{2B058A55-9431-4639-AAD9-84C2077C5B4A}" presName="hierChild5" presStyleCnt="0"/>
      <dgm:spPr/>
    </dgm:pt>
    <dgm:pt modelId="{0169FCA6-8313-44CD-AF0A-216A2880DA38}" type="pres">
      <dgm:prSet presAssocID="{5F2B7E4D-272E-4F39-A444-6FCFD50F626F}" presName="hierChild3" presStyleCnt="0"/>
      <dgm:spPr/>
    </dgm:pt>
    <dgm:pt modelId="{D6096DB2-71F3-4768-AAE3-98BB6FBBC63D}" type="pres">
      <dgm:prSet presAssocID="{2EB37082-4DE2-4C58-A308-11C66BFD7462}" presName="Name115" presStyleLbl="parChTrans1D2" presStyleIdx="2" presStyleCnt="3"/>
      <dgm:spPr/>
    </dgm:pt>
    <dgm:pt modelId="{37F08256-43B0-4442-A1BA-8F349BB16DD6}" type="pres">
      <dgm:prSet presAssocID="{0AE123EA-6B25-444C-B2BC-FF2C0CBBE2D2}" presName="hierRoot3" presStyleCnt="0">
        <dgm:presLayoutVars>
          <dgm:hierBranch val="init"/>
        </dgm:presLayoutVars>
      </dgm:prSet>
      <dgm:spPr/>
    </dgm:pt>
    <dgm:pt modelId="{AFD742FA-17EC-40EE-80A4-1C4489EB7E0B}" type="pres">
      <dgm:prSet presAssocID="{0AE123EA-6B25-444C-B2BC-FF2C0CBBE2D2}" presName="rootComposite3" presStyleCnt="0"/>
      <dgm:spPr/>
    </dgm:pt>
    <dgm:pt modelId="{FB0E9335-4ED8-4D2E-80A3-AD14BB6BBEA0}" type="pres">
      <dgm:prSet presAssocID="{0AE123EA-6B25-444C-B2BC-FF2C0CBBE2D2}" presName="rootText3" presStyleLbl="asst1" presStyleIdx="0" presStyleCnt="1" custScaleX="53353" custScaleY="244192">
        <dgm:presLayoutVars>
          <dgm:chPref val="3"/>
        </dgm:presLayoutVars>
      </dgm:prSet>
      <dgm:spPr/>
    </dgm:pt>
    <dgm:pt modelId="{15FF640F-7B02-48E7-9685-0B2794E9C384}" type="pres">
      <dgm:prSet presAssocID="{0AE123EA-6B25-444C-B2BC-FF2C0CBBE2D2}" presName="rootConnector3" presStyleLbl="asst1" presStyleIdx="0" presStyleCnt="1"/>
      <dgm:spPr/>
    </dgm:pt>
    <dgm:pt modelId="{FCAF2BED-F80F-4A3A-BAC1-B00E260B0376}" type="pres">
      <dgm:prSet presAssocID="{0AE123EA-6B25-444C-B2BC-FF2C0CBBE2D2}" presName="hierChild6" presStyleCnt="0"/>
      <dgm:spPr/>
    </dgm:pt>
    <dgm:pt modelId="{88025335-D86E-4711-82A5-15BA5B7E9691}" type="pres">
      <dgm:prSet presAssocID="{0AE123EA-6B25-444C-B2BC-FF2C0CBBE2D2}" presName="hierChild7" presStyleCnt="0"/>
      <dgm:spPr/>
    </dgm:pt>
  </dgm:ptLst>
  <dgm:cxnLst>
    <dgm:cxn modelId="{89853D08-265B-4CF7-80AB-3EFE6552ED68}" srcId="{5F2B7E4D-272E-4F39-A444-6FCFD50F626F}" destId="{0AE123EA-6B25-444C-B2BC-FF2C0CBBE2D2}" srcOrd="0" destOrd="0" parTransId="{2EB37082-4DE2-4C58-A308-11C66BFD7462}" sibTransId="{39369564-3C1B-4A19-B132-BEB61B78A080}"/>
    <dgm:cxn modelId="{66812414-BF19-4CC2-8950-B997A0CC3CA0}" type="presOf" srcId="{C13FB8C1-FA95-4F76-960D-48AC1554944D}" destId="{AD0214D6-591F-4E0C-AEF9-C22B5CBC4424}" srcOrd="0" destOrd="0" presId="urn:microsoft.com/office/officeart/2009/3/layout/HorizontalOrganizationChart"/>
    <dgm:cxn modelId="{29A1AB17-5738-4BDA-9381-B49136787ECF}" type="presOf" srcId="{D9AF65F4-2A8C-4F10-8345-1113AAD43FA6}" destId="{77F27FE8-F538-46E4-BBD2-55871ED02FFD}" srcOrd="1" destOrd="0" presId="urn:microsoft.com/office/officeart/2009/3/layout/HorizontalOrganizationChart"/>
    <dgm:cxn modelId="{419AFF19-FC0B-474A-8E4E-ACF01C3450E9}" type="presOf" srcId="{508D1187-5A89-4DEF-BB43-21C75E7ABD39}" destId="{58DBC849-15C1-4544-BB96-78C36EFADECC}" srcOrd="0" destOrd="0" presId="urn:microsoft.com/office/officeart/2009/3/layout/HorizontalOrganizationChart"/>
    <dgm:cxn modelId="{99B4231B-4732-4B4D-958B-C06C0DEB6A69}" type="presOf" srcId="{F1368CBA-D354-42AD-B956-31D767644C1D}" destId="{5EAD67DC-B7F1-401F-B2CE-D18F9BD0C38F}" srcOrd="0" destOrd="0" presId="urn:microsoft.com/office/officeart/2009/3/layout/HorizontalOrganizationChart"/>
    <dgm:cxn modelId="{4ACAC423-79E1-4D28-B96B-4813B9CC6983}" srcId="{2B058A55-9431-4639-AAD9-84C2077C5B4A}" destId="{F1368CBA-D354-42AD-B956-31D767644C1D}" srcOrd="0" destOrd="0" parTransId="{DA7116B2-1C94-426B-A838-0F962FC876D6}" sibTransId="{BA77D3F5-FAB9-48B7-801A-04C9C444D9B9}"/>
    <dgm:cxn modelId="{3BBB2F24-8C2B-41F5-8DDF-B876BD2F3147}" srcId="{5F2B7E4D-272E-4F39-A444-6FCFD50F626F}" destId="{2B058A55-9431-4639-AAD9-84C2077C5B4A}" srcOrd="2" destOrd="0" parTransId="{508D1187-5A89-4DEF-BB43-21C75E7ABD39}" sibTransId="{A815D888-95FE-4CD5-B4D1-3C8EF08E5764}"/>
    <dgm:cxn modelId="{63D2CA25-67BF-46C0-BCA5-8B612D317A73}" type="presOf" srcId="{B9094F5A-B89B-4C5E-95AC-931BD7A9C42C}" destId="{5544B2C3-6429-4167-BA4F-323D3FC77D9B}" srcOrd="0" destOrd="0" presId="urn:microsoft.com/office/officeart/2009/3/layout/HorizontalOrganizationChart"/>
    <dgm:cxn modelId="{655BC52F-3E66-4B9D-A6C2-C10F83805023}" type="presOf" srcId="{103FD226-AD3A-433E-B9E2-66E8D4BB4D14}" destId="{59B6EDF5-A6BD-4948-AB48-C7DC68478024}" srcOrd="1" destOrd="0" presId="urn:microsoft.com/office/officeart/2009/3/layout/HorizontalOrganizationChart"/>
    <dgm:cxn modelId="{FF7A3A37-F026-41B4-BC92-ECA220001DBF}" type="presOf" srcId="{0AE123EA-6B25-444C-B2BC-FF2C0CBBE2D2}" destId="{FB0E9335-4ED8-4D2E-80A3-AD14BB6BBEA0}" srcOrd="0" destOrd="0" presId="urn:microsoft.com/office/officeart/2009/3/layout/HorizontalOrganizationChart"/>
    <dgm:cxn modelId="{CC1C4B39-E528-48E2-88F7-1DAE40B21A06}" srcId="{9F003351-C915-4B7B-89F3-8065192ADD80}" destId="{C13FB8C1-FA95-4F76-960D-48AC1554944D}" srcOrd="0" destOrd="0" parTransId="{0D027E2D-0E0A-4C2F-83D2-CEF2C07EE044}" sibTransId="{1E74D34B-7377-4BB9-9D1B-9735FC246D9F}"/>
    <dgm:cxn modelId="{D770DB5B-E381-4A01-BFC2-D7C0F25DD0CF}" type="presOf" srcId="{0AE123EA-6B25-444C-B2BC-FF2C0CBBE2D2}" destId="{15FF640F-7B02-48E7-9685-0B2794E9C384}" srcOrd="1" destOrd="0" presId="urn:microsoft.com/office/officeart/2009/3/layout/HorizontalOrganizationChart"/>
    <dgm:cxn modelId="{C69D775E-260F-4B70-8A2E-1BF6772274C1}" type="presOf" srcId="{65A23034-AF09-4C0F-A7F2-C50EBB7E0C1A}" destId="{0AA27B35-1C06-4876-A8A5-9D302D80C528}" srcOrd="0" destOrd="0" presId="urn:microsoft.com/office/officeart/2009/3/layout/HorizontalOrganizationChart"/>
    <dgm:cxn modelId="{AA177F5E-455C-4F42-B908-3D6BBDF00A26}" type="presOf" srcId="{103FD226-AD3A-433E-B9E2-66E8D4BB4D14}" destId="{C1761BF2-FD86-4E03-82B2-F7CD08EB5A29}" srcOrd="0" destOrd="0" presId="urn:microsoft.com/office/officeart/2009/3/layout/HorizontalOrganizationChart"/>
    <dgm:cxn modelId="{F63D2244-0B91-4F33-9FEB-D0EB80A970BE}" type="presOf" srcId="{5F2B7E4D-272E-4F39-A444-6FCFD50F626F}" destId="{EDD1302B-DB9F-4E29-8B3E-4B2D9E2F4AE0}" srcOrd="1" destOrd="0" presId="urn:microsoft.com/office/officeart/2009/3/layout/HorizontalOrganizationChart"/>
    <dgm:cxn modelId="{9587164E-093E-48EE-8CD4-EA50E2706595}" type="presOf" srcId="{DA7116B2-1C94-426B-A838-0F962FC876D6}" destId="{D3CD9AD9-C837-4079-8EA1-84D23A72F84F}" srcOrd="0" destOrd="0" presId="urn:microsoft.com/office/officeart/2009/3/layout/HorizontalOrganizationChart"/>
    <dgm:cxn modelId="{1C38D64E-9B2D-47BA-8E04-0E17C6A4DAE0}" type="presOf" srcId="{5F2B7E4D-272E-4F39-A444-6FCFD50F626F}" destId="{2DA7EEBC-24B9-4ABA-83EB-48C12A933F04}" srcOrd="0" destOrd="0" presId="urn:microsoft.com/office/officeart/2009/3/layout/HorizontalOrganizationChart"/>
    <dgm:cxn modelId="{4B3EB750-B53E-4D79-A4A0-1A9F242D16CC}" type="presOf" srcId="{CDA9E63D-7007-47A2-902B-7632EC0E0F7D}" destId="{6E0C6121-DD34-482F-B6BA-C06F1639C3A0}" srcOrd="0" destOrd="0" presId="urn:microsoft.com/office/officeart/2009/3/layout/HorizontalOrganizationChart"/>
    <dgm:cxn modelId="{D29D1452-87D9-494F-80C3-5312DD41B509}" type="presOf" srcId="{2D24C862-DD50-43C1-9BEB-23AFBFBAE5A9}" destId="{B9A2A2EA-BA01-40C6-89A6-0EDFA114085A}" srcOrd="0" destOrd="0" presId="urn:microsoft.com/office/officeart/2009/3/layout/HorizontalOrganizationChart"/>
    <dgm:cxn modelId="{A170CC72-B47C-4094-AF94-6298E8C7D7FC}" srcId="{103FD226-AD3A-433E-B9E2-66E8D4BB4D14}" destId="{0C05250D-3297-4DEB-B459-E1F1E425CE32}" srcOrd="0" destOrd="0" parTransId="{65A23034-AF09-4C0F-A7F2-C50EBB7E0C1A}" sibTransId="{8DC1B622-7431-4714-B7CA-D7A3DF10AB77}"/>
    <dgm:cxn modelId="{2AB5618B-407B-4215-A455-C9CA124926E1}" type="presOf" srcId="{AC8C42DC-8741-4640-89F5-B7BA216C7C47}" destId="{A05E8E83-D1B8-4CAA-B7D6-09BF6D0CAC01}" srcOrd="0" destOrd="0" presId="urn:microsoft.com/office/officeart/2009/3/layout/HorizontalOrganizationChart"/>
    <dgm:cxn modelId="{37BB6F8B-FD59-4223-B0A2-C7D80188CD02}" type="presOf" srcId="{0C05250D-3297-4DEB-B459-E1F1E425CE32}" destId="{8A0390AB-0944-4596-9273-09186C246937}" srcOrd="0" destOrd="0" presId="urn:microsoft.com/office/officeart/2009/3/layout/HorizontalOrganizationChart"/>
    <dgm:cxn modelId="{B1EB3295-1AA8-4019-BC71-51AB15B8EE10}" type="presOf" srcId="{8B8E2520-CD3B-418B-9471-49A2C12B2D98}" destId="{67BFD374-A805-456A-8E34-3AEAF998A4F4}" srcOrd="1" destOrd="0" presId="urn:microsoft.com/office/officeart/2009/3/layout/HorizontalOrganizationChart"/>
    <dgm:cxn modelId="{06BD0599-6727-4831-9AE3-1DBF3C1431E8}" type="presOf" srcId="{0D027E2D-0E0A-4C2F-83D2-CEF2C07EE044}" destId="{1F7CEA06-732B-4680-A746-FAB4DA4B7607}" srcOrd="0" destOrd="0" presId="urn:microsoft.com/office/officeart/2009/3/layout/HorizontalOrganizationChart"/>
    <dgm:cxn modelId="{B722A699-69E2-4108-A408-77D69D97DAC0}" srcId="{F1368CBA-D354-42AD-B956-31D767644C1D}" destId="{9F003351-C915-4B7B-89F3-8065192ADD80}" srcOrd="0" destOrd="0" parTransId="{57A6DA62-9C59-45B6-A668-A1741052E9F8}" sibTransId="{7D838E03-CFA4-4E53-96C3-CB1420CBEDCC}"/>
    <dgm:cxn modelId="{A08C809E-112D-4CF8-B28D-7A73D7244EB9}" type="presOf" srcId="{D9AF65F4-2A8C-4F10-8345-1113AAD43FA6}" destId="{E03D4B3B-4BAF-445D-BAC6-F6D2B5E4E29C}" srcOrd="0" destOrd="0" presId="urn:microsoft.com/office/officeart/2009/3/layout/HorizontalOrganizationChart"/>
    <dgm:cxn modelId="{3D006CA9-CC2D-44D5-A67D-3E54F984F669}" type="presOf" srcId="{C13FB8C1-FA95-4F76-960D-48AC1554944D}" destId="{14325AB2-BC59-4F97-9022-5A840D5ED9A1}" srcOrd="1" destOrd="0" presId="urn:microsoft.com/office/officeart/2009/3/layout/HorizontalOrganizationChart"/>
    <dgm:cxn modelId="{0E5CC3AA-1361-4D3B-9FF1-6D7E6CE34992}" type="presOf" srcId="{2B058A55-9431-4639-AAD9-84C2077C5B4A}" destId="{4F015633-AEDF-488A-A5AA-57B2948CE616}" srcOrd="0" destOrd="0" presId="urn:microsoft.com/office/officeart/2009/3/layout/HorizontalOrganizationChart"/>
    <dgm:cxn modelId="{CC0751AB-85C9-46BE-8A41-BE221692E031}" srcId="{9F003351-C915-4B7B-89F3-8065192ADD80}" destId="{D9AF65F4-2A8C-4F10-8345-1113AAD43FA6}" srcOrd="1" destOrd="0" parTransId="{AC8C42DC-8741-4640-89F5-B7BA216C7C47}" sibTransId="{E22F431A-59A3-405B-B296-5F8F80F79A5F}"/>
    <dgm:cxn modelId="{C09E81B5-5B30-4DCF-BC0E-A2A4D5402D75}" type="presOf" srcId="{2B058A55-9431-4639-AAD9-84C2077C5B4A}" destId="{02E6B461-7449-4BB7-AB51-FE22E48157F9}" srcOrd="1" destOrd="0" presId="urn:microsoft.com/office/officeart/2009/3/layout/HorizontalOrganizationChart"/>
    <dgm:cxn modelId="{AA5C45BC-8268-4DB0-8BC8-CBE161B39816}" type="presOf" srcId="{0C05250D-3297-4DEB-B459-E1F1E425CE32}" destId="{BA556811-F50D-4B8A-B3BA-4DA988BBDB51}" srcOrd="1" destOrd="0" presId="urn:microsoft.com/office/officeart/2009/3/layout/HorizontalOrganizationChart"/>
    <dgm:cxn modelId="{736FBCBF-A57D-4656-9D0A-F4EF771983E6}" srcId="{CDA9E63D-7007-47A2-902B-7632EC0E0F7D}" destId="{5F2B7E4D-272E-4F39-A444-6FCFD50F626F}" srcOrd="0" destOrd="0" parTransId="{1F34EA57-DDCB-4D0B-BEBE-A996F4719543}" sibTransId="{B4A2AA9C-B301-4901-B6BA-FB050BB7C381}"/>
    <dgm:cxn modelId="{C6A4DCC2-593E-444F-B48A-10E5484E201D}" type="presOf" srcId="{57A6DA62-9C59-45B6-A668-A1741052E9F8}" destId="{FEE23A2C-4C29-4B9A-B871-DFA104FF9209}" srcOrd="0" destOrd="0" presId="urn:microsoft.com/office/officeart/2009/3/layout/HorizontalOrganizationChart"/>
    <dgm:cxn modelId="{236A2DC3-94DE-4E1E-A6C5-CAA6E2219CCB}" type="presOf" srcId="{F1368CBA-D354-42AD-B956-31D767644C1D}" destId="{583645E2-4EE4-45ED-A2FB-2F3EF41859B9}" srcOrd="1" destOrd="0" presId="urn:microsoft.com/office/officeart/2009/3/layout/HorizontalOrganizationChart"/>
    <dgm:cxn modelId="{B9A61AC9-DDC3-49A9-88BE-E6FAC74CE7F1}" srcId="{9F003351-C915-4B7B-89F3-8065192ADD80}" destId="{8B8E2520-CD3B-418B-9471-49A2C12B2D98}" srcOrd="2" destOrd="0" parTransId="{B9094F5A-B89B-4C5E-95AC-931BD7A9C42C}" sibTransId="{24426873-9456-4FB0-B36C-D37A9C595258}"/>
    <dgm:cxn modelId="{E3C003D6-E7DD-459F-BCDF-E793C0DBBCE2}" type="presOf" srcId="{9F003351-C915-4B7B-89F3-8065192ADD80}" destId="{4C81C713-3CDD-4667-8762-9D9718C08BBD}" srcOrd="0" destOrd="0" presId="urn:microsoft.com/office/officeart/2009/3/layout/HorizontalOrganizationChart"/>
    <dgm:cxn modelId="{AC29DDE5-E002-4518-B138-CA4C0C580582}" type="presOf" srcId="{9F003351-C915-4B7B-89F3-8065192ADD80}" destId="{06C59785-2C47-4594-963B-D1F76D2051E1}" srcOrd="1" destOrd="0" presId="urn:microsoft.com/office/officeart/2009/3/layout/HorizontalOrganizationChart"/>
    <dgm:cxn modelId="{18EB52E7-105B-4523-BC64-29018C85A118}" type="presOf" srcId="{2EB37082-4DE2-4C58-A308-11C66BFD7462}" destId="{D6096DB2-71F3-4768-AAE3-98BB6FBBC63D}" srcOrd="0" destOrd="0" presId="urn:microsoft.com/office/officeart/2009/3/layout/HorizontalOrganizationChart"/>
    <dgm:cxn modelId="{2D443AE9-11EB-42F1-B6B3-D4E3F212B2F2}" type="presOf" srcId="{8B8E2520-CD3B-418B-9471-49A2C12B2D98}" destId="{2DBADB20-A13F-43F1-8BCC-F7DABD43D166}" srcOrd="0" destOrd="0" presId="urn:microsoft.com/office/officeart/2009/3/layout/HorizontalOrganizationChart"/>
    <dgm:cxn modelId="{5C6707EB-67B5-4EB3-8545-E408BB2F2D64}" srcId="{5F2B7E4D-272E-4F39-A444-6FCFD50F626F}" destId="{103FD226-AD3A-433E-B9E2-66E8D4BB4D14}" srcOrd="1" destOrd="0" parTransId="{2D24C862-DD50-43C1-9BEB-23AFBFBAE5A9}" sibTransId="{F9B3D267-FF62-413A-8AE9-2BF53460DD98}"/>
    <dgm:cxn modelId="{97A07076-92E4-4B81-84AF-9E8B6B426604}" type="presParOf" srcId="{6E0C6121-DD34-482F-B6BA-C06F1639C3A0}" destId="{9B6F3C42-F143-4BBF-8072-B93D05AB08C8}" srcOrd="0" destOrd="0" presId="urn:microsoft.com/office/officeart/2009/3/layout/HorizontalOrganizationChart"/>
    <dgm:cxn modelId="{EB85082A-D375-47CE-AC9A-F57B7F4379A8}" type="presParOf" srcId="{9B6F3C42-F143-4BBF-8072-B93D05AB08C8}" destId="{72CD71AD-4200-4D86-BDDB-B8CB34C986CA}" srcOrd="0" destOrd="0" presId="urn:microsoft.com/office/officeart/2009/3/layout/HorizontalOrganizationChart"/>
    <dgm:cxn modelId="{BEE90E28-8181-4867-9E1E-E3EF375B18D9}" type="presParOf" srcId="{72CD71AD-4200-4D86-BDDB-B8CB34C986CA}" destId="{2DA7EEBC-24B9-4ABA-83EB-48C12A933F04}" srcOrd="0" destOrd="0" presId="urn:microsoft.com/office/officeart/2009/3/layout/HorizontalOrganizationChart"/>
    <dgm:cxn modelId="{63D550EF-F958-44F1-B9F4-FC416579AA65}" type="presParOf" srcId="{72CD71AD-4200-4D86-BDDB-B8CB34C986CA}" destId="{EDD1302B-DB9F-4E29-8B3E-4B2D9E2F4AE0}" srcOrd="1" destOrd="0" presId="urn:microsoft.com/office/officeart/2009/3/layout/HorizontalOrganizationChart"/>
    <dgm:cxn modelId="{BBA976DE-41BF-4F6D-A44F-23F4DAE50DD1}" type="presParOf" srcId="{9B6F3C42-F143-4BBF-8072-B93D05AB08C8}" destId="{5C9054AB-8DC4-45C7-A3D0-3F7377A4CC78}" srcOrd="1" destOrd="0" presId="urn:microsoft.com/office/officeart/2009/3/layout/HorizontalOrganizationChart"/>
    <dgm:cxn modelId="{381DB545-3A16-4B2A-83B6-4CEEA5BABAAB}" type="presParOf" srcId="{5C9054AB-8DC4-45C7-A3D0-3F7377A4CC78}" destId="{B9A2A2EA-BA01-40C6-89A6-0EDFA114085A}" srcOrd="0" destOrd="0" presId="urn:microsoft.com/office/officeart/2009/3/layout/HorizontalOrganizationChart"/>
    <dgm:cxn modelId="{1F909C42-11A6-462B-9231-C3AE86417ECC}" type="presParOf" srcId="{5C9054AB-8DC4-45C7-A3D0-3F7377A4CC78}" destId="{7154A610-41C5-4136-BDDA-F318DB56BD29}" srcOrd="1" destOrd="0" presId="urn:microsoft.com/office/officeart/2009/3/layout/HorizontalOrganizationChart"/>
    <dgm:cxn modelId="{E4FB25B4-A66E-488F-9D33-CBBE6D9CF0F5}" type="presParOf" srcId="{7154A610-41C5-4136-BDDA-F318DB56BD29}" destId="{68CC1C94-4E5C-46D2-8C93-92F10F5EF424}" srcOrd="0" destOrd="0" presId="urn:microsoft.com/office/officeart/2009/3/layout/HorizontalOrganizationChart"/>
    <dgm:cxn modelId="{BC935FDF-1C7D-476D-96F4-D7E5A21223BA}" type="presParOf" srcId="{68CC1C94-4E5C-46D2-8C93-92F10F5EF424}" destId="{C1761BF2-FD86-4E03-82B2-F7CD08EB5A29}" srcOrd="0" destOrd="0" presId="urn:microsoft.com/office/officeart/2009/3/layout/HorizontalOrganizationChart"/>
    <dgm:cxn modelId="{3EF7BC99-EB12-4A98-976B-1B4105D3307B}" type="presParOf" srcId="{68CC1C94-4E5C-46D2-8C93-92F10F5EF424}" destId="{59B6EDF5-A6BD-4948-AB48-C7DC68478024}" srcOrd="1" destOrd="0" presId="urn:microsoft.com/office/officeart/2009/3/layout/HorizontalOrganizationChart"/>
    <dgm:cxn modelId="{2EFC94A6-A6E6-4529-8F5B-A54F7B46A654}" type="presParOf" srcId="{7154A610-41C5-4136-BDDA-F318DB56BD29}" destId="{9C30AF23-A184-4706-8492-8B7CACD39BD4}" srcOrd="1" destOrd="0" presId="urn:microsoft.com/office/officeart/2009/3/layout/HorizontalOrganizationChart"/>
    <dgm:cxn modelId="{A995851E-D52E-47E3-874E-9F5ECB77DF57}" type="presParOf" srcId="{9C30AF23-A184-4706-8492-8B7CACD39BD4}" destId="{0AA27B35-1C06-4876-A8A5-9D302D80C528}" srcOrd="0" destOrd="0" presId="urn:microsoft.com/office/officeart/2009/3/layout/HorizontalOrganizationChart"/>
    <dgm:cxn modelId="{4962D399-2BCC-434A-A844-3A53C35C9855}" type="presParOf" srcId="{9C30AF23-A184-4706-8492-8B7CACD39BD4}" destId="{B6C1AAE0-0E90-48BE-9395-C2BB8FD216A7}" srcOrd="1" destOrd="0" presId="urn:microsoft.com/office/officeart/2009/3/layout/HorizontalOrganizationChart"/>
    <dgm:cxn modelId="{3E5001AD-6694-4080-9A96-9678EB438C3F}" type="presParOf" srcId="{B6C1AAE0-0E90-48BE-9395-C2BB8FD216A7}" destId="{6BBF1D43-88B6-48B0-8A52-AF96862E9545}" srcOrd="0" destOrd="0" presId="urn:microsoft.com/office/officeart/2009/3/layout/HorizontalOrganizationChart"/>
    <dgm:cxn modelId="{1B5AAB72-1D95-43E2-B767-F3B572A4A556}" type="presParOf" srcId="{6BBF1D43-88B6-48B0-8A52-AF96862E9545}" destId="{8A0390AB-0944-4596-9273-09186C246937}" srcOrd="0" destOrd="0" presId="urn:microsoft.com/office/officeart/2009/3/layout/HorizontalOrganizationChart"/>
    <dgm:cxn modelId="{5CBB4584-7D90-48C8-AF84-03EDFB8AF45C}" type="presParOf" srcId="{6BBF1D43-88B6-48B0-8A52-AF96862E9545}" destId="{BA556811-F50D-4B8A-B3BA-4DA988BBDB51}" srcOrd="1" destOrd="0" presId="urn:microsoft.com/office/officeart/2009/3/layout/HorizontalOrganizationChart"/>
    <dgm:cxn modelId="{C58F4F40-3297-409E-B094-B5D5047A7383}" type="presParOf" srcId="{B6C1AAE0-0E90-48BE-9395-C2BB8FD216A7}" destId="{98C0BCE8-4026-457B-8C68-BFBB2F58D5BF}" srcOrd="1" destOrd="0" presId="urn:microsoft.com/office/officeart/2009/3/layout/HorizontalOrganizationChart"/>
    <dgm:cxn modelId="{147D6375-832D-4265-9C32-2D367E1D23F8}" type="presParOf" srcId="{B6C1AAE0-0E90-48BE-9395-C2BB8FD216A7}" destId="{0E790337-63BC-4E80-AC99-6E797D6D8BBD}" srcOrd="2" destOrd="0" presId="urn:microsoft.com/office/officeart/2009/3/layout/HorizontalOrganizationChart"/>
    <dgm:cxn modelId="{902B800E-6966-4E36-A53E-BA4383A7ECBB}" type="presParOf" srcId="{7154A610-41C5-4136-BDDA-F318DB56BD29}" destId="{2B358110-5639-4E37-90BB-3428F493D1D3}" srcOrd="2" destOrd="0" presId="urn:microsoft.com/office/officeart/2009/3/layout/HorizontalOrganizationChart"/>
    <dgm:cxn modelId="{0068989C-A741-4972-A704-E9FFC3F1E620}" type="presParOf" srcId="{5C9054AB-8DC4-45C7-A3D0-3F7377A4CC78}" destId="{58DBC849-15C1-4544-BB96-78C36EFADECC}" srcOrd="2" destOrd="0" presId="urn:microsoft.com/office/officeart/2009/3/layout/HorizontalOrganizationChart"/>
    <dgm:cxn modelId="{B8433C00-7960-411B-8170-3C35A73DA5F4}" type="presParOf" srcId="{5C9054AB-8DC4-45C7-A3D0-3F7377A4CC78}" destId="{4F3F128F-C41D-4D31-B7DD-E5179444F8ED}" srcOrd="3" destOrd="0" presId="urn:microsoft.com/office/officeart/2009/3/layout/HorizontalOrganizationChart"/>
    <dgm:cxn modelId="{EBE1197C-D53D-4D55-AD3C-608A3D3B4EEC}" type="presParOf" srcId="{4F3F128F-C41D-4D31-B7DD-E5179444F8ED}" destId="{34F0EF4F-3BC9-4FBF-8229-6E8B304ECFA5}" srcOrd="0" destOrd="0" presId="urn:microsoft.com/office/officeart/2009/3/layout/HorizontalOrganizationChart"/>
    <dgm:cxn modelId="{91B30AD4-6771-415D-92FC-B010B8FC1DDB}" type="presParOf" srcId="{34F0EF4F-3BC9-4FBF-8229-6E8B304ECFA5}" destId="{4F015633-AEDF-488A-A5AA-57B2948CE616}" srcOrd="0" destOrd="0" presId="urn:microsoft.com/office/officeart/2009/3/layout/HorizontalOrganizationChart"/>
    <dgm:cxn modelId="{0E3B2035-3407-4447-A115-D8326FAF5B33}" type="presParOf" srcId="{34F0EF4F-3BC9-4FBF-8229-6E8B304ECFA5}" destId="{02E6B461-7449-4BB7-AB51-FE22E48157F9}" srcOrd="1" destOrd="0" presId="urn:microsoft.com/office/officeart/2009/3/layout/HorizontalOrganizationChart"/>
    <dgm:cxn modelId="{EB4D7E77-660A-437D-A568-53C2BA964ADB}" type="presParOf" srcId="{4F3F128F-C41D-4D31-B7DD-E5179444F8ED}" destId="{E7F4837D-2E07-4210-8136-F0A5F7D252C4}" srcOrd="1" destOrd="0" presId="urn:microsoft.com/office/officeart/2009/3/layout/HorizontalOrganizationChart"/>
    <dgm:cxn modelId="{F1BE4043-5C76-4CBE-B7E5-7552BF8E8FC9}" type="presParOf" srcId="{E7F4837D-2E07-4210-8136-F0A5F7D252C4}" destId="{D3CD9AD9-C837-4079-8EA1-84D23A72F84F}" srcOrd="0" destOrd="0" presId="urn:microsoft.com/office/officeart/2009/3/layout/HorizontalOrganizationChart"/>
    <dgm:cxn modelId="{FF62BD2A-C98A-4D9C-A006-2313B6D2BC8C}" type="presParOf" srcId="{E7F4837D-2E07-4210-8136-F0A5F7D252C4}" destId="{F6338562-181B-4372-AC3F-8971BA7B70AA}" srcOrd="1" destOrd="0" presId="urn:microsoft.com/office/officeart/2009/3/layout/HorizontalOrganizationChart"/>
    <dgm:cxn modelId="{D20DFE99-62BD-4DF3-BAB7-05790CE8B422}" type="presParOf" srcId="{F6338562-181B-4372-AC3F-8971BA7B70AA}" destId="{3DC29294-AE79-47B8-A226-261B1621E1DE}" srcOrd="0" destOrd="0" presId="urn:microsoft.com/office/officeart/2009/3/layout/HorizontalOrganizationChart"/>
    <dgm:cxn modelId="{6835888C-69B4-4B89-A0C4-1F1086096E8F}" type="presParOf" srcId="{3DC29294-AE79-47B8-A226-261B1621E1DE}" destId="{5EAD67DC-B7F1-401F-B2CE-D18F9BD0C38F}" srcOrd="0" destOrd="0" presId="urn:microsoft.com/office/officeart/2009/3/layout/HorizontalOrganizationChart"/>
    <dgm:cxn modelId="{A90E3BFE-5C7F-4725-B5B4-510DBC371CBA}" type="presParOf" srcId="{3DC29294-AE79-47B8-A226-261B1621E1DE}" destId="{583645E2-4EE4-45ED-A2FB-2F3EF41859B9}" srcOrd="1" destOrd="0" presId="urn:microsoft.com/office/officeart/2009/3/layout/HorizontalOrganizationChart"/>
    <dgm:cxn modelId="{4663CDDD-0D70-40AA-BED9-325D1A504797}" type="presParOf" srcId="{F6338562-181B-4372-AC3F-8971BA7B70AA}" destId="{125F0086-93ED-4C93-9953-9166B35F6F29}" srcOrd="1" destOrd="0" presId="urn:microsoft.com/office/officeart/2009/3/layout/HorizontalOrganizationChart"/>
    <dgm:cxn modelId="{416BB6C9-42D2-462C-89E3-1066ADA70DB4}" type="presParOf" srcId="{125F0086-93ED-4C93-9953-9166B35F6F29}" destId="{FEE23A2C-4C29-4B9A-B871-DFA104FF9209}" srcOrd="0" destOrd="0" presId="urn:microsoft.com/office/officeart/2009/3/layout/HorizontalOrganizationChart"/>
    <dgm:cxn modelId="{5F69091C-AFB1-4267-8D87-02E54ABFD2D2}" type="presParOf" srcId="{125F0086-93ED-4C93-9953-9166B35F6F29}" destId="{97BC87F0-47D5-47E5-B259-4B0B6C53FF21}" srcOrd="1" destOrd="0" presId="urn:microsoft.com/office/officeart/2009/3/layout/HorizontalOrganizationChart"/>
    <dgm:cxn modelId="{CD70302B-24A5-4B60-AC30-93C37D147D97}" type="presParOf" srcId="{97BC87F0-47D5-47E5-B259-4B0B6C53FF21}" destId="{56C36C73-7BED-4D08-A004-5CC6A3A6B2D0}" srcOrd="0" destOrd="0" presId="urn:microsoft.com/office/officeart/2009/3/layout/HorizontalOrganizationChart"/>
    <dgm:cxn modelId="{BB8B94F6-972A-4D5B-A3DD-ABB717D1B285}" type="presParOf" srcId="{56C36C73-7BED-4D08-A004-5CC6A3A6B2D0}" destId="{4C81C713-3CDD-4667-8762-9D9718C08BBD}" srcOrd="0" destOrd="0" presId="urn:microsoft.com/office/officeart/2009/3/layout/HorizontalOrganizationChart"/>
    <dgm:cxn modelId="{DC52C97C-D0C0-4563-B185-1E4BA31CBA7A}" type="presParOf" srcId="{56C36C73-7BED-4D08-A004-5CC6A3A6B2D0}" destId="{06C59785-2C47-4594-963B-D1F76D2051E1}" srcOrd="1" destOrd="0" presId="urn:microsoft.com/office/officeart/2009/3/layout/HorizontalOrganizationChart"/>
    <dgm:cxn modelId="{8E03D375-0FA2-4AA9-BAB3-75CDA86C723C}" type="presParOf" srcId="{97BC87F0-47D5-47E5-B259-4B0B6C53FF21}" destId="{85CA155C-3498-4F24-AB9A-71315C12D76F}" srcOrd="1" destOrd="0" presId="urn:microsoft.com/office/officeart/2009/3/layout/HorizontalOrganizationChart"/>
    <dgm:cxn modelId="{AE9C0333-2EA9-40FA-8066-7D8468BCBC81}" type="presParOf" srcId="{85CA155C-3498-4F24-AB9A-71315C12D76F}" destId="{1F7CEA06-732B-4680-A746-FAB4DA4B7607}" srcOrd="0" destOrd="0" presId="urn:microsoft.com/office/officeart/2009/3/layout/HorizontalOrganizationChart"/>
    <dgm:cxn modelId="{5A2A9C87-9841-411A-9C7F-2B389B7EB936}" type="presParOf" srcId="{85CA155C-3498-4F24-AB9A-71315C12D76F}" destId="{9C6804D4-9504-4C46-91F7-7C3EDDF2F1D5}" srcOrd="1" destOrd="0" presId="urn:microsoft.com/office/officeart/2009/3/layout/HorizontalOrganizationChart"/>
    <dgm:cxn modelId="{E31574D3-28EB-42DC-B240-3AFA676A7CF7}" type="presParOf" srcId="{9C6804D4-9504-4C46-91F7-7C3EDDF2F1D5}" destId="{2B831BDA-DBE7-4C26-942A-A4391BD69116}" srcOrd="0" destOrd="0" presId="urn:microsoft.com/office/officeart/2009/3/layout/HorizontalOrganizationChart"/>
    <dgm:cxn modelId="{CB8BA000-C90A-49E6-9DB0-05CB1B165F88}" type="presParOf" srcId="{2B831BDA-DBE7-4C26-942A-A4391BD69116}" destId="{AD0214D6-591F-4E0C-AEF9-C22B5CBC4424}" srcOrd="0" destOrd="0" presId="urn:microsoft.com/office/officeart/2009/3/layout/HorizontalOrganizationChart"/>
    <dgm:cxn modelId="{3BC020C5-3653-46D2-B710-5F2D545ADB65}" type="presParOf" srcId="{2B831BDA-DBE7-4C26-942A-A4391BD69116}" destId="{14325AB2-BC59-4F97-9022-5A840D5ED9A1}" srcOrd="1" destOrd="0" presId="urn:microsoft.com/office/officeart/2009/3/layout/HorizontalOrganizationChart"/>
    <dgm:cxn modelId="{43489B79-A3AF-4889-B60E-0C5CBD43BBE0}" type="presParOf" srcId="{9C6804D4-9504-4C46-91F7-7C3EDDF2F1D5}" destId="{47A0E2E4-FE55-467E-9101-AD109BE6826E}" srcOrd="1" destOrd="0" presId="urn:microsoft.com/office/officeart/2009/3/layout/HorizontalOrganizationChart"/>
    <dgm:cxn modelId="{5E212208-4D2C-49EB-A94E-303D08102368}" type="presParOf" srcId="{9C6804D4-9504-4C46-91F7-7C3EDDF2F1D5}" destId="{CD8609CC-6A44-4952-8AC5-D0AA5947E7F1}" srcOrd="2" destOrd="0" presId="urn:microsoft.com/office/officeart/2009/3/layout/HorizontalOrganizationChart"/>
    <dgm:cxn modelId="{DFDFA179-C7CF-46E2-B993-EAC6873316AA}" type="presParOf" srcId="{85CA155C-3498-4F24-AB9A-71315C12D76F}" destId="{A05E8E83-D1B8-4CAA-B7D6-09BF6D0CAC01}" srcOrd="2" destOrd="0" presId="urn:microsoft.com/office/officeart/2009/3/layout/HorizontalOrganizationChart"/>
    <dgm:cxn modelId="{9C989ED0-46FD-445E-9DF5-864D2C0F44B5}" type="presParOf" srcId="{85CA155C-3498-4F24-AB9A-71315C12D76F}" destId="{92ABA53F-4160-4CA6-A150-FC8CF0B24435}" srcOrd="3" destOrd="0" presId="urn:microsoft.com/office/officeart/2009/3/layout/HorizontalOrganizationChart"/>
    <dgm:cxn modelId="{73F58A59-CABE-468E-B3E4-7018E26E3232}" type="presParOf" srcId="{92ABA53F-4160-4CA6-A150-FC8CF0B24435}" destId="{D0FDA6B7-6D9D-43D2-8587-418CAC7D1B9B}" srcOrd="0" destOrd="0" presId="urn:microsoft.com/office/officeart/2009/3/layout/HorizontalOrganizationChart"/>
    <dgm:cxn modelId="{94D7E0A3-71C8-4BD3-9ECA-982C6047D28E}" type="presParOf" srcId="{D0FDA6B7-6D9D-43D2-8587-418CAC7D1B9B}" destId="{E03D4B3B-4BAF-445D-BAC6-F6D2B5E4E29C}" srcOrd="0" destOrd="0" presId="urn:microsoft.com/office/officeart/2009/3/layout/HorizontalOrganizationChart"/>
    <dgm:cxn modelId="{2F9CA7FD-B4F8-4895-9B73-3DAFB6730E25}" type="presParOf" srcId="{D0FDA6B7-6D9D-43D2-8587-418CAC7D1B9B}" destId="{77F27FE8-F538-46E4-BBD2-55871ED02FFD}" srcOrd="1" destOrd="0" presId="urn:microsoft.com/office/officeart/2009/3/layout/HorizontalOrganizationChart"/>
    <dgm:cxn modelId="{F1B8BECC-DE40-4C40-A93C-B2E29A22D532}" type="presParOf" srcId="{92ABA53F-4160-4CA6-A150-FC8CF0B24435}" destId="{3D85044E-2800-435E-A688-8E1034CC0C19}" srcOrd="1" destOrd="0" presId="urn:microsoft.com/office/officeart/2009/3/layout/HorizontalOrganizationChart"/>
    <dgm:cxn modelId="{C8C5F30D-C46F-4D2F-8AE3-63FDB58FD99A}" type="presParOf" srcId="{92ABA53F-4160-4CA6-A150-FC8CF0B24435}" destId="{BA48FB23-6F09-457C-83B3-6158C1E41C6C}" srcOrd="2" destOrd="0" presId="urn:microsoft.com/office/officeart/2009/3/layout/HorizontalOrganizationChart"/>
    <dgm:cxn modelId="{3BC1B624-D492-4A66-90E6-B44DED535B2C}" type="presParOf" srcId="{85CA155C-3498-4F24-AB9A-71315C12D76F}" destId="{5544B2C3-6429-4167-BA4F-323D3FC77D9B}" srcOrd="4" destOrd="0" presId="urn:microsoft.com/office/officeart/2009/3/layout/HorizontalOrganizationChart"/>
    <dgm:cxn modelId="{CBF4618A-94D0-4B77-8687-72A1F2E4E997}" type="presParOf" srcId="{85CA155C-3498-4F24-AB9A-71315C12D76F}" destId="{8359A224-55FF-4041-ACEE-65F1B028D03E}" srcOrd="5" destOrd="0" presId="urn:microsoft.com/office/officeart/2009/3/layout/HorizontalOrganizationChart"/>
    <dgm:cxn modelId="{E50C420B-5942-4727-B57E-9CB9B27A2A75}" type="presParOf" srcId="{8359A224-55FF-4041-ACEE-65F1B028D03E}" destId="{9A3DBBBF-B579-4C4A-BDDC-D4C76E9806EF}" srcOrd="0" destOrd="0" presId="urn:microsoft.com/office/officeart/2009/3/layout/HorizontalOrganizationChart"/>
    <dgm:cxn modelId="{13FCDB25-6FFF-4E43-BD68-B5836EB4D2C3}" type="presParOf" srcId="{9A3DBBBF-B579-4C4A-BDDC-D4C76E9806EF}" destId="{2DBADB20-A13F-43F1-8BCC-F7DABD43D166}" srcOrd="0" destOrd="0" presId="urn:microsoft.com/office/officeart/2009/3/layout/HorizontalOrganizationChart"/>
    <dgm:cxn modelId="{336DF85A-3781-4306-968E-B145DD71AA98}" type="presParOf" srcId="{9A3DBBBF-B579-4C4A-BDDC-D4C76E9806EF}" destId="{67BFD374-A805-456A-8E34-3AEAF998A4F4}" srcOrd="1" destOrd="0" presId="urn:microsoft.com/office/officeart/2009/3/layout/HorizontalOrganizationChart"/>
    <dgm:cxn modelId="{B2361C72-2DF5-4448-99E6-4837FB332AE8}" type="presParOf" srcId="{8359A224-55FF-4041-ACEE-65F1B028D03E}" destId="{ADA31AE0-24A7-4296-85BD-2B35CA1495DC}" srcOrd="1" destOrd="0" presId="urn:microsoft.com/office/officeart/2009/3/layout/HorizontalOrganizationChart"/>
    <dgm:cxn modelId="{5CB6448C-1035-4B86-BBAF-F2175E8BD6B6}" type="presParOf" srcId="{8359A224-55FF-4041-ACEE-65F1B028D03E}" destId="{1C04F8E8-816B-4F2F-97EA-2007C0D3F924}" srcOrd="2" destOrd="0" presId="urn:microsoft.com/office/officeart/2009/3/layout/HorizontalOrganizationChart"/>
    <dgm:cxn modelId="{D9B260BD-41B8-42C3-8FEF-BE4E5619A672}" type="presParOf" srcId="{97BC87F0-47D5-47E5-B259-4B0B6C53FF21}" destId="{AFA6A5CC-BB47-4287-857C-A3DBCC24D3DF}" srcOrd="2" destOrd="0" presId="urn:microsoft.com/office/officeart/2009/3/layout/HorizontalOrganizationChart"/>
    <dgm:cxn modelId="{B0202571-A6D9-439D-9493-9D08BE2943C8}" type="presParOf" srcId="{F6338562-181B-4372-AC3F-8971BA7B70AA}" destId="{915D6218-021F-4C19-A6B5-E4DC379E4882}" srcOrd="2" destOrd="0" presId="urn:microsoft.com/office/officeart/2009/3/layout/HorizontalOrganizationChart"/>
    <dgm:cxn modelId="{BE65A4B8-D31E-4ADD-A6CE-648AE2CF5950}" type="presParOf" srcId="{4F3F128F-C41D-4D31-B7DD-E5179444F8ED}" destId="{EBB75EC4-BEC2-498C-A11D-E879699D0110}" srcOrd="2" destOrd="0" presId="urn:microsoft.com/office/officeart/2009/3/layout/HorizontalOrganizationChart"/>
    <dgm:cxn modelId="{2C2EB26F-F734-4567-BA0E-DA75E3C5ACEB}" type="presParOf" srcId="{9B6F3C42-F143-4BBF-8072-B93D05AB08C8}" destId="{0169FCA6-8313-44CD-AF0A-216A2880DA38}" srcOrd="2" destOrd="0" presId="urn:microsoft.com/office/officeart/2009/3/layout/HorizontalOrganizationChart"/>
    <dgm:cxn modelId="{F55EE9FF-027D-43A0-BBC1-7A1AF4291032}" type="presParOf" srcId="{0169FCA6-8313-44CD-AF0A-216A2880DA38}" destId="{D6096DB2-71F3-4768-AAE3-98BB6FBBC63D}" srcOrd="0" destOrd="0" presId="urn:microsoft.com/office/officeart/2009/3/layout/HorizontalOrganizationChart"/>
    <dgm:cxn modelId="{0412C445-22AB-41A8-B7E3-6497717E4EE0}" type="presParOf" srcId="{0169FCA6-8313-44CD-AF0A-216A2880DA38}" destId="{37F08256-43B0-4442-A1BA-8F349BB16DD6}" srcOrd="1" destOrd="0" presId="urn:microsoft.com/office/officeart/2009/3/layout/HorizontalOrganizationChart"/>
    <dgm:cxn modelId="{12E90F0A-2B09-44E0-BFE4-754912A3815C}" type="presParOf" srcId="{37F08256-43B0-4442-A1BA-8F349BB16DD6}" destId="{AFD742FA-17EC-40EE-80A4-1C4489EB7E0B}" srcOrd="0" destOrd="0" presId="urn:microsoft.com/office/officeart/2009/3/layout/HorizontalOrganizationChart"/>
    <dgm:cxn modelId="{86C40CF0-3371-4C66-9DC3-03F444529359}" type="presParOf" srcId="{AFD742FA-17EC-40EE-80A4-1C4489EB7E0B}" destId="{FB0E9335-4ED8-4D2E-80A3-AD14BB6BBEA0}" srcOrd="0" destOrd="0" presId="urn:microsoft.com/office/officeart/2009/3/layout/HorizontalOrganizationChart"/>
    <dgm:cxn modelId="{B279E35A-11F7-4CEE-979A-06A2D60ECAA9}" type="presParOf" srcId="{AFD742FA-17EC-40EE-80A4-1C4489EB7E0B}" destId="{15FF640F-7B02-48E7-9685-0B2794E9C384}" srcOrd="1" destOrd="0" presId="urn:microsoft.com/office/officeart/2009/3/layout/HorizontalOrganizationChart"/>
    <dgm:cxn modelId="{5EC2A00F-224D-4733-A4A7-EE616DA11B8E}" type="presParOf" srcId="{37F08256-43B0-4442-A1BA-8F349BB16DD6}" destId="{FCAF2BED-F80F-4A3A-BAC1-B00E260B0376}" srcOrd="1" destOrd="0" presId="urn:microsoft.com/office/officeart/2009/3/layout/HorizontalOrganizationChart"/>
    <dgm:cxn modelId="{F1CB3954-C46E-4EC2-9A50-DD3180E0D5F8}" type="presParOf" srcId="{37F08256-43B0-4442-A1BA-8F349BB16DD6}" destId="{88025335-D86E-4711-82A5-15BA5B7E9691}" srcOrd="2" destOrd="0" presId="urn:microsoft.com/office/officeart/2009/3/layout/HorizontalOrganizationChart"/>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3520257-CE03-44E7-A776-B1E6ABD71E85}"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BBD2F161-AB21-423F-98DA-90B550E78BA9}">
      <dgm:prSet phldrT="[Text]" custT="1"/>
      <dgm:spPr/>
      <dgm:t>
        <a:bodyPr/>
        <a:lstStyle/>
        <a:p>
          <a:r>
            <a:rPr lang="en-US" sz="800" b="1">
              <a:latin typeface="Times New Roman" panose="02020603050405020304" pitchFamily="18" charset="0"/>
              <a:cs typeface="Times New Roman" panose="02020603050405020304" pitchFamily="18" charset="0"/>
            </a:rPr>
            <a:t>History of Acute Coronary Syndrome or Chronic coronary disease</a:t>
          </a:r>
        </a:p>
      </dgm:t>
    </dgm:pt>
    <dgm:pt modelId="{295FDDAA-B223-4128-9B15-EB20D4680FD6}" type="parTrans" cxnId="{3E333790-461F-435F-B433-4DD7574CB479}">
      <dgm:prSet/>
      <dgm:spPr/>
      <dgm:t>
        <a:bodyPr/>
        <a:lstStyle/>
        <a:p>
          <a:endParaRPr lang="en-US" sz="2800">
            <a:latin typeface="Times New Roman" panose="02020603050405020304" pitchFamily="18" charset="0"/>
            <a:cs typeface="Times New Roman" panose="02020603050405020304" pitchFamily="18" charset="0"/>
          </a:endParaRPr>
        </a:p>
      </dgm:t>
    </dgm:pt>
    <dgm:pt modelId="{075A575C-0394-46B2-8E10-949662B08775}" type="sibTrans" cxnId="{3E333790-461F-435F-B433-4DD7574CB479}">
      <dgm:prSet/>
      <dgm:spPr/>
      <dgm:t>
        <a:bodyPr/>
        <a:lstStyle/>
        <a:p>
          <a:endParaRPr lang="en-US" sz="2800">
            <a:latin typeface="Times New Roman" panose="02020603050405020304" pitchFamily="18" charset="0"/>
            <a:cs typeface="Times New Roman" panose="02020603050405020304" pitchFamily="18" charset="0"/>
          </a:endParaRPr>
        </a:p>
      </dgm:t>
    </dgm:pt>
    <dgm:pt modelId="{D82211F4-CA94-47C7-B823-C96136A42D05}">
      <dgm:prSet phldrT="[Text]" custT="1"/>
      <dgm:spPr/>
      <dgm:t>
        <a:bodyPr/>
        <a:lstStyle/>
        <a:p>
          <a:pPr>
            <a:buNone/>
          </a:pPr>
          <a:r>
            <a:rPr lang="en-US" sz="800" b="1">
              <a:solidFill>
                <a:srgbClr val="EE0000"/>
              </a:solidFill>
              <a:latin typeface="Times New Roman" panose="02020603050405020304" pitchFamily="18" charset="0"/>
              <a:cs typeface="Times New Roman" panose="02020603050405020304" pitchFamily="18" charset="0"/>
            </a:rPr>
            <a:t>Recent ACS </a:t>
          </a:r>
        </a:p>
        <a:p>
          <a:pPr>
            <a:buNone/>
          </a:pPr>
          <a:r>
            <a:rPr lang="en-US" sz="800" b="0">
              <a:latin typeface="Times New Roman" panose="02020603050405020304" pitchFamily="18" charset="0"/>
              <a:cs typeface="Times New Roman" panose="02020603050405020304" pitchFamily="18" charset="0"/>
            </a:rPr>
            <a:t>(0-12 months after ACS +/- PCI) [2-4]</a:t>
          </a:r>
        </a:p>
      </dgm:t>
    </dgm:pt>
    <dgm:pt modelId="{B432F8BC-FD86-434B-ABCB-8EF3BD79F46B}" type="parTrans" cxnId="{08EC5D6A-24E6-448F-9BE3-61D7BC8A55C9}">
      <dgm:prSet/>
      <dgm:spPr/>
      <dgm:t>
        <a:bodyPr/>
        <a:lstStyle/>
        <a:p>
          <a:endParaRPr lang="en-US" sz="2800">
            <a:latin typeface="Times New Roman" panose="02020603050405020304" pitchFamily="18" charset="0"/>
            <a:cs typeface="Times New Roman" panose="02020603050405020304" pitchFamily="18" charset="0"/>
          </a:endParaRPr>
        </a:p>
      </dgm:t>
    </dgm:pt>
    <dgm:pt modelId="{DA8B2ED9-940B-4777-A36E-9BA845099D12}" type="sibTrans" cxnId="{08EC5D6A-24E6-448F-9BE3-61D7BC8A55C9}">
      <dgm:prSet/>
      <dgm:spPr/>
      <dgm:t>
        <a:bodyPr/>
        <a:lstStyle/>
        <a:p>
          <a:endParaRPr lang="en-US" sz="2800">
            <a:latin typeface="Times New Roman" panose="02020603050405020304" pitchFamily="18" charset="0"/>
            <a:cs typeface="Times New Roman" panose="02020603050405020304" pitchFamily="18" charset="0"/>
          </a:endParaRPr>
        </a:p>
      </dgm:t>
    </dgm:pt>
    <dgm:pt modelId="{598CD3FE-A6B0-4361-B76C-26D8821C6211}">
      <dgm:prSet phldrT="[Text]" custT="1"/>
      <dgm:spPr/>
      <dgm:t>
        <a:bodyPr/>
        <a:lstStyle/>
        <a:p>
          <a:pPr>
            <a:buFont typeface="Symbol" panose="05050102010706020507" pitchFamily="18" charset="2"/>
            <a:buChar char=""/>
          </a:pPr>
          <a:r>
            <a:rPr lang="en-US" sz="800" b="1" i="1">
              <a:latin typeface="Times New Roman" panose="02020603050405020304" pitchFamily="18" charset="0"/>
              <a:cs typeface="Times New Roman" panose="02020603050405020304" pitchFamily="18" charset="0"/>
            </a:rPr>
            <a:t>Up to 1 month post ACS</a:t>
          </a:r>
          <a:r>
            <a:rPr lang="en-US" sz="800">
              <a:latin typeface="Times New Roman" panose="02020603050405020304" pitchFamily="18" charset="0"/>
              <a:cs typeface="Times New Roman" panose="02020603050405020304" pitchFamily="18" charset="0"/>
            </a:rPr>
            <a:t>: AC + P2Y12i + ASA continued until time of discharge from hospital or a few days longer, generally up to 1 week; use for up to 30 days is reasonable if patient is at high thrombotic risk and low bleeding risk </a:t>
          </a:r>
          <a:endParaRPr lang="en-US" sz="800" b="0">
            <a:latin typeface="Times New Roman" panose="02020603050405020304" pitchFamily="18" charset="0"/>
            <a:cs typeface="Times New Roman" panose="02020603050405020304" pitchFamily="18" charset="0"/>
          </a:endParaRPr>
        </a:p>
      </dgm:t>
    </dgm:pt>
    <dgm:pt modelId="{806174CF-5572-46EA-8A99-48A4D2D6BAE6}" type="parTrans" cxnId="{18985FA4-3A75-4033-B4A5-133ADFD6DB6D}">
      <dgm:prSet/>
      <dgm:spPr/>
      <dgm:t>
        <a:bodyPr/>
        <a:lstStyle/>
        <a:p>
          <a:endParaRPr lang="en-US" sz="2800">
            <a:latin typeface="Times New Roman" panose="02020603050405020304" pitchFamily="18" charset="0"/>
            <a:cs typeface="Times New Roman" panose="02020603050405020304" pitchFamily="18" charset="0"/>
          </a:endParaRPr>
        </a:p>
      </dgm:t>
    </dgm:pt>
    <dgm:pt modelId="{A065EE83-2D0C-4636-BBF8-1244E05B6D28}" type="sibTrans" cxnId="{18985FA4-3A75-4033-B4A5-133ADFD6DB6D}">
      <dgm:prSet/>
      <dgm:spPr/>
      <dgm:t>
        <a:bodyPr/>
        <a:lstStyle/>
        <a:p>
          <a:endParaRPr lang="en-US" sz="2800">
            <a:latin typeface="Times New Roman" panose="02020603050405020304" pitchFamily="18" charset="0"/>
            <a:cs typeface="Times New Roman" panose="02020603050405020304" pitchFamily="18" charset="0"/>
          </a:endParaRPr>
        </a:p>
      </dgm:t>
    </dgm:pt>
    <dgm:pt modelId="{7E04AB59-1BE8-4E34-845F-79E991331520}">
      <dgm:prSet phldrT="[Text]" custT="1"/>
      <dgm:spPr/>
      <dgm:t>
        <a:bodyPr/>
        <a:lstStyle/>
        <a:p>
          <a:pPr>
            <a:buFont typeface="Symbol" panose="05050102010706020507" pitchFamily="18" charset="2"/>
            <a:buChar char=""/>
          </a:pPr>
          <a:r>
            <a:rPr lang="en-US" sz="800" b="1" i="1">
              <a:latin typeface="Times New Roman" panose="02020603050405020304" pitchFamily="18" charset="0"/>
              <a:cs typeface="Times New Roman" panose="02020603050405020304" pitchFamily="18" charset="0"/>
            </a:rPr>
            <a:t>For 12 months post ACS</a:t>
          </a:r>
          <a:r>
            <a:rPr lang="en-US" sz="800">
              <a:latin typeface="Times New Roman" panose="02020603050405020304" pitchFamily="18" charset="0"/>
              <a:cs typeface="Times New Roman" panose="02020603050405020304" pitchFamily="18" charset="0"/>
            </a:rPr>
            <a:t>: AC + P2Y12i. If bleeding risk is high, discontinuation of P2Y12i at 6 months may be reasonable after weighing relative risks of stent thrombosis vs bleeding risk </a:t>
          </a:r>
          <a:endParaRPr lang="en-US" sz="800" b="0">
            <a:latin typeface="Times New Roman" panose="02020603050405020304" pitchFamily="18" charset="0"/>
            <a:cs typeface="Times New Roman" panose="02020603050405020304" pitchFamily="18" charset="0"/>
          </a:endParaRPr>
        </a:p>
      </dgm:t>
    </dgm:pt>
    <dgm:pt modelId="{3537A154-A71B-466C-9808-06675E41ABC3}" type="parTrans" cxnId="{00AE7110-E36E-4299-B3FC-39086AC83EF6}">
      <dgm:prSet/>
      <dgm:spPr/>
      <dgm:t>
        <a:bodyPr/>
        <a:lstStyle/>
        <a:p>
          <a:endParaRPr lang="en-US" sz="2800">
            <a:latin typeface="Times New Roman" panose="02020603050405020304" pitchFamily="18" charset="0"/>
            <a:cs typeface="Times New Roman" panose="02020603050405020304" pitchFamily="18" charset="0"/>
          </a:endParaRPr>
        </a:p>
      </dgm:t>
    </dgm:pt>
    <dgm:pt modelId="{BDCDEFFE-87B6-4356-AFE8-58DE54101365}" type="sibTrans" cxnId="{00AE7110-E36E-4299-B3FC-39086AC83EF6}">
      <dgm:prSet/>
      <dgm:spPr/>
      <dgm:t>
        <a:bodyPr/>
        <a:lstStyle/>
        <a:p>
          <a:endParaRPr lang="en-US" sz="2800">
            <a:latin typeface="Times New Roman" panose="02020603050405020304" pitchFamily="18" charset="0"/>
            <a:cs typeface="Times New Roman" panose="02020603050405020304" pitchFamily="18" charset="0"/>
          </a:endParaRPr>
        </a:p>
      </dgm:t>
    </dgm:pt>
    <dgm:pt modelId="{1C241A62-7022-47E2-8D87-67596B886F61}">
      <dgm:prSet phldrT="[Text]" custT="1"/>
      <dgm:spPr/>
      <dgm:t>
        <a:bodyPr/>
        <a:lstStyle/>
        <a:p>
          <a:pPr>
            <a:buNone/>
          </a:pPr>
          <a:r>
            <a:rPr lang="en-US" sz="800" b="1" i="1">
              <a:latin typeface="Times New Roman" panose="02020603050405020304" pitchFamily="18" charset="0"/>
              <a:cs typeface="Times New Roman" panose="02020603050405020304" pitchFamily="18" charset="0"/>
            </a:rPr>
            <a:t>&gt; 12 months post ACS</a:t>
          </a:r>
          <a:r>
            <a:rPr lang="en-US" sz="800">
              <a:latin typeface="Times New Roman" panose="02020603050405020304" pitchFamily="18" charset="0"/>
              <a:cs typeface="Times New Roman" panose="02020603050405020304" pitchFamily="18" charset="0"/>
            </a:rPr>
            <a:t>: AC monotherapy. If thrombotic/ischemic risk is high and bleeding risk is low, continuation of AC + SAPT beyond 12 months may be reasonable in select patients</a:t>
          </a:r>
          <a:endParaRPr lang="en-US" sz="800" b="0">
            <a:latin typeface="Times New Roman" panose="02020603050405020304" pitchFamily="18" charset="0"/>
            <a:cs typeface="Times New Roman" panose="02020603050405020304" pitchFamily="18" charset="0"/>
          </a:endParaRPr>
        </a:p>
      </dgm:t>
    </dgm:pt>
    <dgm:pt modelId="{22A164AC-F055-4EE5-B803-7BB51484D682}" type="parTrans" cxnId="{8C301B18-DBAE-4200-B7C5-D5E05EEC9B47}">
      <dgm:prSet/>
      <dgm:spPr/>
      <dgm:t>
        <a:bodyPr/>
        <a:lstStyle/>
        <a:p>
          <a:endParaRPr lang="en-US" sz="2800">
            <a:latin typeface="Times New Roman" panose="02020603050405020304" pitchFamily="18" charset="0"/>
            <a:cs typeface="Times New Roman" panose="02020603050405020304" pitchFamily="18" charset="0"/>
          </a:endParaRPr>
        </a:p>
      </dgm:t>
    </dgm:pt>
    <dgm:pt modelId="{F5198B1D-ABE4-405C-9D59-17E906E2764F}" type="sibTrans" cxnId="{8C301B18-DBAE-4200-B7C5-D5E05EEC9B47}">
      <dgm:prSet/>
      <dgm:spPr/>
      <dgm:t>
        <a:bodyPr/>
        <a:lstStyle/>
        <a:p>
          <a:endParaRPr lang="en-US" sz="2800">
            <a:latin typeface="Times New Roman" panose="02020603050405020304" pitchFamily="18" charset="0"/>
            <a:cs typeface="Times New Roman" panose="02020603050405020304" pitchFamily="18" charset="0"/>
          </a:endParaRPr>
        </a:p>
      </dgm:t>
    </dgm:pt>
    <dgm:pt modelId="{503E739A-673F-4C5E-ACF1-4E21065AC9DE}">
      <dgm:prSet phldrT="[Text]" custT="1"/>
      <dgm:spPr/>
      <dgm:t>
        <a:bodyPr/>
        <a:lstStyle/>
        <a:p>
          <a:pPr>
            <a:buNone/>
          </a:pPr>
          <a:r>
            <a:rPr lang="en-US" sz="800" b="1">
              <a:solidFill>
                <a:srgbClr val="EE0000"/>
              </a:solidFill>
              <a:latin typeface="Times New Roman" panose="02020603050405020304" pitchFamily="18" charset="0"/>
              <a:cs typeface="Times New Roman" panose="02020603050405020304" pitchFamily="18" charset="0"/>
            </a:rPr>
            <a:t>Recent Elective PCI </a:t>
          </a:r>
        </a:p>
        <a:p>
          <a:pPr>
            <a:buNone/>
          </a:pPr>
          <a:r>
            <a:rPr lang="en-US" sz="800" b="0">
              <a:latin typeface="Times New Roman" panose="02020603050405020304" pitchFamily="18" charset="0"/>
              <a:cs typeface="Times New Roman" panose="02020603050405020304" pitchFamily="18" charset="0"/>
            </a:rPr>
            <a:t>(0-12 months after stent placement) [2]</a:t>
          </a:r>
          <a:endParaRPr lang="en-US" sz="800" b="0" baseline="30000">
            <a:latin typeface="Times New Roman" panose="02020603050405020304" pitchFamily="18" charset="0"/>
            <a:cs typeface="Times New Roman" panose="02020603050405020304" pitchFamily="18" charset="0"/>
          </a:endParaRPr>
        </a:p>
      </dgm:t>
    </dgm:pt>
    <dgm:pt modelId="{C475004C-04D5-47BD-BF9C-504BDB9392A7}" type="parTrans" cxnId="{93535702-DA21-4F49-B09E-59EC3A281DBC}">
      <dgm:prSet/>
      <dgm:spPr/>
      <dgm:t>
        <a:bodyPr/>
        <a:lstStyle/>
        <a:p>
          <a:endParaRPr lang="en-US" sz="2800">
            <a:latin typeface="Times New Roman" panose="02020603050405020304" pitchFamily="18" charset="0"/>
            <a:cs typeface="Times New Roman" panose="02020603050405020304" pitchFamily="18" charset="0"/>
          </a:endParaRPr>
        </a:p>
      </dgm:t>
    </dgm:pt>
    <dgm:pt modelId="{DAFF89CD-DDDD-444F-BB66-F47CFE06895D}" type="sibTrans" cxnId="{93535702-DA21-4F49-B09E-59EC3A281DBC}">
      <dgm:prSet/>
      <dgm:spPr/>
      <dgm:t>
        <a:bodyPr/>
        <a:lstStyle/>
        <a:p>
          <a:endParaRPr lang="en-US" sz="2800">
            <a:latin typeface="Times New Roman" panose="02020603050405020304" pitchFamily="18" charset="0"/>
            <a:cs typeface="Times New Roman" panose="02020603050405020304" pitchFamily="18" charset="0"/>
          </a:endParaRPr>
        </a:p>
      </dgm:t>
    </dgm:pt>
    <dgm:pt modelId="{D549579B-5C2F-4921-84B4-EFAA84005C98}">
      <dgm:prSet phldrT="[Text]" custT="1"/>
      <dgm:spPr/>
      <dgm:t>
        <a:bodyPr/>
        <a:lstStyle/>
        <a:p>
          <a:pPr>
            <a:buFont typeface="Symbol" panose="05050102010706020507" pitchFamily="18" charset="2"/>
            <a:buChar char=""/>
          </a:pPr>
          <a:r>
            <a:rPr lang="en-US" sz="800" b="1" i="1">
              <a:latin typeface="Times New Roman" panose="02020603050405020304" pitchFamily="18" charset="0"/>
              <a:cs typeface="Times New Roman" panose="02020603050405020304" pitchFamily="18" charset="0"/>
            </a:rPr>
            <a:t>Up to 1 month post PCI</a:t>
          </a:r>
          <a:r>
            <a:rPr lang="en-US" sz="800">
              <a:latin typeface="Times New Roman" panose="02020603050405020304" pitchFamily="18" charset="0"/>
              <a:cs typeface="Times New Roman" panose="02020603050405020304" pitchFamily="18" charset="0"/>
            </a:rPr>
            <a:t>: AC + P2Y12i + ASA continued until time of discharge from hospital or a few days longer, generally up to 1 week; use for up to 30 days is reasonable if patient is at high thrombotic risk and low bleeding risk </a:t>
          </a:r>
          <a:endParaRPr lang="en-US" sz="800" b="0">
            <a:latin typeface="Times New Roman" panose="02020603050405020304" pitchFamily="18" charset="0"/>
            <a:cs typeface="Times New Roman" panose="02020603050405020304" pitchFamily="18" charset="0"/>
          </a:endParaRPr>
        </a:p>
      </dgm:t>
    </dgm:pt>
    <dgm:pt modelId="{9F8706DE-3368-44FD-9CC5-5A791029E1AF}" type="parTrans" cxnId="{E073BAEF-FBF6-432A-9DEE-B1CBB04AC56A}">
      <dgm:prSet/>
      <dgm:spPr/>
      <dgm:t>
        <a:bodyPr/>
        <a:lstStyle/>
        <a:p>
          <a:endParaRPr lang="en-US" sz="2800">
            <a:latin typeface="Times New Roman" panose="02020603050405020304" pitchFamily="18" charset="0"/>
            <a:cs typeface="Times New Roman" panose="02020603050405020304" pitchFamily="18" charset="0"/>
          </a:endParaRPr>
        </a:p>
      </dgm:t>
    </dgm:pt>
    <dgm:pt modelId="{4BACAC65-51E3-4E3C-9E62-33287722C1DC}" type="sibTrans" cxnId="{E073BAEF-FBF6-432A-9DEE-B1CBB04AC56A}">
      <dgm:prSet/>
      <dgm:spPr/>
      <dgm:t>
        <a:bodyPr/>
        <a:lstStyle/>
        <a:p>
          <a:endParaRPr lang="en-US" sz="2800">
            <a:latin typeface="Times New Roman" panose="02020603050405020304" pitchFamily="18" charset="0"/>
            <a:cs typeface="Times New Roman" panose="02020603050405020304" pitchFamily="18" charset="0"/>
          </a:endParaRPr>
        </a:p>
      </dgm:t>
    </dgm:pt>
    <dgm:pt modelId="{DC52F6E5-A1DC-40FD-BD85-597FA78869F6}">
      <dgm:prSet phldrT="[Text]" custT="1"/>
      <dgm:spPr/>
      <dgm:t>
        <a:bodyPr/>
        <a:lstStyle/>
        <a:p>
          <a:pPr>
            <a:buFont typeface="Symbol" panose="05050102010706020507" pitchFamily="18" charset="2"/>
            <a:buChar char=""/>
          </a:pPr>
          <a:r>
            <a:rPr lang="en-US" sz="800" b="1" i="1">
              <a:latin typeface="Times New Roman" panose="02020603050405020304" pitchFamily="18" charset="0"/>
              <a:cs typeface="Times New Roman" panose="02020603050405020304" pitchFamily="18" charset="0"/>
            </a:rPr>
            <a:t>For 6 months (1 month if BMS) post PCI</a:t>
          </a:r>
          <a:r>
            <a:rPr lang="en-US" sz="800">
              <a:latin typeface="Times New Roman" panose="02020603050405020304" pitchFamily="18" charset="0"/>
              <a:cs typeface="Times New Roman" panose="02020603050405020304" pitchFamily="18" charset="0"/>
            </a:rPr>
            <a:t>: AC + P2Y12i. If bleeding risk is high, discontinuation of P2Y12i at 3 months may be reasonable after weighing relative risks of stent thrombosis vs bleeding risk</a:t>
          </a:r>
          <a:endParaRPr lang="en-US" sz="800" b="0">
            <a:latin typeface="Times New Roman" panose="02020603050405020304" pitchFamily="18" charset="0"/>
            <a:cs typeface="Times New Roman" panose="02020603050405020304" pitchFamily="18" charset="0"/>
          </a:endParaRPr>
        </a:p>
      </dgm:t>
    </dgm:pt>
    <dgm:pt modelId="{C83182EE-4AAC-43B4-A47D-27E3193C28E1}" type="parTrans" cxnId="{8A00F8DB-1D6E-4D77-98FA-CF742CC0B4F4}">
      <dgm:prSet/>
      <dgm:spPr/>
      <dgm:t>
        <a:bodyPr/>
        <a:lstStyle/>
        <a:p>
          <a:endParaRPr lang="en-US" sz="2800">
            <a:latin typeface="Times New Roman" panose="02020603050405020304" pitchFamily="18" charset="0"/>
            <a:cs typeface="Times New Roman" panose="02020603050405020304" pitchFamily="18" charset="0"/>
          </a:endParaRPr>
        </a:p>
      </dgm:t>
    </dgm:pt>
    <dgm:pt modelId="{3A833C8E-992D-4B3A-8EEA-5CF3655F3D63}" type="sibTrans" cxnId="{8A00F8DB-1D6E-4D77-98FA-CF742CC0B4F4}">
      <dgm:prSet/>
      <dgm:spPr/>
      <dgm:t>
        <a:bodyPr/>
        <a:lstStyle/>
        <a:p>
          <a:endParaRPr lang="en-US" sz="2800">
            <a:latin typeface="Times New Roman" panose="02020603050405020304" pitchFamily="18" charset="0"/>
            <a:cs typeface="Times New Roman" panose="02020603050405020304" pitchFamily="18" charset="0"/>
          </a:endParaRPr>
        </a:p>
      </dgm:t>
    </dgm:pt>
    <dgm:pt modelId="{4600BFDE-FEB5-447E-9F99-30F3EF224F4B}">
      <dgm:prSet phldrT="[Text]" custT="1"/>
      <dgm:spPr/>
      <dgm:t>
        <a:bodyPr/>
        <a:lstStyle/>
        <a:p>
          <a:pPr>
            <a:buFont typeface="Symbol" panose="05050102010706020507" pitchFamily="18" charset="2"/>
            <a:buChar char=""/>
          </a:pPr>
          <a:r>
            <a:rPr lang="en-US" sz="800" b="1" i="1">
              <a:latin typeface="Times New Roman" panose="02020603050405020304" pitchFamily="18" charset="0"/>
              <a:cs typeface="Times New Roman" panose="02020603050405020304" pitchFamily="18" charset="0"/>
            </a:rPr>
            <a:t>For 6 (1 if BMS) to 12 months post PCI</a:t>
          </a:r>
          <a:r>
            <a:rPr lang="en-US" sz="800">
              <a:latin typeface="Times New Roman" panose="02020603050405020304" pitchFamily="18" charset="0"/>
              <a:cs typeface="Times New Roman" panose="02020603050405020304" pitchFamily="18" charset="0"/>
            </a:rPr>
            <a:t>: AC + SAPT (P2Y12i or ASA) </a:t>
          </a:r>
          <a:endParaRPr lang="en-US" sz="800" b="0">
            <a:latin typeface="Times New Roman" panose="02020603050405020304" pitchFamily="18" charset="0"/>
            <a:cs typeface="Times New Roman" panose="02020603050405020304" pitchFamily="18" charset="0"/>
          </a:endParaRPr>
        </a:p>
      </dgm:t>
    </dgm:pt>
    <dgm:pt modelId="{D29D5D44-FB4C-41EE-A342-F7A87141EF86}" type="parTrans" cxnId="{BF96DE6A-DAAC-4F66-A204-B41BC0E75D25}">
      <dgm:prSet/>
      <dgm:spPr/>
      <dgm:t>
        <a:bodyPr/>
        <a:lstStyle/>
        <a:p>
          <a:endParaRPr lang="en-US" sz="2800">
            <a:latin typeface="Times New Roman" panose="02020603050405020304" pitchFamily="18" charset="0"/>
            <a:cs typeface="Times New Roman" panose="02020603050405020304" pitchFamily="18" charset="0"/>
          </a:endParaRPr>
        </a:p>
      </dgm:t>
    </dgm:pt>
    <dgm:pt modelId="{C3FEBFAB-DC37-4FCC-9B18-74D001EABD1B}" type="sibTrans" cxnId="{BF96DE6A-DAAC-4F66-A204-B41BC0E75D25}">
      <dgm:prSet/>
      <dgm:spPr/>
      <dgm:t>
        <a:bodyPr/>
        <a:lstStyle/>
        <a:p>
          <a:endParaRPr lang="en-US" sz="2800">
            <a:latin typeface="Times New Roman" panose="02020603050405020304" pitchFamily="18" charset="0"/>
            <a:cs typeface="Times New Roman" panose="02020603050405020304" pitchFamily="18" charset="0"/>
          </a:endParaRPr>
        </a:p>
      </dgm:t>
    </dgm:pt>
    <dgm:pt modelId="{11AB7D42-FA24-4751-A4A4-4EDC370F374D}">
      <dgm:prSet phldrT="[Text]" custT="1"/>
      <dgm:spPr/>
      <dgm:t>
        <a:bodyPr/>
        <a:lstStyle/>
        <a:p>
          <a:pPr>
            <a:buNone/>
          </a:pPr>
          <a:r>
            <a:rPr lang="en-US" sz="800" b="1" i="1">
              <a:latin typeface="Times New Roman" panose="02020603050405020304" pitchFamily="18" charset="0"/>
              <a:cs typeface="Times New Roman" panose="02020603050405020304" pitchFamily="18" charset="0"/>
            </a:rPr>
            <a:t>12 months post PCI</a:t>
          </a:r>
          <a:r>
            <a:rPr lang="en-US" sz="800">
              <a:latin typeface="Times New Roman" panose="02020603050405020304" pitchFamily="18" charset="0"/>
              <a:cs typeface="Times New Roman" panose="02020603050405020304" pitchFamily="18" charset="0"/>
            </a:rPr>
            <a:t>: AC monotherapy. If thrombotic/ischemic risk is high and bleeding risk is low, continuation of AC + SAPT beyond 12 months may be reasonable in select patients</a:t>
          </a:r>
          <a:endParaRPr lang="en-US" sz="800" b="0">
            <a:latin typeface="Times New Roman" panose="02020603050405020304" pitchFamily="18" charset="0"/>
            <a:cs typeface="Times New Roman" panose="02020603050405020304" pitchFamily="18" charset="0"/>
          </a:endParaRPr>
        </a:p>
      </dgm:t>
    </dgm:pt>
    <dgm:pt modelId="{6E5D7D77-C447-4C47-A039-F1D924C83E20}" type="parTrans" cxnId="{993AEB27-C343-4395-A234-9560E16F6853}">
      <dgm:prSet/>
      <dgm:spPr/>
      <dgm:t>
        <a:bodyPr/>
        <a:lstStyle/>
        <a:p>
          <a:endParaRPr lang="en-US" sz="2800">
            <a:latin typeface="Times New Roman" panose="02020603050405020304" pitchFamily="18" charset="0"/>
            <a:cs typeface="Times New Roman" panose="02020603050405020304" pitchFamily="18" charset="0"/>
          </a:endParaRPr>
        </a:p>
      </dgm:t>
    </dgm:pt>
    <dgm:pt modelId="{AD12C515-CC43-4E7F-B9F2-3388E19D46B9}" type="sibTrans" cxnId="{993AEB27-C343-4395-A234-9560E16F6853}">
      <dgm:prSet/>
      <dgm:spPr/>
      <dgm:t>
        <a:bodyPr/>
        <a:lstStyle/>
        <a:p>
          <a:endParaRPr lang="en-US" sz="2800">
            <a:latin typeface="Times New Roman" panose="02020603050405020304" pitchFamily="18" charset="0"/>
            <a:cs typeface="Times New Roman" panose="02020603050405020304" pitchFamily="18" charset="0"/>
          </a:endParaRPr>
        </a:p>
      </dgm:t>
    </dgm:pt>
    <dgm:pt modelId="{B1F08E33-61B4-4AF0-A594-F045D8BAF351}">
      <dgm:prSet phldrT="[Text]" custT="1"/>
      <dgm:spPr/>
      <dgm:t>
        <a:bodyPr/>
        <a:lstStyle/>
        <a:p>
          <a:pPr>
            <a:buNone/>
          </a:pPr>
          <a:r>
            <a:rPr lang="en-US" sz="800" b="1">
              <a:solidFill>
                <a:srgbClr val="EE0000"/>
              </a:solidFill>
              <a:latin typeface="Times New Roman" panose="02020603050405020304" pitchFamily="18" charset="0"/>
              <a:cs typeface="Times New Roman" panose="02020603050405020304" pitchFamily="18" charset="0"/>
            </a:rPr>
            <a:t>CCD</a:t>
          </a:r>
          <a:r>
            <a:rPr lang="en-US" sz="800" b="0">
              <a:latin typeface="Times New Roman" panose="02020603050405020304" pitchFamily="18" charset="0"/>
              <a:cs typeface="Times New Roman" panose="02020603050405020304" pitchFamily="18" charset="0"/>
            </a:rPr>
            <a:t> (&gt; 12 months after ACS or PCI or no history of ACS/PCI) [2]</a:t>
          </a:r>
          <a:endParaRPr lang="en-US" sz="800" b="0" baseline="30000">
            <a:latin typeface="Times New Roman" panose="02020603050405020304" pitchFamily="18" charset="0"/>
            <a:cs typeface="Times New Roman" panose="02020603050405020304" pitchFamily="18" charset="0"/>
          </a:endParaRPr>
        </a:p>
      </dgm:t>
    </dgm:pt>
    <dgm:pt modelId="{A13567F8-61D7-49FD-9B6F-AFDDDD367F26}" type="parTrans" cxnId="{39F0A0B6-9E03-46DE-9C64-E6D8FCCCBD9C}">
      <dgm:prSet/>
      <dgm:spPr/>
      <dgm:t>
        <a:bodyPr/>
        <a:lstStyle/>
        <a:p>
          <a:endParaRPr lang="en-US" sz="2800">
            <a:latin typeface="Times New Roman" panose="02020603050405020304" pitchFamily="18" charset="0"/>
            <a:cs typeface="Times New Roman" panose="02020603050405020304" pitchFamily="18" charset="0"/>
          </a:endParaRPr>
        </a:p>
      </dgm:t>
    </dgm:pt>
    <dgm:pt modelId="{8D28C54C-AEE9-45D0-98D1-1DFB4666A46C}" type="sibTrans" cxnId="{39F0A0B6-9E03-46DE-9C64-E6D8FCCCBD9C}">
      <dgm:prSet/>
      <dgm:spPr/>
      <dgm:t>
        <a:bodyPr/>
        <a:lstStyle/>
        <a:p>
          <a:endParaRPr lang="en-US" sz="2800">
            <a:latin typeface="Times New Roman" panose="02020603050405020304" pitchFamily="18" charset="0"/>
            <a:cs typeface="Times New Roman" panose="02020603050405020304" pitchFamily="18" charset="0"/>
          </a:endParaRPr>
        </a:p>
      </dgm:t>
    </dgm:pt>
    <dgm:pt modelId="{2605AAD0-AEA0-4792-8FEF-850E0F2E5832}">
      <dgm:prSet phldrT="[Text]" custT="1"/>
      <dgm:spPr/>
      <dgm:t>
        <a:bodyPr/>
        <a:lstStyle/>
        <a:p>
          <a:pPr>
            <a:buNone/>
          </a:pPr>
          <a:r>
            <a:rPr lang="en-US" sz="800">
              <a:latin typeface="Times New Roman" panose="02020603050405020304" pitchFamily="18" charset="0"/>
              <a:cs typeface="Times New Roman" panose="02020603050405020304" pitchFamily="18" charset="0"/>
            </a:rPr>
            <a:t>AC monotherapy. If thrombotic/ischemic risk is high and bleeding risk is low, continuation of AC + SAPT beyond 12 months post ACS/PCI may be reasonable in select patients</a:t>
          </a:r>
          <a:endParaRPr lang="en-US" sz="800" b="0">
            <a:latin typeface="Times New Roman" panose="02020603050405020304" pitchFamily="18" charset="0"/>
            <a:cs typeface="Times New Roman" panose="02020603050405020304" pitchFamily="18" charset="0"/>
          </a:endParaRPr>
        </a:p>
      </dgm:t>
    </dgm:pt>
    <dgm:pt modelId="{F31EBC88-AEB4-4C29-AADD-04B45385FB4B}" type="parTrans" cxnId="{12E7C00A-7682-464F-9062-46B42705F2E6}">
      <dgm:prSet/>
      <dgm:spPr/>
      <dgm:t>
        <a:bodyPr/>
        <a:lstStyle/>
        <a:p>
          <a:endParaRPr lang="en-US" sz="2800">
            <a:latin typeface="Times New Roman" panose="02020603050405020304" pitchFamily="18" charset="0"/>
            <a:cs typeface="Times New Roman" panose="02020603050405020304" pitchFamily="18" charset="0"/>
          </a:endParaRPr>
        </a:p>
      </dgm:t>
    </dgm:pt>
    <dgm:pt modelId="{74A1AC31-21BD-4BBF-AA15-0EE59CC59F8D}" type="sibTrans" cxnId="{12E7C00A-7682-464F-9062-46B42705F2E6}">
      <dgm:prSet/>
      <dgm:spPr/>
      <dgm:t>
        <a:bodyPr/>
        <a:lstStyle/>
        <a:p>
          <a:endParaRPr lang="en-US" sz="2800">
            <a:latin typeface="Times New Roman" panose="02020603050405020304" pitchFamily="18" charset="0"/>
            <a:cs typeface="Times New Roman" panose="02020603050405020304" pitchFamily="18" charset="0"/>
          </a:endParaRPr>
        </a:p>
      </dgm:t>
    </dgm:pt>
    <dgm:pt modelId="{E74D3B17-8FBB-4784-9797-C28DFBB5E065}">
      <dgm:prSet phldrT="[Text]" custT="1"/>
      <dgm:spPr/>
      <dgm:t>
        <a:bodyPr/>
        <a:lstStyle/>
        <a:p>
          <a:pPr>
            <a:buNone/>
          </a:pPr>
          <a:r>
            <a:rPr lang="en-US" sz="800" b="1">
              <a:solidFill>
                <a:srgbClr val="EE0000"/>
              </a:solidFill>
              <a:latin typeface="Times New Roman" panose="02020603050405020304" pitchFamily="18" charset="0"/>
              <a:cs typeface="Times New Roman" panose="02020603050405020304" pitchFamily="18" charset="0"/>
            </a:rPr>
            <a:t>CCD s/p CABG and no history of ACS </a:t>
          </a:r>
          <a:r>
            <a:rPr lang="en-US" sz="800" b="0">
              <a:solidFill>
                <a:sysClr val="windowText" lastClr="000000"/>
              </a:solidFill>
              <a:latin typeface="Times New Roman" panose="02020603050405020304" pitchFamily="18" charset="0"/>
              <a:cs typeface="Times New Roman" panose="02020603050405020304" pitchFamily="18" charset="0"/>
            </a:rPr>
            <a:t>[2]</a:t>
          </a:r>
        </a:p>
      </dgm:t>
    </dgm:pt>
    <dgm:pt modelId="{6209A154-CEB2-4F0D-9071-FBAE7DC6CAD6}" type="parTrans" cxnId="{32E4AE2C-62B4-43C7-ABBC-4F6C0EE5AF26}">
      <dgm:prSet/>
      <dgm:spPr/>
      <dgm:t>
        <a:bodyPr/>
        <a:lstStyle/>
        <a:p>
          <a:endParaRPr lang="en-US" sz="2800">
            <a:latin typeface="Times New Roman" panose="02020603050405020304" pitchFamily="18" charset="0"/>
            <a:cs typeface="Times New Roman" panose="02020603050405020304" pitchFamily="18" charset="0"/>
          </a:endParaRPr>
        </a:p>
      </dgm:t>
    </dgm:pt>
    <dgm:pt modelId="{A79837AC-24E9-4030-9871-F0E578EB8063}" type="sibTrans" cxnId="{32E4AE2C-62B4-43C7-ABBC-4F6C0EE5AF26}">
      <dgm:prSet/>
      <dgm:spPr/>
      <dgm:t>
        <a:bodyPr/>
        <a:lstStyle/>
        <a:p>
          <a:endParaRPr lang="en-US" sz="2800">
            <a:latin typeface="Times New Roman" panose="02020603050405020304" pitchFamily="18" charset="0"/>
            <a:cs typeface="Times New Roman" panose="02020603050405020304" pitchFamily="18" charset="0"/>
          </a:endParaRPr>
        </a:p>
      </dgm:t>
    </dgm:pt>
    <dgm:pt modelId="{7F6F9176-F941-4101-AF2C-C54E7D569377}">
      <dgm:prSet phldrT="[Text]" custT="1"/>
      <dgm:spPr/>
      <dgm:t>
        <a:bodyPr/>
        <a:lstStyle/>
        <a:p>
          <a:pPr>
            <a:buFont typeface="Symbol" panose="05050102010706020507" pitchFamily="18" charset="2"/>
            <a:buChar char=""/>
          </a:pPr>
          <a:r>
            <a:rPr lang="en-US" sz="800" b="1" i="1">
              <a:latin typeface="Times New Roman" panose="02020603050405020304" pitchFamily="18" charset="0"/>
              <a:cs typeface="Times New Roman" panose="02020603050405020304" pitchFamily="18" charset="0"/>
            </a:rPr>
            <a:t>If &lt;12 months from CABG</a:t>
          </a:r>
          <a:r>
            <a:rPr lang="en-US" sz="800">
              <a:latin typeface="Times New Roman" panose="02020603050405020304" pitchFamily="18" charset="0"/>
              <a:cs typeface="Times New Roman" panose="02020603050405020304" pitchFamily="18" charset="0"/>
            </a:rPr>
            <a:t>: AC + ASA &lt;100mg/day </a:t>
          </a:r>
          <a:endParaRPr lang="en-US" sz="800" b="0">
            <a:latin typeface="Times New Roman" panose="02020603050405020304" pitchFamily="18" charset="0"/>
            <a:cs typeface="Times New Roman" panose="02020603050405020304" pitchFamily="18" charset="0"/>
          </a:endParaRPr>
        </a:p>
      </dgm:t>
    </dgm:pt>
    <dgm:pt modelId="{A422F7D5-831C-42FF-93CB-ECAEBB29EFC2}" type="parTrans" cxnId="{A6F10E14-154D-47DE-95C0-1E81DBD24D66}">
      <dgm:prSet/>
      <dgm:spPr/>
      <dgm:t>
        <a:bodyPr/>
        <a:lstStyle/>
        <a:p>
          <a:endParaRPr lang="en-US" sz="2800">
            <a:latin typeface="Times New Roman" panose="02020603050405020304" pitchFamily="18" charset="0"/>
            <a:cs typeface="Times New Roman" panose="02020603050405020304" pitchFamily="18" charset="0"/>
          </a:endParaRPr>
        </a:p>
      </dgm:t>
    </dgm:pt>
    <dgm:pt modelId="{F431DCAF-F733-40F0-B50A-93EE3443E55F}" type="sibTrans" cxnId="{A6F10E14-154D-47DE-95C0-1E81DBD24D66}">
      <dgm:prSet/>
      <dgm:spPr/>
      <dgm:t>
        <a:bodyPr/>
        <a:lstStyle/>
        <a:p>
          <a:endParaRPr lang="en-US" sz="2800">
            <a:latin typeface="Times New Roman" panose="02020603050405020304" pitchFamily="18" charset="0"/>
            <a:cs typeface="Times New Roman" panose="02020603050405020304" pitchFamily="18" charset="0"/>
          </a:endParaRPr>
        </a:p>
      </dgm:t>
    </dgm:pt>
    <dgm:pt modelId="{6E27E279-0564-4CF8-9BFE-7E0817B4CBB2}">
      <dgm:prSet phldrT="[Text]" custT="1"/>
      <dgm:spPr/>
      <dgm:t>
        <a:bodyPr/>
        <a:lstStyle/>
        <a:p>
          <a:pPr>
            <a:buNone/>
          </a:pPr>
          <a:r>
            <a:rPr lang="en-US" sz="800" b="1" i="1">
              <a:latin typeface="Times New Roman" panose="02020603050405020304" pitchFamily="18" charset="0"/>
              <a:cs typeface="Times New Roman" panose="02020603050405020304" pitchFamily="18" charset="0"/>
            </a:rPr>
            <a:t>If &gt;12 months from CABG</a:t>
          </a:r>
          <a:r>
            <a:rPr lang="en-US" sz="800">
              <a:latin typeface="Times New Roman" panose="02020603050405020304" pitchFamily="18" charset="0"/>
              <a:cs typeface="Times New Roman" panose="02020603050405020304" pitchFamily="18" charset="0"/>
            </a:rPr>
            <a:t>: AC monotherapy </a:t>
          </a:r>
          <a:endParaRPr lang="en-US" sz="800" b="0">
            <a:latin typeface="Times New Roman" panose="02020603050405020304" pitchFamily="18" charset="0"/>
            <a:cs typeface="Times New Roman" panose="02020603050405020304" pitchFamily="18" charset="0"/>
          </a:endParaRPr>
        </a:p>
      </dgm:t>
    </dgm:pt>
    <dgm:pt modelId="{29A9D733-9F0C-48EB-9EA0-C29E7A7B51E3}" type="parTrans" cxnId="{FC1A8931-2A06-4918-BADD-DD84E82E1C19}">
      <dgm:prSet/>
      <dgm:spPr/>
      <dgm:t>
        <a:bodyPr/>
        <a:lstStyle/>
        <a:p>
          <a:endParaRPr lang="en-US" sz="2800">
            <a:latin typeface="Times New Roman" panose="02020603050405020304" pitchFamily="18" charset="0"/>
            <a:cs typeface="Times New Roman" panose="02020603050405020304" pitchFamily="18" charset="0"/>
          </a:endParaRPr>
        </a:p>
      </dgm:t>
    </dgm:pt>
    <dgm:pt modelId="{BE5CB79D-9E67-49AA-8313-8DF198D5C517}" type="sibTrans" cxnId="{FC1A8931-2A06-4918-BADD-DD84E82E1C19}">
      <dgm:prSet/>
      <dgm:spPr/>
      <dgm:t>
        <a:bodyPr/>
        <a:lstStyle/>
        <a:p>
          <a:endParaRPr lang="en-US" sz="2800">
            <a:latin typeface="Times New Roman" panose="02020603050405020304" pitchFamily="18" charset="0"/>
            <a:cs typeface="Times New Roman" panose="02020603050405020304" pitchFamily="18" charset="0"/>
          </a:endParaRPr>
        </a:p>
      </dgm:t>
    </dgm:pt>
    <dgm:pt modelId="{19E53D87-547A-4930-A3AB-73FD15CEFDDD}" type="pres">
      <dgm:prSet presAssocID="{53520257-CE03-44E7-A776-B1E6ABD71E85}" presName="hierChild1" presStyleCnt="0">
        <dgm:presLayoutVars>
          <dgm:orgChart val="1"/>
          <dgm:chPref val="1"/>
          <dgm:dir/>
          <dgm:animOne val="branch"/>
          <dgm:animLvl val="lvl"/>
          <dgm:resizeHandles/>
        </dgm:presLayoutVars>
      </dgm:prSet>
      <dgm:spPr/>
    </dgm:pt>
    <dgm:pt modelId="{7048CAAA-66B5-4A3B-B291-6A8149EBC2F5}" type="pres">
      <dgm:prSet presAssocID="{BBD2F161-AB21-423F-98DA-90B550E78BA9}" presName="hierRoot1" presStyleCnt="0">
        <dgm:presLayoutVars>
          <dgm:hierBranch val="init"/>
        </dgm:presLayoutVars>
      </dgm:prSet>
      <dgm:spPr/>
    </dgm:pt>
    <dgm:pt modelId="{8A40D8D2-A4D2-4238-A4BD-C76EC20DAB66}" type="pres">
      <dgm:prSet presAssocID="{BBD2F161-AB21-423F-98DA-90B550E78BA9}" presName="rootComposite1" presStyleCnt="0"/>
      <dgm:spPr/>
    </dgm:pt>
    <dgm:pt modelId="{0ABCA701-14A1-4833-8049-0443A1D92DAD}" type="pres">
      <dgm:prSet presAssocID="{BBD2F161-AB21-423F-98DA-90B550E78BA9}" presName="rootText1" presStyleLbl="node0" presStyleIdx="0" presStyleCnt="1" custScaleX="137674">
        <dgm:presLayoutVars>
          <dgm:chPref val="3"/>
        </dgm:presLayoutVars>
      </dgm:prSet>
      <dgm:spPr/>
    </dgm:pt>
    <dgm:pt modelId="{645A1F75-1CA9-48F8-9D56-714874DD5967}" type="pres">
      <dgm:prSet presAssocID="{BBD2F161-AB21-423F-98DA-90B550E78BA9}" presName="rootConnector1" presStyleLbl="node1" presStyleIdx="0" presStyleCnt="0"/>
      <dgm:spPr/>
    </dgm:pt>
    <dgm:pt modelId="{BC837BE2-B0AD-47F5-B5D7-99704B572E3B}" type="pres">
      <dgm:prSet presAssocID="{BBD2F161-AB21-423F-98DA-90B550E78BA9}" presName="hierChild2" presStyleCnt="0"/>
      <dgm:spPr/>
    </dgm:pt>
    <dgm:pt modelId="{E9C8A2B5-FB05-4F0E-82B0-EC32EA197459}" type="pres">
      <dgm:prSet presAssocID="{B432F8BC-FD86-434B-ABCB-8EF3BD79F46B}" presName="Name37" presStyleLbl="parChTrans1D2" presStyleIdx="0" presStyleCnt="4"/>
      <dgm:spPr/>
    </dgm:pt>
    <dgm:pt modelId="{B420538E-7AD9-4FE7-B5EA-7E66AEC2157E}" type="pres">
      <dgm:prSet presAssocID="{D82211F4-CA94-47C7-B823-C96136A42D05}" presName="hierRoot2" presStyleCnt="0">
        <dgm:presLayoutVars>
          <dgm:hierBranch val="init"/>
        </dgm:presLayoutVars>
      </dgm:prSet>
      <dgm:spPr/>
    </dgm:pt>
    <dgm:pt modelId="{B4BC881A-9FC2-4087-9C03-381126B0C060}" type="pres">
      <dgm:prSet presAssocID="{D82211F4-CA94-47C7-B823-C96136A42D05}" presName="rootComposite" presStyleCnt="0"/>
      <dgm:spPr/>
    </dgm:pt>
    <dgm:pt modelId="{0A3257AA-3E0E-4F10-991E-720C6861D417}" type="pres">
      <dgm:prSet presAssocID="{D82211F4-CA94-47C7-B823-C96136A42D05}" presName="rootText" presStyleLbl="node2" presStyleIdx="0" presStyleCnt="4">
        <dgm:presLayoutVars>
          <dgm:chPref val="3"/>
        </dgm:presLayoutVars>
      </dgm:prSet>
      <dgm:spPr/>
    </dgm:pt>
    <dgm:pt modelId="{8D532B68-C331-4219-A638-4EE24E7A6D67}" type="pres">
      <dgm:prSet presAssocID="{D82211F4-CA94-47C7-B823-C96136A42D05}" presName="rootConnector" presStyleLbl="node2" presStyleIdx="0" presStyleCnt="4"/>
      <dgm:spPr/>
    </dgm:pt>
    <dgm:pt modelId="{4780FE82-27D9-436D-800D-BFA6EAC9695D}" type="pres">
      <dgm:prSet presAssocID="{D82211F4-CA94-47C7-B823-C96136A42D05}" presName="hierChild4" presStyleCnt="0"/>
      <dgm:spPr/>
    </dgm:pt>
    <dgm:pt modelId="{2D3B7EED-EF7B-4051-8C29-1F4C55D46602}" type="pres">
      <dgm:prSet presAssocID="{806174CF-5572-46EA-8A99-48A4D2D6BAE6}" presName="Name37" presStyleLbl="parChTrans1D3" presStyleIdx="0" presStyleCnt="10"/>
      <dgm:spPr/>
    </dgm:pt>
    <dgm:pt modelId="{158167A3-12BE-40AF-9DEC-0178E11016B1}" type="pres">
      <dgm:prSet presAssocID="{598CD3FE-A6B0-4361-B76C-26D8821C6211}" presName="hierRoot2" presStyleCnt="0">
        <dgm:presLayoutVars>
          <dgm:hierBranch val="init"/>
        </dgm:presLayoutVars>
      </dgm:prSet>
      <dgm:spPr/>
    </dgm:pt>
    <dgm:pt modelId="{59D23305-0CAC-42AF-A4AE-5D96B85C8414}" type="pres">
      <dgm:prSet presAssocID="{598CD3FE-A6B0-4361-B76C-26D8821C6211}" presName="rootComposite" presStyleCnt="0"/>
      <dgm:spPr/>
    </dgm:pt>
    <dgm:pt modelId="{D024F37F-94E2-4B34-9813-7A2766D42280}" type="pres">
      <dgm:prSet presAssocID="{598CD3FE-A6B0-4361-B76C-26D8821C6211}" presName="rootText" presStyleLbl="node3" presStyleIdx="0" presStyleCnt="10" custScaleY="168183">
        <dgm:presLayoutVars>
          <dgm:chPref val="3"/>
        </dgm:presLayoutVars>
      </dgm:prSet>
      <dgm:spPr/>
    </dgm:pt>
    <dgm:pt modelId="{723E3FD4-C0E9-4B55-8EE6-6A0C881C1BD2}" type="pres">
      <dgm:prSet presAssocID="{598CD3FE-A6B0-4361-B76C-26D8821C6211}" presName="rootConnector" presStyleLbl="node3" presStyleIdx="0" presStyleCnt="10"/>
      <dgm:spPr/>
    </dgm:pt>
    <dgm:pt modelId="{3407BF3F-D01A-49F7-B11B-973A9729BEEC}" type="pres">
      <dgm:prSet presAssocID="{598CD3FE-A6B0-4361-B76C-26D8821C6211}" presName="hierChild4" presStyleCnt="0"/>
      <dgm:spPr/>
    </dgm:pt>
    <dgm:pt modelId="{96675FD9-9ED6-4C06-9918-DB96D00AA1FB}" type="pres">
      <dgm:prSet presAssocID="{598CD3FE-A6B0-4361-B76C-26D8821C6211}" presName="hierChild5" presStyleCnt="0"/>
      <dgm:spPr/>
    </dgm:pt>
    <dgm:pt modelId="{70DDF8CA-B3E1-405E-8D18-2E1F96FB1213}" type="pres">
      <dgm:prSet presAssocID="{3537A154-A71B-466C-9808-06675E41ABC3}" presName="Name37" presStyleLbl="parChTrans1D3" presStyleIdx="1" presStyleCnt="10"/>
      <dgm:spPr/>
    </dgm:pt>
    <dgm:pt modelId="{07AB21B6-3630-48FC-8EDA-9263BC1581F4}" type="pres">
      <dgm:prSet presAssocID="{7E04AB59-1BE8-4E34-845F-79E991331520}" presName="hierRoot2" presStyleCnt="0">
        <dgm:presLayoutVars>
          <dgm:hierBranch val="init"/>
        </dgm:presLayoutVars>
      </dgm:prSet>
      <dgm:spPr/>
    </dgm:pt>
    <dgm:pt modelId="{C73AD00F-6610-4D98-A7E8-89F999478F6E}" type="pres">
      <dgm:prSet presAssocID="{7E04AB59-1BE8-4E34-845F-79E991331520}" presName="rootComposite" presStyleCnt="0"/>
      <dgm:spPr/>
    </dgm:pt>
    <dgm:pt modelId="{86D3C2F6-1BA2-4EC2-A06A-A4BDD64C5391}" type="pres">
      <dgm:prSet presAssocID="{7E04AB59-1BE8-4E34-845F-79E991331520}" presName="rootText" presStyleLbl="node3" presStyleIdx="1" presStyleCnt="10" custScaleY="157393">
        <dgm:presLayoutVars>
          <dgm:chPref val="3"/>
        </dgm:presLayoutVars>
      </dgm:prSet>
      <dgm:spPr/>
    </dgm:pt>
    <dgm:pt modelId="{DF137CA0-ED8D-4659-B223-9C7356611D22}" type="pres">
      <dgm:prSet presAssocID="{7E04AB59-1BE8-4E34-845F-79E991331520}" presName="rootConnector" presStyleLbl="node3" presStyleIdx="1" presStyleCnt="10"/>
      <dgm:spPr/>
    </dgm:pt>
    <dgm:pt modelId="{1ACC9DCF-3CAB-4021-80BA-02DA02E5E715}" type="pres">
      <dgm:prSet presAssocID="{7E04AB59-1BE8-4E34-845F-79E991331520}" presName="hierChild4" presStyleCnt="0"/>
      <dgm:spPr/>
    </dgm:pt>
    <dgm:pt modelId="{C165CAD9-9BAE-47C4-B540-DD6E361AA28A}" type="pres">
      <dgm:prSet presAssocID="{7E04AB59-1BE8-4E34-845F-79E991331520}" presName="hierChild5" presStyleCnt="0"/>
      <dgm:spPr/>
    </dgm:pt>
    <dgm:pt modelId="{067CB7C9-EBB1-4132-BC25-D738C9A77862}" type="pres">
      <dgm:prSet presAssocID="{22A164AC-F055-4EE5-B803-7BB51484D682}" presName="Name37" presStyleLbl="parChTrans1D3" presStyleIdx="2" presStyleCnt="10"/>
      <dgm:spPr/>
    </dgm:pt>
    <dgm:pt modelId="{6AE2D038-F431-4B6C-AAEA-5BB47FEB414A}" type="pres">
      <dgm:prSet presAssocID="{1C241A62-7022-47E2-8D87-67596B886F61}" presName="hierRoot2" presStyleCnt="0">
        <dgm:presLayoutVars>
          <dgm:hierBranch val="init"/>
        </dgm:presLayoutVars>
      </dgm:prSet>
      <dgm:spPr/>
    </dgm:pt>
    <dgm:pt modelId="{BC215F21-0FF2-40CD-97B6-AEDD0D8E2B47}" type="pres">
      <dgm:prSet presAssocID="{1C241A62-7022-47E2-8D87-67596B886F61}" presName="rootComposite" presStyleCnt="0"/>
      <dgm:spPr/>
    </dgm:pt>
    <dgm:pt modelId="{4553BC22-FC3D-42A0-BD36-ADDC781F8C15}" type="pres">
      <dgm:prSet presAssocID="{1C241A62-7022-47E2-8D87-67596B886F61}" presName="rootText" presStyleLbl="node3" presStyleIdx="2" presStyleCnt="10" custScaleY="169214">
        <dgm:presLayoutVars>
          <dgm:chPref val="3"/>
        </dgm:presLayoutVars>
      </dgm:prSet>
      <dgm:spPr/>
    </dgm:pt>
    <dgm:pt modelId="{BF284541-5B03-4BFD-8292-BBE68CEAEE68}" type="pres">
      <dgm:prSet presAssocID="{1C241A62-7022-47E2-8D87-67596B886F61}" presName="rootConnector" presStyleLbl="node3" presStyleIdx="2" presStyleCnt="10"/>
      <dgm:spPr/>
    </dgm:pt>
    <dgm:pt modelId="{7076D2ED-2C44-4F20-B915-3EE95C8FD191}" type="pres">
      <dgm:prSet presAssocID="{1C241A62-7022-47E2-8D87-67596B886F61}" presName="hierChild4" presStyleCnt="0"/>
      <dgm:spPr/>
    </dgm:pt>
    <dgm:pt modelId="{9A35D22C-6389-48AD-8B95-418DE26FF20D}" type="pres">
      <dgm:prSet presAssocID="{1C241A62-7022-47E2-8D87-67596B886F61}" presName="hierChild5" presStyleCnt="0"/>
      <dgm:spPr/>
    </dgm:pt>
    <dgm:pt modelId="{DA2A3F72-417D-4EF4-AEF5-166E0DAE5AE1}" type="pres">
      <dgm:prSet presAssocID="{D82211F4-CA94-47C7-B823-C96136A42D05}" presName="hierChild5" presStyleCnt="0"/>
      <dgm:spPr/>
    </dgm:pt>
    <dgm:pt modelId="{AFC8CF63-59B3-4466-B2DD-2CE9C4B7F606}" type="pres">
      <dgm:prSet presAssocID="{C475004C-04D5-47BD-BF9C-504BDB9392A7}" presName="Name37" presStyleLbl="parChTrans1D2" presStyleIdx="1" presStyleCnt="4"/>
      <dgm:spPr/>
    </dgm:pt>
    <dgm:pt modelId="{074D472B-0CDC-44EB-8268-49DB96A45B60}" type="pres">
      <dgm:prSet presAssocID="{503E739A-673F-4C5E-ACF1-4E21065AC9DE}" presName="hierRoot2" presStyleCnt="0">
        <dgm:presLayoutVars>
          <dgm:hierBranch val="init"/>
        </dgm:presLayoutVars>
      </dgm:prSet>
      <dgm:spPr/>
    </dgm:pt>
    <dgm:pt modelId="{14C1729C-4E97-4CA3-B8A3-284AFB2109DC}" type="pres">
      <dgm:prSet presAssocID="{503E739A-673F-4C5E-ACF1-4E21065AC9DE}" presName="rootComposite" presStyleCnt="0"/>
      <dgm:spPr/>
    </dgm:pt>
    <dgm:pt modelId="{DCB63B5E-01A1-4605-A525-F78034EE1D65}" type="pres">
      <dgm:prSet presAssocID="{503E739A-673F-4C5E-ACF1-4E21065AC9DE}" presName="rootText" presStyleLbl="node2" presStyleIdx="1" presStyleCnt="4">
        <dgm:presLayoutVars>
          <dgm:chPref val="3"/>
        </dgm:presLayoutVars>
      </dgm:prSet>
      <dgm:spPr/>
    </dgm:pt>
    <dgm:pt modelId="{B494A471-862C-481B-89C0-30B8B1831A83}" type="pres">
      <dgm:prSet presAssocID="{503E739A-673F-4C5E-ACF1-4E21065AC9DE}" presName="rootConnector" presStyleLbl="node2" presStyleIdx="1" presStyleCnt="4"/>
      <dgm:spPr/>
    </dgm:pt>
    <dgm:pt modelId="{F6A577EB-6BDB-4AA2-B37B-E2BC00CB71FF}" type="pres">
      <dgm:prSet presAssocID="{503E739A-673F-4C5E-ACF1-4E21065AC9DE}" presName="hierChild4" presStyleCnt="0"/>
      <dgm:spPr/>
    </dgm:pt>
    <dgm:pt modelId="{439F5D42-A95C-43BD-833E-3FBAC251D093}" type="pres">
      <dgm:prSet presAssocID="{9F8706DE-3368-44FD-9CC5-5A791029E1AF}" presName="Name37" presStyleLbl="parChTrans1D3" presStyleIdx="3" presStyleCnt="10"/>
      <dgm:spPr/>
    </dgm:pt>
    <dgm:pt modelId="{56A2738B-BDF0-4665-ABE1-2DD8C7AE01EA}" type="pres">
      <dgm:prSet presAssocID="{D549579B-5C2F-4921-84B4-EFAA84005C98}" presName="hierRoot2" presStyleCnt="0">
        <dgm:presLayoutVars>
          <dgm:hierBranch val="init"/>
        </dgm:presLayoutVars>
      </dgm:prSet>
      <dgm:spPr/>
    </dgm:pt>
    <dgm:pt modelId="{131E0320-60CB-4ACA-A0E5-AF37E7462A02}" type="pres">
      <dgm:prSet presAssocID="{D549579B-5C2F-4921-84B4-EFAA84005C98}" presName="rootComposite" presStyleCnt="0"/>
      <dgm:spPr/>
    </dgm:pt>
    <dgm:pt modelId="{4A292C6A-D55F-40A2-86D6-77C08D717DC4}" type="pres">
      <dgm:prSet presAssocID="{D549579B-5C2F-4921-84B4-EFAA84005C98}" presName="rootText" presStyleLbl="node3" presStyleIdx="3" presStyleCnt="10" custScaleY="164157">
        <dgm:presLayoutVars>
          <dgm:chPref val="3"/>
        </dgm:presLayoutVars>
      </dgm:prSet>
      <dgm:spPr/>
    </dgm:pt>
    <dgm:pt modelId="{FE357B84-552C-4138-BB92-BBB9EAF81B43}" type="pres">
      <dgm:prSet presAssocID="{D549579B-5C2F-4921-84B4-EFAA84005C98}" presName="rootConnector" presStyleLbl="node3" presStyleIdx="3" presStyleCnt="10"/>
      <dgm:spPr/>
    </dgm:pt>
    <dgm:pt modelId="{A92506B9-28CB-46EE-906C-10A67A544334}" type="pres">
      <dgm:prSet presAssocID="{D549579B-5C2F-4921-84B4-EFAA84005C98}" presName="hierChild4" presStyleCnt="0"/>
      <dgm:spPr/>
    </dgm:pt>
    <dgm:pt modelId="{2EBBFA07-BFF5-49C6-AF26-C84C0596DA0C}" type="pres">
      <dgm:prSet presAssocID="{D549579B-5C2F-4921-84B4-EFAA84005C98}" presName="hierChild5" presStyleCnt="0"/>
      <dgm:spPr/>
    </dgm:pt>
    <dgm:pt modelId="{6304BEE4-0206-46F3-AD68-890602DA1442}" type="pres">
      <dgm:prSet presAssocID="{C83182EE-4AAC-43B4-A47D-27E3193C28E1}" presName="Name37" presStyleLbl="parChTrans1D3" presStyleIdx="4" presStyleCnt="10"/>
      <dgm:spPr/>
    </dgm:pt>
    <dgm:pt modelId="{4ED0D08F-B3D3-425A-AB6C-910C6B469E17}" type="pres">
      <dgm:prSet presAssocID="{DC52F6E5-A1DC-40FD-BD85-597FA78869F6}" presName="hierRoot2" presStyleCnt="0">
        <dgm:presLayoutVars>
          <dgm:hierBranch val="init"/>
        </dgm:presLayoutVars>
      </dgm:prSet>
      <dgm:spPr/>
    </dgm:pt>
    <dgm:pt modelId="{56149AB1-9508-4C49-9253-94A6DEF6E9F8}" type="pres">
      <dgm:prSet presAssocID="{DC52F6E5-A1DC-40FD-BD85-597FA78869F6}" presName="rootComposite" presStyleCnt="0"/>
      <dgm:spPr/>
    </dgm:pt>
    <dgm:pt modelId="{FFEC97AD-1095-41F1-AD09-3D5454073EC7}" type="pres">
      <dgm:prSet presAssocID="{DC52F6E5-A1DC-40FD-BD85-597FA78869F6}" presName="rootText" presStyleLbl="node3" presStyleIdx="4" presStyleCnt="10" custScaleY="170017">
        <dgm:presLayoutVars>
          <dgm:chPref val="3"/>
        </dgm:presLayoutVars>
      </dgm:prSet>
      <dgm:spPr/>
    </dgm:pt>
    <dgm:pt modelId="{D93534BD-AA37-4E4A-960A-C38DC43D4BB0}" type="pres">
      <dgm:prSet presAssocID="{DC52F6E5-A1DC-40FD-BD85-597FA78869F6}" presName="rootConnector" presStyleLbl="node3" presStyleIdx="4" presStyleCnt="10"/>
      <dgm:spPr/>
    </dgm:pt>
    <dgm:pt modelId="{73F1BC2C-4B7B-4855-82C2-BE043456342F}" type="pres">
      <dgm:prSet presAssocID="{DC52F6E5-A1DC-40FD-BD85-597FA78869F6}" presName="hierChild4" presStyleCnt="0"/>
      <dgm:spPr/>
    </dgm:pt>
    <dgm:pt modelId="{A5089721-732D-4F32-A731-6BCF59E033BA}" type="pres">
      <dgm:prSet presAssocID="{DC52F6E5-A1DC-40FD-BD85-597FA78869F6}" presName="hierChild5" presStyleCnt="0"/>
      <dgm:spPr/>
    </dgm:pt>
    <dgm:pt modelId="{D317B86E-B4F3-4FF6-AF47-C15C55C75D11}" type="pres">
      <dgm:prSet presAssocID="{D29D5D44-FB4C-41EE-A342-F7A87141EF86}" presName="Name37" presStyleLbl="parChTrans1D3" presStyleIdx="5" presStyleCnt="10"/>
      <dgm:spPr/>
    </dgm:pt>
    <dgm:pt modelId="{AB38FC25-3400-413D-8A0A-414B11EC64E1}" type="pres">
      <dgm:prSet presAssocID="{4600BFDE-FEB5-447E-9F99-30F3EF224F4B}" presName="hierRoot2" presStyleCnt="0">
        <dgm:presLayoutVars>
          <dgm:hierBranch val="init"/>
        </dgm:presLayoutVars>
      </dgm:prSet>
      <dgm:spPr/>
    </dgm:pt>
    <dgm:pt modelId="{EF9E334F-048A-4E70-AC76-690C74209BB6}" type="pres">
      <dgm:prSet presAssocID="{4600BFDE-FEB5-447E-9F99-30F3EF224F4B}" presName="rootComposite" presStyleCnt="0"/>
      <dgm:spPr/>
    </dgm:pt>
    <dgm:pt modelId="{B009C9E5-404B-4E24-A2E9-C62D39B47C0B}" type="pres">
      <dgm:prSet presAssocID="{4600BFDE-FEB5-447E-9F99-30F3EF224F4B}" presName="rootText" presStyleLbl="node3" presStyleIdx="5" presStyleCnt="10">
        <dgm:presLayoutVars>
          <dgm:chPref val="3"/>
        </dgm:presLayoutVars>
      </dgm:prSet>
      <dgm:spPr/>
    </dgm:pt>
    <dgm:pt modelId="{591B7395-A80E-43E9-A7BD-FEDBB3A6D5C2}" type="pres">
      <dgm:prSet presAssocID="{4600BFDE-FEB5-447E-9F99-30F3EF224F4B}" presName="rootConnector" presStyleLbl="node3" presStyleIdx="5" presStyleCnt="10"/>
      <dgm:spPr/>
    </dgm:pt>
    <dgm:pt modelId="{9E38AE7D-3DA7-462E-9A12-A708EA755763}" type="pres">
      <dgm:prSet presAssocID="{4600BFDE-FEB5-447E-9F99-30F3EF224F4B}" presName="hierChild4" presStyleCnt="0"/>
      <dgm:spPr/>
    </dgm:pt>
    <dgm:pt modelId="{372CBB9E-B515-4131-A949-2FC932CF4870}" type="pres">
      <dgm:prSet presAssocID="{4600BFDE-FEB5-447E-9F99-30F3EF224F4B}" presName="hierChild5" presStyleCnt="0"/>
      <dgm:spPr/>
    </dgm:pt>
    <dgm:pt modelId="{11E41049-BE71-4F13-932B-53AA31892EE8}" type="pres">
      <dgm:prSet presAssocID="{6E5D7D77-C447-4C47-A039-F1D924C83E20}" presName="Name37" presStyleLbl="parChTrans1D3" presStyleIdx="6" presStyleCnt="10"/>
      <dgm:spPr/>
    </dgm:pt>
    <dgm:pt modelId="{F4AF4FF8-10CD-4ED5-9829-484C2BB59C66}" type="pres">
      <dgm:prSet presAssocID="{11AB7D42-FA24-4751-A4A4-4EDC370F374D}" presName="hierRoot2" presStyleCnt="0">
        <dgm:presLayoutVars>
          <dgm:hierBranch val="init"/>
        </dgm:presLayoutVars>
      </dgm:prSet>
      <dgm:spPr/>
    </dgm:pt>
    <dgm:pt modelId="{096A96D0-1ADC-47FB-95E0-B216F1CE0E73}" type="pres">
      <dgm:prSet presAssocID="{11AB7D42-FA24-4751-A4A4-4EDC370F374D}" presName="rootComposite" presStyleCnt="0"/>
      <dgm:spPr/>
    </dgm:pt>
    <dgm:pt modelId="{1F7C8B21-6454-4D2D-A3D6-2141D42F9A3B}" type="pres">
      <dgm:prSet presAssocID="{11AB7D42-FA24-4751-A4A4-4EDC370F374D}" presName="rootText" presStyleLbl="node3" presStyleIdx="6" presStyleCnt="10" custScaleY="143018">
        <dgm:presLayoutVars>
          <dgm:chPref val="3"/>
        </dgm:presLayoutVars>
      </dgm:prSet>
      <dgm:spPr/>
    </dgm:pt>
    <dgm:pt modelId="{0F0DD426-35FE-4250-9951-B687E263B2A0}" type="pres">
      <dgm:prSet presAssocID="{11AB7D42-FA24-4751-A4A4-4EDC370F374D}" presName="rootConnector" presStyleLbl="node3" presStyleIdx="6" presStyleCnt="10"/>
      <dgm:spPr/>
    </dgm:pt>
    <dgm:pt modelId="{B226687A-140F-4302-BEAA-01812D3F89BF}" type="pres">
      <dgm:prSet presAssocID="{11AB7D42-FA24-4751-A4A4-4EDC370F374D}" presName="hierChild4" presStyleCnt="0"/>
      <dgm:spPr/>
    </dgm:pt>
    <dgm:pt modelId="{B86BBC95-539E-4251-85B5-4F3A3AE61DD1}" type="pres">
      <dgm:prSet presAssocID="{11AB7D42-FA24-4751-A4A4-4EDC370F374D}" presName="hierChild5" presStyleCnt="0"/>
      <dgm:spPr/>
    </dgm:pt>
    <dgm:pt modelId="{F4DE0565-ABA0-4EA3-8A75-646A53FF05BE}" type="pres">
      <dgm:prSet presAssocID="{503E739A-673F-4C5E-ACF1-4E21065AC9DE}" presName="hierChild5" presStyleCnt="0"/>
      <dgm:spPr/>
    </dgm:pt>
    <dgm:pt modelId="{96B0C170-9AAE-4B57-8762-865775F1C15D}" type="pres">
      <dgm:prSet presAssocID="{A13567F8-61D7-49FD-9B6F-AFDDDD367F26}" presName="Name37" presStyleLbl="parChTrans1D2" presStyleIdx="2" presStyleCnt="4"/>
      <dgm:spPr/>
    </dgm:pt>
    <dgm:pt modelId="{D21A0736-7337-4A4E-8CD6-5E78B3A25925}" type="pres">
      <dgm:prSet presAssocID="{B1F08E33-61B4-4AF0-A594-F045D8BAF351}" presName="hierRoot2" presStyleCnt="0">
        <dgm:presLayoutVars>
          <dgm:hierBranch val="init"/>
        </dgm:presLayoutVars>
      </dgm:prSet>
      <dgm:spPr/>
    </dgm:pt>
    <dgm:pt modelId="{E37575B0-40DC-48C4-82F6-E0248D68FDDD}" type="pres">
      <dgm:prSet presAssocID="{B1F08E33-61B4-4AF0-A594-F045D8BAF351}" presName="rootComposite" presStyleCnt="0"/>
      <dgm:spPr/>
    </dgm:pt>
    <dgm:pt modelId="{A8A41A9A-7AD5-478C-889E-38E09CD276D7}" type="pres">
      <dgm:prSet presAssocID="{B1F08E33-61B4-4AF0-A594-F045D8BAF351}" presName="rootText" presStyleLbl="node2" presStyleIdx="2" presStyleCnt="4">
        <dgm:presLayoutVars>
          <dgm:chPref val="3"/>
        </dgm:presLayoutVars>
      </dgm:prSet>
      <dgm:spPr/>
    </dgm:pt>
    <dgm:pt modelId="{C2E32445-CD70-48AA-9E56-9AC116C94861}" type="pres">
      <dgm:prSet presAssocID="{B1F08E33-61B4-4AF0-A594-F045D8BAF351}" presName="rootConnector" presStyleLbl="node2" presStyleIdx="2" presStyleCnt="4"/>
      <dgm:spPr/>
    </dgm:pt>
    <dgm:pt modelId="{5F5317A7-22E5-4ED4-BD73-D9C652E00289}" type="pres">
      <dgm:prSet presAssocID="{B1F08E33-61B4-4AF0-A594-F045D8BAF351}" presName="hierChild4" presStyleCnt="0"/>
      <dgm:spPr/>
    </dgm:pt>
    <dgm:pt modelId="{6841ED07-A118-449F-9891-6F62DB97C072}" type="pres">
      <dgm:prSet presAssocID="{F31EBC88-AEB4-4C29-AADD-04B45385FB4B}" presName="Name37" presStyleLbl="parChTrans1D3" presStyleIdx="7" presStyleCnt="10"/>
      <dgm:spPr/>
    </dgm:pt>
    <dgm:pt modelId="{01CCD03E-82E0-4C03-A9F1-6E559B1A9DC9}" type="pres">
      <dgm:prSet presAssocID="{2605AAD0-AEA0-4792-8FEF-850E0F2E5832}" presName="hierRoot2" presStyleCnt="0">
        <dgm:presLayoutVars>
          <dgm:hierBranch val="init"/>
        </dgm:presLayoutVars>
      </dgm:prSet>
      <dgm:spPr/>
    </dgm:pt>
    <dgm:pt modelId="{456CAC8A-1DDE-4449-90B8-1879270D6B34}" type="pres">
      <dgm:prSet presAssocID="{2605AAD0-AEA0-4792-8FEF-850E0F2E5832}" presName="rootComposite" presStyleCnt="0"/>
      <dgm:spPr/>
    </dgm:pt>
    <dgm:pt modelId="{60729BF5-6E5E-4083-8469-7B3BE778D16A}" type="pres">
      <dgm:prSet presAssocID="{2605AAD0-AEA0-4792-8FEF-850E0F2E5832}" presName="rootText" presStyleLbl="node3" presStyleIdx="7" presStyleCnt="10" custScaleY="160614">
        <dgm:presLayoutVars>
          <dgm:chPref val="3"/>
        </dgm:presLayoutVars>
      </dgm:prSet>
      <dgm:spPr/>
    </dgm:pt>
    <dgm:pt modelId="{E677D894-2DB4-486E-A81A-B61CA1283D05}" type="pres">
      <dgm:prSet presAssocID="{2605AAD0-AEA0-4792-8FEF-850E0F2E5832}" presName="rootConnector" presStyleLbl="node3" presStyleIdx="7" presStyleCnt="10"/>
      <dgm:spPr/>
    </dgm:pt>
    <dgm:pt modelId="{F6179C61-3DA2-40B4-85C0-582159CE3C7D}" type="pres">
      <dgm:prSet presAssocID="{2605AAD0-AEA0-4792-8FEF-850E0F2E5832}" presName="hierChild4" presStyleCnt="0"/>
      <dgm:spPr/>
    </dgm:pt>
    <dgm:pt modelId="{CD90AFEC-E897-4954-A0E5-E3DAA68A915F}" type="pres">
      <dgm:prSet presAssocID="{2605AAD0-AEA0-4792-8FEF-850E0F2E5832}" presName="hierChild5" presStyleCnt="0"/>
      <dgm:spPr/>
    </dgm:pt>
    <dgm:pt modelId="{1D1280F3-8BC6-4446-91D0-971573973BBB}" type="pres">
      <dgm:prSet presAssocID="{B1F08E33-61B4-4AF0-A594-F045D8BAF351}" presName="hierChild5" presStyleCnt="0"/>
      <dgm:spPr/>
    </dgm:pt>
    <dgm:pt modelId="{7648A70C-AEEB-4482-8031-8D1B2C96BDA2}" type="pres">
      <dgm:prSet presAssocID="{6209A154-CEB2-4F0D-9071-FBAE7DC6CAD6}" presName="Name37" presStyleLbl="parChTrans1D2" presStyleIdx="3" presStyleCnt="4"/>
      <dgm:spPr/>
    </dgm:pt>
    <dgm:pt modelId="{6F5E22D7-FE91-40EA-A9E0-1FBA891C2984}" type="pres">
      <dgm:prSet presAssocID="{E74D3B17-8FBB-4784-9797-C28DFBB5E065}" presName="hierRoot2" presStyleCnt="0">
        <dgm:presLayoutVars>
          <dgm:hierBranch val="init"/>
        </dgm:presLayoutVars>
      </dgm:prSet>
      <dgm:spPr/>
    </dgm:pt>
    <dgm:pt modelId="{8444A73E-3663-45A5-A5D3-BA4E5D178421}" type="pres">
      <dgm:prSet presAssocID="{E74D3B17-8FBB-4784-9797-C28DFBB5E065}" presName="rootComposite" presStyleCnt="0"/>
      <dgm:spPr/>
    </dgm:pt>
    <dgm:pt modelId="{DD5C80EF-0A20-405F-83B4-C8CA5E6D5155}" type="pres">
      <dgm:prSet presAssocID="{E74D3B17-8FBB-4784-9797-C28DFBB5E065}" presName="rootText" presStyleLbl="node2" presStyleIdx="3" presStyleCnt="4">
        <dgm:presLayoutVars>
          <dgm:chPref val="3"/>
        </dgm:presLayoutVars>
      </dgm:prSet>
      <dgm:spPr/>
    </dgm:pt>
    <dgm:pt modelId="{BCCA6BB9-D48D-4520-9625-FBFBE4AE81C7}" type="pres">
      <dgm:prSet presAssocID="{E74D3B17-8FBB-4784-9797-C28DFBB5E065}" presName="rootConnector" presStyleLbl="node2" presStyleIdx="3" presStyleCnt="4"/>
      <dgm:spPr/>
    </dgm:pt>
    <dgm:pt modelId="{C861CBFE-EF28-4D44-A5D6-70439CB9D65D}" type="pres">
      <dgm:prSet presAssocID="{E74D3B17-8FBB-4784-9797-C28DFBB5E065}" presName="hierChild4" presStyleCnt="0"/>
      <dgm:spPr/>
    </dgm:pt>
    <dgm:pt modelId="{395CC4D3-E698-4088-B06B-30633BBB1341}" type="pres">
      <dgm:prSet presAssocID="{A422F7D5-831C-42FF-93CB-ECAEBB29EFC2}" presName="Name37" presStyleLbl="parChTrans1D3" presStyleIdx="8" presStyleCnt="10"/>
      <dgm:spPr/>
    </dgm:pt>
    <dgm:pt modelId="{29D45808-FA43-4B5F-9346-F325F7DD0CCB}" type="pres">
      <dgm:prSet presAssocID="{7F6F9176-F941-4101-AF2C-C54E7D569377}" presName="hierRoot2" presStyleCnt="0">
        <dgm:presLayoutVars>
          <dgm:hierBranch val="init"/>
        </dgm:presLayoutVars>
      </dgm:prSet>
      <dgm:spPr/>
    </dgm:pt>
    <dgm:pt modelId="{C52E12EE-B098-4C31-95AC-7262CE37AC6F}" type="pres">
      <dgm:prSet presAssocID="{7F6F9176-F941-4101-AF2C-C54E7D569377}" presName="rootComposite" presStyleCnt="0"/>
      <dgm:spPr/>
    </dgm:pt>
    <dgm:pt modelId="{BC286356-568D-4AFF-AA18-99A7A5C5F806}" type="pres">
      <dgm:prSet presAssocID="{7F6F9176-F941-4101-AF2C-C54E7D569377}" presName="rootText" presStyleLbl="node3" presStyleIdx="8" presStyleCnt="10">
        <dgm:presLayoutVars>
          <dgm:chPref val="3"/>
        </dgm:presLayoutVars>
      </dgm:prSet>
      <dgm:spPr/>
    </dgm:pt>
    <dgm:pt modelId="{B919D007-2DF0-4659-98FE-D01DF88908D6}" type="pres">
      <dgm:prSet presAssocID="{7F6F9176-F941-4101-AF2C-C54E7D569377}" presName="rootConnector" presStyleLbl="node3" presStyleIdx="8" presStyleCnt="10"/>
      <dgm:spPr/>
    </dgm:pt>
    <dgm:pt modelId="{3A3E4A16-D48F-4207-90E6-419A3167B368}" type="pres">
      <dgm:prSet presAssocID="{7F6F9176-F941-4101-AF2C-C54E7D569377}" presName="hierChild4" presStyleCnt="0"/>
      <dgm:spPr/>
    </dgm:pt>
    <dgm:pt modelId="{F9C25B09-4F55-4F10-9CEE-1DC06258A89A}" type="pres">
      <dgm:prSet presAssocID="{7F6F9176-F941-4101-AF2C-C54E7D569377}" presName="hierChild5" presStyleCnt="0"/>
      <dgm:spPr/>
    </dgm:pt>
    <dgm:pt modelId="{ABC81028-C6B3-4DE3-8655-E48B5413891C}" type="pres">
      <dgm:prSet presAssocID="{29A9D733-9F0C-48EB-9EA0-C29E7A7B51E3}" presName="Name37" presStyleLbl="parChTrans1D3" presStyleIdx="9" presStyleCnt="10"/>
      <dgm:spPr/>
    </dgm:pt>
    <dgm:pt modelId="{89E79210-3F8D-463B-9315-4127D5807896}" type="pres">
      <dgm:prSet presAssocID="{6E27E279-0564-4CF8-9BFE-7E0817B4CBB2}" presName="hierRoot2" presStyleCnt="0">
        <dgm:presLayoutVars>
          <dgm:hierBranch val="init"/>
        </dgm:presLayoutVars>
      </dgm:prSet>
      <dgm:spPr/>
    </dgm:pt>
    <dgm:pt modelId="{371CEF50-03C7-4767-9795-28BE0365B9FC}" type="pres">
      <dgm:prSet presAssocID="{6E27E279-0564-4CF8-9BFE-7E0817B4CBB2}" presName="rootComposite" presStyleCnt="0"/>
      <dgm:spPr/>
    </dgm:pt>
    <dgm:pt modelId="{9AE532EF-033C-484C-8BE3-51C6C3488C16}" type="pres">
      <dgm:prSet presAssocID="{6E27E279-0564-4CF8-9BFE-7E0817B4CBB2}" presName="rootText" presStyleLbl="node3" presStyleIdx="9" presStyleCnt="10">
        <dgm:presLayoutVars>
          <dgm:chPref val="3"/>
        </dgm:presLayoutVars>
      </dgm:prSet>
      <dgm:spPr/>
    </dgm:pt>
    <dgm:pt modelId="{45FF0163-31A4-47C2-9033-47B07B38DAD7}" type="pres">
      <dgm:prSet presAssocID="{6E27E279-0564-4CF8-9BFE-7E0817B4CBB2}" presName="rootConnector" presStyleLbl="node3" presStyleIdx="9" presStyleCnt="10"/>
      <dgm:spPr/>
    </dgm:pt>
    <dgm:pt modelId="{23171A22-6D86-4B00-B30F-0647A3DD4FC6}" type="pres">
      <dgm:prSet presAssocID="{6E27E279-0564-4CF8-9BFE-7E0817B4CBB2}" presName="hierChild4" presStyleCnt="0"/>
      <dgm:spPr/>
    </dgm:pt>
    <dgm:pt modelId="{D9A21FE6-B351-423D-B1AD-8D4B4F48E839}" type="pres">
      <dgm:prSet presAssocID="{6E27E279-0564-4CF8-9BFE-7E0817B4CBB2}" presName="hierChild5" presStyleCnt="0"/>
      <dgm:spPr/>
    </dgm:pt>
    <dgm:pt modelId="{F5D50D20-201E-4E16-A657-01A26B204248}" type="pres">
      <dgm:prSet presAssocID="{E74D3B17-8FBB-4784-9797-C28DFBB5E065}" presName="hierChild5" presStyleCnt="0"/>
      <dgm:spPr/>
    </dgm:pt>
    <dgm:pt modelId="{79C86D08-3419-49FD-8000-225488C8D83F}" type="pres">
      <dgm:prSet presAssocID="{BBD2F161-AB21-423F-98DA-90B550E78BA9}" presName="hierChild3" presStyleCnt="0"/>
      <dgm:spPr/>
    </dgm:pt>
  </dgm:ptLst>
  <dgm:cxnLst>
    <dgm:cxn modelId="{93535702-DA21-4F49-B09E-59EC3A281DBC}" srcId="{BBD2F161-AB21-423F-98DA-90B550E78BA9}" destId="{503E739A-673F-4C5E-ACF1-4E21065AC9DE}" srcOrd="1" destOrd="0" parTransId="{C475004C-04D5-47BD-BF9C-504BDB9392A7}" sibTransId="{DAFF89CD-DDDD-444F-BB66-F47CFE06895D}"/>
    <dgm:cxn modelId="{12E7C00A-7682-464F-9062-46B42705F2E6}" srcId="{B1F08E33-61B4-4AF0-A594-F045D8BAF351}" destId="{2605AAD0-AEA0-4792-8FEF-850E0F2E5832}" srcOrd="0" destOrd="0" parTransId="{F31EBC88-AEB4-4C29-AADD-04B45385FB4B}" sibTransId="{74A1AC31-21BD-4BBF-AA15-0EE59CC59F8D}"/>
    <dgm:cxn modelId="{CD0F250F-13F6-494B-BE65-F7DFE0EA3A6D}" type="presOf" srcId="{2605AAD0-AEA0-4792-8FEF-850E0F2E5832}" destId="{60729BF5-6E5E-4083-8469-7B3BE778D16A}" srcOrd="0" destOrd="0" presId="urn:microsoft.com/office/officeart/2005/8/layout/orgChart1"/>
    <dgm:cxn modelId="{84CE510F-8C94-4AF5-95B3-AE2DD3281FFE}" type="presOf" srcId="{6E27E279-0564-4CF8-9BFE-7E0817B4CBB2}" destId="{9AE532EF-033C-484C-8BE3-51C6C3488C16}" srcOrd="0" destOrd="0" presId="urn:microsoft.com/office/officeart/2005/8/layout/orgChart1"/>
    <dgm:cxn modelId="{00AE7110-E36E-4299-B3FC-39086AC83EF6}" srcId="{D82211F4-CA94-47C7-B823-C96136A42D05}" destId="{7E04AB59-1BE8-4E34-845F-79E991331520}" srcOrd="1" destOrd="0" parTransId="{3537A154-A71B-466C-9808-06675E41ABC3}" sibTransId="{BDCDEFFE-87B6-4356-AFE8-58DE54101365}"/>
    <dgm:cxn modelId="{A6F10E14-154D-47DE-95C0-1E81DBD24D66}" srcId="{E74D3B17-8FBB-4784-9797-C28DFBB5E065}" destId="{7F6F9176-F941-4101-AF2C-C54E7D569377}" srcOrd="0" destOrd="0" parTransId="{A422F7D5-831C-42FF-93CB-ECAEBB29EFC2}" sibTransId="{F431DCAF-F733-40F0-B50A-93EE3443E55F}"/>
    <dgm:cxn modelId="{F6941714-7866-4045-8218-0E1C6997E636}" type="presOf" srcId="{F31EBC88-AEB4-4C29-AADD-04B45385FB4B}" destId="{6841ED07-A118-449F-9891-6F62DB97C072}" srcOrd="0" destOrd="0" presId="urn:microsoft.com/office/officeart/2005/8/layout/orgChart1"/>
    <dgm:cxn modelId="{8C301B18-DBAE-4200-B7C5-D5E05EEC9B47}" srcId="{D82211F4-CA94-47C7-B823-C96136A42D05}" destId="{1C241A62-7022-47E2-8D87-67596B886F61}" srcOrd="2" destOrd="0" parTransId="{22A164AC-F055-4EE5-B803-7BB51484D682}" sibTransId="{F5198B1D-ABE4-405C-9D59-17E906E2764F}"/>
    <dgm:cxn modelId="{9AF0D71A-AAD7-4AC9-9670-A8B17A24F294}" type="presOf" srcId="{BBD2F161-AB21-423F-98DA-90B550E78BA9}" destId="{0ABCA701-14A1-4833-8049-0443A1D92DAD}" srcOrd="0" destOrd="0" presId="urn:microsoft.com/office/officeart/2005/8/layout/orgChart1"/>
    <dgm:cxn modelId="{8D5EAC1F-B294-4C31-8C09-C1F93E4CBEC4}" type="presOf" srcId="{D29D5D44-FB4C-41EE-A342-F7A87141EF86}" destId="{D317B86E-B4F3-4FF6-AF47-C15C55C75D11}" srcOrd="0" destOrd="0" presId="urn:microsoft.com/office/officeart/2005/8/layout/orgChart1"/>
    <dgm:cxn modelId="{54578520-7787-418E-A216-FB60DA610272}" type="presOf" srcId="{B432F8BC-FD86-434B-ABCB-8EF3BD79F46B}" destId="{E9C8A2B5-FB05-4F0E-82B0-EC32EA197459}" srcOrd="0" destOrd="0" presId="urn:microsoft.com/office/officeart/2005/8/layout/orgChart1"/>
    <dgm:cxn modelId="{83AFAB22-1D6E-4DB5-8B5E-E86239AC6AC7}" type="presOf" srcId="{C475004C-04D5-47BD-BF9C-504BDB9392A7}" destId="{AFC8CF63-59B3-4466-B2DD-2CE9C4B7F606}" srcOrd="0" destOrd="0" presId="urn:microsoft.com/office/officeart/2005/8/layout/orgChart1"/>
    <dgm:cxn modelId="{993AEB27-C343-4395-A234-9560E16F6853}" srcId="{503E739A-673F-4C5E-ACF1-4E21065AC9DE}" destId="{11AB7D42-FA24-4751-A4A4-4EDC370F374D}" srcOrd="3" destOrd="0" parTransId="{6E5D7D77-C447-4C47-A039-F1D924C83E20}" sibTransId="{AD12C515-CC43-4E7F-B9F2-3388E19D46B9}"/>
    <dgm:cxn modelId="{0891932C-EBEB-4615-8D6D-F299A358B33A}" type="presOf" srcId="{2605AAD0-AEA0-4792-8FEF-850E0F2E5832}" destId="{E677D894-2DB4-486E-A81A-B61CA1283D05}" srcOrd="1" destOrd="0" presId="urn:microsoft.com/office/officeart/2005/8/layout/orgChart1"/>
    <dgm:cxn modelId="{32E4AE2C-62B4-43C7-ABBC-4F6C0EE5AF26}" srcId="{BBD2F161-AB21-423F-98DA-90B550E78BA9}" destId="{E74D3B17-8FBB-4784-9797-C28DFBB5E065}" srcOrd="3" destOrd="0" parTransId="{6209A154-CEB2-4F0D-9071-FBAE7DC6CAD6}" sibTransId="{A79837AC-24E9-4030-9871-F0E578EB8063}"/>
    <dgm:cxn modelId="{27B3E52D-E50B-418A-A74D-7AC8063CA304}" type="presOf" srcId="{3537A154-A71B-466C-9808-06675E41ABC3}" destId="{70DDF8CA-B3E1-405E-8D18-2E1F96FB1213}" srcOrd="0" destOrd="0" presId="urn:microsoft.com/office/officeart/2005/8/layout/orgChart1"/>
    <dgm:cxn modelId="{FC1A8931-2A06-4918-BADD-DD84E82E1C19}" srcId="{E74D3B17-8FBB-4784-9797-C28DFBB5E065}" destId="{6E27E279-0564-4CF8-9BFE-7E0817B4CBB2}" srcOrd="1" destOrd="0" parTransId="{29A9D733-9F0C-48EB-9EA0-C29E7A7B51E3}" sibTransId="{BE5CB79D-9E67-49AA-8313-8DF198D5C517}"/>
    <dgm:cxn modelId="{B3F01534-E167-4205-98FB-092D6C8115E1}" type="presOf" srcId="{A422F7D5-831C-42FF-93CB-ECAEBB29EFC2}" destId="{395CC4D3-E698-4088-B06B-30633BBB1341}" srcOrd="0" destOrd="0" presId="urn:microsoft.com/office/officeart/2005/8/layout/orgChart1"/>
    <dgm:cxn modelId="{CE4A1B3E-E616-469B-A227-98978DB03258}" type="presOf" srcId="{11AB7D42-FA24-4751-A4A4-4EDC370F374D}" destId="{1F7C8B21-6454-4D2D-A3D6-2141D42F9A3B}" srcOrd="0" destOrd="0" presId="urn:microsoft.com/office/officeart/2005/8/layout/orgChart1"/>
    <dgm:cxn modelId="{A3545C44-115E-4E39-B5A8-B3596C7BD03E}" type="presOf" srcId="{BBD2F161-AB21-423F-98DA-90B550E78BA9}" destId="{645A1F75-1CA9-48F8-9D56-714874DD5967}" srcOrd="1" destOrd="0" presId="urn:microsoft.com/office/officeart/2005/8/layout/orgChart1"/>
    <dgm:cxn modelId="{E5000C46-49D2-4C95-92F6-1DD7D448108F}" type="presOf" srcId="{503E739A-673F-4C5E-ACF1-4E21065AC9DE}" destId="{DCB63B5E-01A1-4605-A525-F78034EE1D65}" srcOrd="0" destOrd="0" presId="urn:microsoft.com/office/officeart/2005/8/layout/orgChart1"/>
    <dgm:cxn modelId="{4CD1B249-7C46-4822-B067-C34A76B58F2B}" type="presOf" srcId="{B1F08E33-61B4-4AF0-A594-F045D8BAF351}" destId="{C2E32445-CD70-48AA-9E56-9AC116C94861}" srcOrd="1" destOrd="0" presId="urn:microsoft.com/office/officeart/2005/8/layout/orgChart1"/>
    <dgm:cxn modelId="{08EC5D6A-24E6-448F-9BE3-61D7BC8A55C9}" srcId="{BBD2F161-AB21-423F-98DA-90B550E78BA9}" destId="{D82211F4-CA94-47C7-B823-C96136A42D05}" srcOrd="0" destOrd="0" parTransId="{B432F8BC-FD86-434B-ABCB-8EF3BD79F46B}" sibTransId="{DA8B2ED9-940B-4777-A36E-9BA845099D12}"/>
    <dgm:cxn modelId="{BF96DE6A-DAAC-4F66-A204-B41BC0E75D25}" srcId="{503E739A-673F-4C5E-ACF1-4E21065AC9DE}" destId="{4600BFDE-FEB5-447E-9F99-30F3EF224F4B}" srcOrd="2" destOrd="0" parTransId="{D29D5D44-FB4C-41EE-A342-F7A87141EF86}" sibTransId="{C3FEBFAB-DC37-4FCC-9B18-74D001EABD1B}"/>
    <dgm:cxn modelId="{083F8F6F-45D7-4505-BACA-5803900740C4}" type="presOf" srcId="{503E739A-673F-4C5E-ACF1-4E21065AC9DE}" destId="{B494A471-862C-481B-89C0-30B8B1831A83}" srcOrd="1" destOrd="0" presId="urn:microsoft.com/office/officeart/2005/8/layout/orgChart1"/>
    <dgm:cxn modelId="{167CC272-DD07-4476-A1EF-AD76E90C5FE4}" type="presOf" srcId="{22A164AC-F055-4EE5-B803-7BB51484D682}" destId="{067CB7C9-EBB1-4132-BC25-D738C9A77862}" srcOrd="0" destOrd="0" presId="urn:microsoft.com/office/officeart/2005/8/layout/orgChart1"/>
    <dgm:cxn modelId="{C1EFE456-B3BB-429C-8B08-0E7B8908C2AA}" type="presOf" srcId="{A13567F8-61D7-49FD-9B6F-AFDDDD367F26}" destId="{96B0C170-9AAE-4B57-8762-865775F1C15D}" srcOrd="0" destOrd="0" presId="urn:microsoft.com/office/officeart/2005/8/layout/orgChart1"/>
    <dgm:cxn modelId="{E6F7857E-1ADC-4CFC-A3BE-01DDC7686C2B}" type="presOf" srcId="{DC52F6E5-A1DC-40FD-BD85-597FA78869F6}" destId="{D93534BD-AA37-4E4A-960A-C38DC43D4BB0}" srcOrd="1" destOrd="0" presId="urn:microsoft.com/office/officeart/2005/8/layout/orgChart1"/>
    <dgm:cxn modelId="{A8821E82-67CC-4314-B2BF-1E538C8C8A77}" type="presOf" srcId="{598CD3FE-A6B0-4361-B76C-26D8821C6211}" destId="{D024F37F-94E2-4B34-9813-7A2766D42280}" srcOrd="0" destOrd="0" presId="urn:microsoft.com/office/officeart/2005/8/layout/orgChart1"/>
    <dgm:cxn modelId="{52FB0387-BEA4-4CFC-B6B9-C72AC143098A}" type="presOf" srcId="{6209A154-CEB2-4F0D-9071-FBAE7DC6CAD6}" destId="{7648A70C-AEEB-4482-8031-8D1B2C96BDA2}" srcOrd="0" destOrd="0" presId="urn:microsoft.com/office/officeart/2005/8/layout/orgChart1"/>
    <dgm:cxn modelId="{8723B888-19D3-42DA-B5F5-D8D51843358A}" type="presOf" srcId="{E74D3B17-8FBB-4784-9797-C28DFBB5E065}" destId="{DD5C80EF-0A20-405F-83B4-C8CA5E6D5155}" srcOrd="0" destOrd="0" presId="urn:microsoft.com/office/officeart/2005/8/layout/orgChart1"/>
    <dgm:cxn modelId="{4C60BB8A-BE29-44AB-A9BD-E0BFFD53C413}" type="presOf" srcId="{4600BFDE-FEB5-447E-9F99-30F3EF224F4B}" destId="{B009C9E5-404B-4E24-A2E9-C62D39B47C0B}" srcOrd="0" destOrd="0" presId="urn:microsoft.com/office/officeart/2005/8/layout/orgChart1"/>
    <dgm:cxn modelId="{6AB1CE8C-53C6-443C-B2D4-8B66A94ABC6B}" type="presOf" srcId="{1C241A62-7022-47E2-8D87-67596B886F61}" destId="{BF284541-5B03-4BFD-8292-BBE68CEAEE68}" srcOrd="1" destOrd="0" presId="urn:microsoft.com/office/officeart/2005/8/layout/orgChart1"/>
    <dgm:cxn modelId="{E5520A8E-6CD2-4AB3-9652-EB0E8366807F}" type="presOf" srcId="{11AB7D42-FA24-4751-A4A4-4EDC370F374D}" destId="{0F0DD426-35FE-4250-9951-B687E263B2A0}" srcOrd="1" destOrd="0" presId="urn:microsoft.com/office/officeart/2005/8/layout/orgChart1"/>
    <dgm:cxn modelId="{6A0B498F-6730-40FF-B0EA-2E3AE746CF46}" type="presOf" srcId="{7F6F9176-F941-4101-AF2C-C54E7D569377}" destId="{B919D007-2DF0-4659-98FE-D01DF88908D6}" srcOrd="1" destOrd="0" presId="urn:microsoft.com/office/officeart/2005/8/layout/orgChart1"/>
    <dgm:cxn modelId="{3E333790-461F-435F-B433-4DD7574CB479}" srcId="{53520257-CE03-44E7-A776-B1E6ABD71E85}" destId="{BBD2F161-AB21-423F-98DA-90B550E78BA9}" srcOrd="0" destOrd="0" parTransId="{295FDDAA-B223-4128-9B15-EB20D4680FD6}" sibTransId="{075A575C-0394-46B2-8E10-949662B08775}"/>
    <dgm:cxn modelId="{65F89492-321B-413C-AB62-49101ED45334}" type="presOf" srcId="{C83182EE-4AAC-43B4-A47D-27E3193C28E1}" destId="{6304BEE4-0206-46F3-AD68-890602DA1442}" srcOrd="0" destOrd="0" presId="urn:microsoft.com/office/officeart/2005/8/layout/orgChart1"/>
    <dgm:cxn modelId="{A160809A-72A1-4456-B5A1-B2DEAF3882DF}" type="presOf" srcId="{7E04AB59-1BE8-4E34-845F-79E991331520}" destId="{DF137CA0-ED8D-4659-B223-9C7356611D22}" srcOrd="1" destOrd="0" presId="urn:microsoft.com/office/officeart/2005/8/layout/orgChart1"/>
    <dgm:cxn modelId="{FEEE1A9F-DFAA-4DAF-A9B8-0B1AC242E507}" type="presOf" srcId="{D549579B-5C2F-4921-84B4-EFAA84005C98}" destId="{4A292C6A-D55F-40A2-86D6-77C08D717DC4}" srcOrd="0" destOrd="0" presId="urn:microsoft.com/office/officeart/2005/8/layout/orgChart1"/>
    <dgm:cxn modelId="{18985FA4-3A75-4033-B4A5-133ADFD6DB6D}" srcId="{D82211F4-CA94-47C7-B823-C96136A42D05}" destId="{598CD3FE-A6B0-4361-B76C-26D8821C6211}" srcOrd="0" destOrd="0" parTransId="{806174CF-5572-46EA-8A99-48A4D2D6BAE6}" sibTransId="{A065EE83-2D0C-4636-BBF8-1244E05B6D28}"/>
    <dgm:cxn modelId="{EF3DD6A6-D0E5-4B1C-A233-E285E4A46E6C}" type="presOf" srcId="{598CD3FE-A6B0-4361-B76C-26D8821C6211}" destId="{723E3FD4-C0E9-4B55-8EE6-6A0C881C1BD2}" srcOrd="1" destOrd="0" presId="urn:microsoft.com/office/officeart/2005/8/layout/orgChart1"/>
    <dgm:cxn modelId="{FF5924A8-A366-4F81-99DC-7008ED490553}" type="presOf" srcId="{DC52F6E5-A1DC-40FD-BD85-597FA78869F6}" destId="{FFEC97AD-1095-41F1-AD09-3D5454073EC7}" srcOrd="0" destOrd="0" presId="urn:microsoft.com/office/officeart/2005/8/layout/orgChart1"/>
    <dgm:cxn modelId="{A91E3AAB-72C2-4281-8C85-CD6C56DD601F}" type="presOf" srcId="{53520257-CE03-44E7-A776-B1E6ABD71E85}" destId="{19E53D87-547A-4930-A3AB-73FD15CEFDDD}" srcOrd="0" destOrd="0" presId="urn:microsoft.com/office/officeart/2005/8/layout/orgChart1"/>
    <dgm:cxn modelId="{F45F74B4-FF7F-4F67-B9B0-8A275B6A5AF1}" type="presOf" srcId="{6E5D7D77-C447-4C47-A039-F1D924C83E20}" destId="{11E41049-BE71-4F13-932B-53AA31892EE8}" srcOrd="0" destOrd="0" presId="urn:microsoft.com/office/officeart/2005/8/layout/orgChart1"/>
    <dgm:cxn modelId="{39F0A0B6-9E03-46DE-9C64-E6D8FCCCBD9C}" srcId="{BBD2F161-AB21-423F-98DA-90B550E78BA9}" destId="{B1F08E33-61B4-4AF0-A594-F045D8BAF351}" srcOrd="2" destOrd="0" parTransId="{A13567F8-61D7-49FD-9B6F-AFDDDD367F26}" sibTransId="{8D28C54C-AEE9-45D0-98D1-1DFB4666A46C}"/>
    <dgm:cxn modelId="{C575C6C1-EDAE-4D7C-B07E-C303976580C8}" type="presOf" srcId="{9F8706DE-3368-44FD-9CC5-5A791029E1AF}" destId="{439F5D42-A95C-43BD-833E-3FBAC251D093}" srcOrd="0" destOrd="0" presId="urn:microsoft.com/office/officeart/2005/8/layout/orgChart1"/>
    <dgm:cxn modelId="{EFB8B7C7-5B81-46E4-A141-467E5378B7E9}" type="presOf" srcId="{29A9D733-9F0C-48EB-9EA0-C29E7A7B51E3}" destId="{ABC81028-C6B3-4DE3-8655-E48B5413891C}" srcOrd="0" destOrd="0" presId="urn:microsoft.com/office/officeart/2005/8/layout/orgChart1"/>
    <dgm:cxn modelId="{BF17B2D4-8233-4ADB-86DF-10050CED1583}" type="presOf" srcId="{7E04AB59-1BE8-4E34-845F-79E991331520}" destId="{86D3C2F6-1BA2-4EC2-A06A-A4BDD64C5391}" srcOrd="0" destOrd="0" presId="urn:microsoft.com/office/officeart/2005/8/layout/orgChart1"/>
    <dgm:cxn modelId="{76FACBD5-68BA-42BB-A840-A6636DC827F1}" type="presOf" srcId="{7F6F9176-F941-4101-AF2C-C54E7D569377}" destId="{BC286356-568D-4AFF-AA18-99A7A5C5F806}" srcOrd="0" destOrd="0" presId="urn:microsoft.com/office/officeart/2005/8/layout/orgChart1"/>
    <dgm:cxn modelId="{8A00F8DB-1D6E-4D77-98FA-CF742CC0B4F4}" srcId="{503E739A-673F-4C5E-ACF1-4E21065AC9DE}" destId="{DC52F6E5-A1DC-40FD-BD85-597FA78869F6}" srcOrd="1" destOrd="0" parTransId="{C83182EE-4AAC-43B4-A47D-27E3193C28E1}" sibTransId="{3A833C8E-992D-4B3A-8EEA-5CF3655F3D63}"/>
    <dgm:cxn modelId="{B71F7AE5-5675-4713-B3CF-D5323345DAC7}" type="presOf" srcId="{B1F08E33-61B4-4AF0-A594-F045D8BAF351}" destId="{A8A41A9A-7AD5-478C-889E-38E09CD276D7}" srcOrd="0" destOrd="0" presId="urn:microsoft.com/office/officeart/2005/8/layout/orgChart1"/>
    <dgm:cxn modelId="{DDE45FE8-7B27-4C94-A2AB-B6B9A8737D68}" type="presOf" srcId="{E74D3B17-8FBB-4784-9797-C28DFBB5E065}" destId="{BCCA6BB9-D48D-4520-9625-FBFBE4AE81C7}" srcOrd="1" destOrd="0" presId="urn:microsoft.com/office/officeart/2005/8/layout/orgChart1"/>
    <dgm:cxn modelId="{BA3628E9-E9E9-446D-AFE0-8D6B33A17842}" type="presOf" srcId="{4600BFDE-FEB5-447E-9F99-30F3EF224F4B}" destId="{591B7395-A80E-43E9-A7BD-FEDBB3A6D5C2}" srcOrd="1" destOrd="0" presId="urn:microsoft.com/office/officeart/2005/8/layout/orgChart1"/>
    <dgm:cxn modelId="{F11F8FE9-6EAD-476C-97D4-054022CB2B7D}" type="presOf" srcId="{D82211F4-CA94-47C7-B823-C96136A42D05}" destId="{8D532B68-C331-4219-A638-4EE24E7A6D67}" srcOrd="1" destOrd="0" presId="urn:microsoft.com/office/officeart/2005/8/layout/orgChart1"/>
    <dgm:cxn modelId="{D25F15EB-8F45-4758-8250-902436AB7F64}" type="presOf" srcId="{D82211F4-CA94-47C7-B823-C96136A42D05}" destId="{0A3257AA-3E0E-4F10-991E-720C6861D417}" srcOrd="0" destOrd="0" presId="urn:microsoft.com/office/officeart/2005/8/layout/orgChart1"/>
    <dgm:cxn modelId="{08687BEE-FABD-4C38-B37D-D03AB737CD85}" type="presOf" srcId="{D549579B-5C2F-4921-84B4-EFAA84005C98}" destId="{FE357B84-552C-4138-BB92-BBB9EAF81B43}" srcOrd="1" destOrd="0" presId="urn:microsoft.com/office/officeart/2005/8/layout/orgChart1"/>
    <dgm:cxn modelId="{4088ACEE-5D78-468F-818C-128959BBACCE}" type="presOf" srcId="{6E27E279-0564-4CF8-9BFE-7E0817B4CBB2}" destId="{45FF0163-31A4-47C2-9033-47B07B38DAD7}" srcOrd="1" destOrd="0" presId="urn:microsoft.com/office/officeart/2005/8/layout/orgChart1"/>
    <dgm:cxn modelId="{E073BAEF-FBF6-432A-9DEE-B1CBB04AC56A}" srcId="{503E739A-673F-4C5E-ACF1-4E21065AC9DE}" destId="{D549579B-5C2F-4921-84B4-EFAA84005C98}" srcOrd="0" destOrd="0" parTransId="{9F8706DE-3368-44FD-9CC5-5A791029E1AF}" sibTransId="{4BACAC65-51E3-4E3C-9E62-33287722C1DC}"/>
    <dgm:cxn modelId="{D308DEF7-4E7B-4927-ABAE-15F8030230EE}" type="presOf" srcId="{806174CF-5572-46EA-8A99-48A4D2D6BAE6}" destId="{2D3B7EED-EF7B-4051-8C29-1F4C55D46602}" srcOrd="0" destOrd="0" presId="urn:microsoft.com/office/officeart/2005/8/layout/orgChart1"/>
    <dgm:cxn modelId="{1CA5B0FD-4F47-40E5-BF35-1A0ECB9F9F02}" type="presOf" srcId="{1C241A62-7022-47E2-8D87-67596B886F61}" destId="{4553BC22-FC3D-42A0-BD36-ADDC781F8C15}" srcOrd="0" destOrd="0" presId="urn:microsoft.com/office/officeart/2005/8/layout/orgChart1"/>
    <dgm:cxn modelId="{BF03D606-C6C5-45AD-A989-EB5B59E5EC48}" type="presParOf" srcId="{19E53D87-547A-4930-A3AB-73FD15CEFDDD}" destId="{7048CAAA-66B5-4A3B-B291-6A8149EBC2F5}" srcOrd="0" destOrd="0" presId="urn:microsoft.com/office/officeart/2005/8/layout/orgChart1"/>
    <dgm:cxn modelId="{641621DD-99BB-406D-9E3C-447E5DA25AEB}" type="presParOf" srcId="{7048CAAA-66B5-4A3B-B291-6A8149EBC2F5}" destId="{8A40D8D2-A4D2-4238-A4BD-C76EC20DAB66}" srcOrd="0" destOrd="0" presId="urn:microsoft.com/office/officeart/2005/8/layout/orgChart1"/>
    <dgm:cxn modelId="{E6D91322-0432-4DDF-B8BF-0BCBB4526CE5}" type="presParOf" srcId="{8A40D8D2-A4D2-4238-A4BD-C76EC20DAB66}" destId="{0ABCA701-14A1-4833-8049-0443A1D92DAD}" srcOrd="0" destOrd="0" presId="urn:microsoft.com/office/officeart/2005/8/layout/orgChart1"/>
    <dgm:cxn modelId="{CF84AB86-E293-4B4B-AEA8-603DD1B7BF6D}" type="presParOf" srcId="{8A40D8D2-A4D2-4238-A4BD-C76EC20DAB66}" destId="{645A1F75-1CA9-48F8-9D56-714874DD5967}" srcOrd="1" destOrd="0" presId="urn:microsoft.com/office/officeart/2005/8/layout/orgChart1"/>
    <dgm:cxn modelId="{CEE39D31-7E9E-4DF0-8F4D-FDE8D5BF93C3}" type="presParOf" srcId="{7048CAAA-66B5-4A3B-B291-6A8149EBC2F5}" destId="{BC837BE2-B0AD-47F5-B5D7-99704B572E3B}" srcOrd="1" destOrd="0" presId="urn:microsoft.com/office/officeart/2005/8/layout/orgChart1"/>
    <dgm:cxn modelId="{57667CD0-9B9D-4CED-B5C4-45573683BA5D}" type="presParOf" srcId="{BC837BE2-B0AD-47F5-B5D7-99704B572E3B}" destId="{E9C8A2B5-FB05-4F0E-82B0-EC32EA197459}" srcOrd="0" destOrd="0" presId="urn:microsoft.com/office/officeart/2005/8/layout/orgChart1"/>
    <dgm:cxn modelId="{5CB21444-20FA-4503-B050-EA4B05BE8FBF}" type="presParOf" srcId="{BC837BE2-B0AD-47F5-B5D7-99704B572E3B}" destId="{B420538E-7AD9-4FE7-B5EA-7E66AEC2157E}" srcOrd="1" destOrd="0" presId="urn:microsoft.com/office/officeart/2005/8/layout/orgChart1"/>
    <dgm:cxn modelId="{3C6C5260-7534-4396-BE14-460E8C80399B}" type="presParOf" srcId="{B420538E-7AD9-4FE7-B5EA-7E66AEC2157E}" destId="{B4BC881A-9FC2-4087-9C03-381126B0C060}" srcOrd="0" destOrd="0" presId="urn:microsoft.com/office/officeart/2005/8/layout/orgChart1"/>
    <dgm:cxn modelId="{087DDC94-AE5F-4903-A7A2-E75670D8A189}" type="presParOf" srcId="{B4BC881A-9FC2-4087-9C03-381126B0C060}" destId="{0A3257AA-3E0E-4F10-991E-720C6861D417}" srcOrd="0" destOrd="0" presId="urn:microsoft.com/office/officeart/2005/8/layout/orgChart1"/>
    <dgm:cxn modelId="{D0C38368-E72A-48A5-B680-CFBBA1D80E4F}" type="presParOf" srcId="{B4BC881A-9FC2-4087-9C03-381126B0C060}" destId="{8D532B68-C331-4219-A638-4EE24E7A6D67}" srcOrd="1" destOrd="0" presId="urn:microsoft.com/office/officeart/2005/8/layout/orgChart1"/>
    <dgm:cxn modelId="{C98A9ED9-FCF9-40AF-9F02-E0F75B9B31EB}" type="presParOf" srcId="{B420538E-7AD9-4FE7-B5EA-7E66AEC2157E}" destId="{4780FE82-27D9-436D-800D-BFA6EAC9695D}" srcOrd="1" destOrd="0" presId="urn:microsoft.com/office/officeart/2005/8/layout/orgChart1"/>
    <dgm:cxn modelId="{01C6BAA1-F7B2-40A7-9B1F-3CB3466ADE97}" type="presParOf" srcId="{4780FE82-27D9-436D-800D-BFA6EAC9695D}" destId="{2D3B7EED-EF7B-4051-8C29-1F4C55D46602}" srcOrd="0" destOrd="0" presId="urn:microsoft.com/office/officeart/2005/8/layout/orgChart1"/>
    <dgm:cxn modelId="{D96FA5CB-880E-4E26-8A5C-B722BBC94587}" type="presParOf" srcId="{4780FE82-27D9-436D-800D-BFA6EAC9695D}" destId="{158167A3-12BE-40AF-9DEC-0178E11016B1}" srcOrd="1" destOrd="0" presId="urn:microsoft.com/office/officeart/2005/8/layout/orgChart1"/>
    <dgm:cxn modelId="{E1E62B05-4026-4D59-BDB5-834E2FC09C87}" type="presParOf" srcId="{158167A3-12BE-40AF-9DEC-0178E11016B1}" destId="{59D23305-0CAC-42AF-A4AE-5D96B85C8414}" srcOrd="0" destOrd="0" presId="urn:microsoft.com/office/officeart/2005/8/layout/orgChart1"/>
    <dgm:cxn modelId="{7261F44B-3A6A-408F-8208-9642DB0214EC}" type="presParOf" srcId="{59D23305-0CAC-42AF-A4AE-5D96B85C8414}" destId="{D024F37F-94E2-4B34-9813-7A2766D42280}" srcOrd="0" destOrd="0" presId="urn:microsoft.com/office/officeart/2005/8/layout/orgChart1"/>
    <dgm:cxn modelId="{E98E241D-EAC1-4E72-8D99-15B3205FECC6}" type="presParOf" srcId="{59D23305-0CAC-42AF-A4AE-5D96B85C8414}" destId="{723E3FD4-C0E9-4B55-8EE6-6A0C881C1BD2}" srcOrd="1" destOrd="0" presId="urn:microsoft.com/office/officeart/2005/8/layout/orgChart1"/>
    <dgm:cxn modelId="{B48152BF-7A85-4875-90B5-CE7D4F4738A2}" type="presParOf" srcId="{158167A3-12BE-40AF-9DEC-0178E11016B1}" destId="{3407BF3F-D01A-49F7-B11B-973A9729BEEC}" srcOrd="1" destOrd="0" presId="urn:microsoft.com/office/officeart/2005/8/layout/orgChart1"/>
    <dgm:cxn modelId="{02DD30FC-7CB1-4316-8DE3-CE19657CB16D}" type="presParOf" srcId="{158167A3-12BE-40AF-9DEC-0178E11016B1}" destId="{96675FD9-9ED6-4C06-9918-DB96D00AA1FB}" srcOrd="2" destOrd="0" presId="urn:microsoft.com/office/officeart/2005/8/layout/orgChart1"/>
    <dgm:cxn modelId="{2F831FC0-BBB2-42D6-B3CB-0FE1C71264B6}" type="presParOf" srcId="{4780FE82-27D9-436D-800D-BFA6EAC9695D}" destId="{70DDF8CA-B3E1-405E-8D18-2E1F96FB1213}" srcOrd="2" destOrd="0" presId="urn:microsoft.com/office/officeart/2005/8/layout/orgChart1"/>
    <dgm:cxn modelId="{1CFC4150-ACB2-47B2-967E-09C8946D1520}" type="presParOf" srcId="{4780FE82-27D9-436D-800D-BFA6EAC9695D}" destId="{07AB21B6-3630-48FC-8EDA-9263BC1581F4}" srcOrd="3" destOrd="0" presId="urn:microsoft.com/office/officeart/2005/8/layout/orgChart1"/>
    <dgm:cxn modelId="{24866D49-612A-480A-8EEF-C0FA4FF240F2}" type="presParOf" srcId="{07AB21B6-3630-48FC-8EDA-9263BC1581F4}" destId="{C73AD00F-6610-4D98-A7E8-89F999478F6E}" srcOrd="0" destOrd="0" presId="urn:microsoft.com/office/officeart/2005/8/layout/orgChart1"/>
    <dgm:cxn modelId="{C312906D-B7C3-40EE-995F-886956DEFFB8}" type="presParOf" srcId="{C73AD00F-6610-4D98-A7E8-89F999478F6E}" destId="{86D3C2F6-1BA2-4EC2-A06A-A4BDD64C5391}" srcOrd="0" destOrd="0" presId="urn:microsoft.com/office/officeart/2005/8/layout/orgChart1"/>
    <dgm:cxn modelId="{6290DB81-7745-4124-A643-F3A7ED2F544F}" type="presParOf" srcId="{C73AD00F-6610-4D98-A7E8-89F999478F6E}" destId="{DF137CA0-ED8D-4659-B223-9C7356611D22}" srcOrd="1" destOrd="0" presId="urn:microsoft.com/office/officeart/2005/8/layout/orgChart1"/>
    <dgm:cxn modelId="{D7295CA9-247B-43BD-BF61-A60242EA854F}" type="presParOf" srcId="{07AB21B6-3630-48FC-8EDA-9263BC1581F4}" destId="{1ACC9DCF-3CAB-4021-80BA-02DA02E5E715}" srcOrd="1" destOrd="0" presId="urn:microsoft.com/office/officeart/2005/8/layout/orgChart1"/>
    <dgm:cxn modelId="{32177A1C-0788-4121-8A0B-F96029C48BF8}" type="presParOf" srcId="{07AB21B6-3630-48FC-8EDA-9263BC1581F4}" destId="{C165CAD9-9BAE-47C4-B540-DD6E361AA28A}" srcOrd="2" destOrd="0" presId="urn:microsoft.com/office/officeart/2005/8/layout/orgChart1"/>
    <dgm:cxn modelId="{409D636C-ED3B-4F8C-9E66-A977A993DA28}" type="presParOf" srcId="{4780FE82-27D9-436D-800D-BFA6EAC9695D}" destId="{067CB7C9-EBB1-4132-BC25-D738C9A77862}" srcOrd="4" destOrd="0" presId="urn:microsoft.com/office/officeart/2005/8/layout/orgChart1"/>
    <dgm:cxn modelId="{EF07C3F8-84C5-4548-9C4A-7DA9B7673F75}" type="presParOf" srcId="{4780FE82-27D9-436D-800D-BFA6EAC9695D}" destId="{6AE2D038-F431-4B6C-AAEA-5BB47FEB414A}" srcOrd="5" destOrd="0" presId="urn:microsoft.com/office/officeart/2005/8/layout/orgChart1"/>
    <dgm:cxn modelId="{B0DD5D79-06B2-4DBE-8B38-D6856142CA34}" type="presParOf" srcId="{6AE2D038-F431-4B6C-AAEA-5BB47FEB414A}" destId="{BC215F21-0FF2-40CD-97B6-AEDD0D8E2B47}" srcOrd="0" destOrd="0" presId="urn:microsoft.com/office/officeart/2005/8/layout/orgChart1"/>
    <dgm:cxn modelId="{95DBE73D-549F-431F-8832-8FCA6E0773A3}" type="presParOf" srcId="{BC215F21-0FF2-40CD-97B6-AEDD0D8E2B47}" destId="{4553BC22-FC3D-42A0-BD36-ADDC781F8C15}" srcOrd="0" destOrd="0" presId="urn:microsoft.com/office/officeart/2005/8/layout/orgChart1"/>
    <dgm:cxn modelId="{5E39917D-372C-43A6-B4CD-49B4EC190617}" type="presParOf" srcId="{BC215F21-0FF2-40CD-97B6-AEDD0D8E2B47}" destId="{BF284541-5B03-4BFD-8292-BBE68CEAEE68}" srcOrd="1" destOrd="0" presId="urn:microsoft.com/office/officeart/2005/8/layout/orgChart1"/>
    <dgm:cxn modelId="{E2CDF8D4-C8AC-4740-9A80-E383B1F773FE}" type="presParOf" srcId="{6AE2D038-F431-4B6C-AAEA-5BB47FEB414A}" destId="{7076D2ED-2C44-4F20-B915-3EE95C8FD191}" srcOrd="1" destOrd="0" presId="urn:microsoft.com/office/officeart/2005/8/layout/orgChart1"/>
    <dgm:cxn modelId="{867C1FE6-D7BC-4FD0-966B-12BF77D88AA0}" type="presParOf" srcId="{6AE2D038-F431-4B6C-AAEA-5BB47FEB414A}" destId="{9A35D22C-6389-48AD-8B95-418DE26FF20D}" srcOrd="2" destOrd="0" presId="urn:microsoft.com/office/officeart/2005/8/layout/orgChart1"/>
    <dgm:cxn modelId="{50F2F411-2D92-4367-9B4F-C82E1218F4DF}" type="presParOf" srcId="{B420538E-7AD9-4FE7-B5EA-7E66AEC2157E}" destId="{DA2A3F72-417D-4EF4-AEF5-166E0DAE5AE1}" srcOrd="2" destOrd="0" presId="urn:microsoft.com/office/officeart/2005/8/layout/orgChart1"/>
    <dgm:cxn modelId="{CBAD368C-5ADC-4BC2-9C83-F01A9F7F18A9}" type="presParOf" srcId="{BC837BE2-B0AD-47F5-B5D7-99704B572E3B}" destId="{AFC8CF63-59B3-4466-B2DD-2CE9C4B7F606}" srcOrd="2" destOrd="0" presId="urn:microsoft.com/office/officeart/2005/8/layout/orgChart1"/>
    <dgm:cxn modelId="{C963CC80-2943-4410-8346-1D94E37AFA6A}" type="presParOf" srcId="{BC837BE2-B0AD-47F5-B5D7-99704B572E3B}" destId="{074D472B-0CDC-44EB-8268-49DB96A45B60}" srcOrd="3" destOrd="0" presId="urn:microsoft.com/office/officeart/2005/8/layout/orgChart1"/>
    <dgm:cxn modelId="{FC56D8BD-47B0-44F1-A036-10CB02ECF023}" type="presParOf" srcId="{074D472B-0CDC-44EB-8268-49DB96A45B60}" destId="{14C1729C-4E97-4CA3-B8A3-284AFB2109DC}" srcOrd="0" destOrd="0" presId="urn:microsoft.com/office/officeart/2005/8/layout/orgChart1"/>
    <dgm:cxn modelId="{8E8FA8C5-07FD-4B24-A770-64937B91A571}" type="presParOf" srcId="{14C1729C-4E97-4CA3-B8A3-284AFB2109DC}" destId="{DCB63B5E-01A1-4605-A525-F78034EE1D65}" srcOrd="0" destOrd="0" presId="urn:microsoft.com/office/officeart/2005/8/layout/orgChart1"/>
    <dgm:cxn modelId="{856B1259-B9D3-4708-82DC-E6C71B5D4EEF}" type="presParOf" srcId="{14C1729C-4E97-4CA3-B8A3-284AFB2109DC}" destId="{B494A471-862C-481B-89C0-30B8B1831A83}" srcOrd="1" destOrd="0" presId="urn:microsoft.com/office/officeart/2005/8/layout/orgChart1"/>
    <dgm:cxn modelId="{E4B04FE1-0F2A-4DAE-A4C5-9DF9B833CFFC}" type="presParOf" srcId="{074D472B-0CDC-44EB-8268-49DB96A45B60}" destId="{F6A577EB-6BDB-4AA2-B37B-E2BC00CB71FF}" srcOrd="1" destOrd="0" presId="urn:microsoft.com/office/officeart/2005/8/layout/orgChart1"/>
    <dgm:cxn modelId="{FD05894C-B464-4808-82F1-9B0942249AB6}" type="presParOf" srcId="{F6A577EB-6BDB-4AA2-B37B-E2BC00CB71FF}" destId="{439F5D42-A95C-43BD-833E-3FBAC251D093}" srcOrd="0" destOrd="0" presId="urn:microsoft.com/office/officeart/2005/8/layout/orgChart1"/>
    <dgm:cxn modelId="{5FC7B12D-1116-49A6-A0DC-AE6429FF5722}" type="presParOf" srcId="{F6A577EB-6BDB-4AA2-B37B-E2BC00CB71FF}" destId="{56A2738B-BDF0-4665-ABE1-2DD8C7AE01EA}" srcOrd="1" destOrd="0" presId="urn:microsoft.com/office/officeart/2005/8/layout/orgChart1"/>
    <dgm:cxn modelId="{E6F6699B-2A83-438D-8DF6-93C9E45D4D88}" type="presParOf" srcId="{56A2738B-BDF0-4665-ABE1-2DD8C7AE01EA}" destId="{131E0320-60CB-4ACA-A0E5-AF37E7462A02}" srcOrd="0" destOrd="0" presId="urn:microsoft.com/office/officeart/2005/8/layout/orgChart1"/>
    <dgm:cxn modelId="{EC8D7970-4390-40A2-8BEB-2A99B7BAAE39}" type="presParOf" srcId="{131E0320-60CB-4ACA-A0E5-AF37E7462A02}" destId="{4A292C6A-D55F-40A2-86D6-77C08D717DC4}" srcOrd="0" destOrd="0" presId="urn:microsoft.com/office/officeart/2005/8/layout/orgChart1"/>
    <dgm:cxn modelId="{BA50FDEA-5C34-4F7D-BD6C-BD50D021B5E2}" type="presParOf" srcId="{131E0320-60CB-4ACA-A0E5-AF37E7462A02}" destId="{FE357B84-552C-4138-BB92-BBB9EAF81B43}" srcOrd="1" destOrd="0" presId="urn:microsoft.com/office/officeart/2005/8/layout/orgChart1"/>
    <dgm:cxn modelId="{C2EA821D-6A89-4B5A-B5EE-C269EC777EE6}" type="presParOf" srcId="{56A2738B-BDF0-4665-ABE1-2DD8C7AE01EA}" destId="{A92506B9-28CB-46EE-906C-10A67A544334}" srcOrd="1" destOrd="0" presId="urn:microsoft.com/office/officeart/2005/8/layout/orgChart1"/>
    <dgm:cxn modelId="{939B1095-0625-488D-B187-263CADE9B674}" type="presParOf" srcId="{56A2738B-BDF0-4665-ABE1-2DD8C7AE01EA}" destId="{2EBBFA07-BFF5-49C6-AF26-C84C0596DA0C}" srcOrd="2" destOrd="0" presId="urn:microsoft.com/office/officeart/2005/8/layout/orgChart1"/>
    <dgm:cxn modelId="{D860020A-703C-4820-8ABE-54D147EE6CF9}" type="presParOf" srcId="{F6A577EB-6BDB-4AA2-B37B-E2BC00CB71FF}" destId="{6304BEE4-0206-46F3-AD68-890602DA1442}" srcOrd="2" destOrd="0" presId="urn:microsoft.com/office/officeart/2005/8/layout/orgChart1"/>
    <dgm:cxn modelId="{4AD46C56-E201-4259-96A8-C348D2F5A838}" type="presParOf" srcId="{F6A577EB-6BDB-4AA2-B37B-E2BC00CB71FF}" destId="{4ED0D08F-B3D3-425A-AB6C-910C6B469E17}" srcOrd="3" destOrd="0" presId="urn:microsoft.com/office/officeart/2005/8/layout/orgChart1"/>
    <dgm:cxn modelId="{4C2EA083-8222-4F0F-B3BB-4A63EF654810}" type="presParOf" srcId="{4ED0D08F-B3D3-425A-AB6C-910C6B469E17}" destId="{56149AB1-9508-4C49-9253-94A6DEF6E9F8}" srcOrd="0" destOrd="0" presId="urn:microsoft.com/office/officeart/2005/8/layout/orgChart1"/>
    <dgm:cxn modelId="{1C556204-B9C2-4778-9004-32E455D3EE17}" type="presParOf" srcId="{56149AB1-9508-4C49-9253-94A6DEF6E9F8}" destId="{FFEC97AD-1095-41F1-AD09-3D5454073EC7}" srcOrd="0" destOrd="0" presId="urn:microsoft.com/office/officeart/2005/8/layout/orgChart1"/>
    <dgm:cxn modelId="{570EB59C-E62F-4EF3-ACC9-0FC24619843F}" type="presParOf" srcId="{56149AB1-9508-4C49-9253-94A6DEF6E9F8}" destId="{D93534BD-AA37-4E4A-960A-C38DC43D4BB0}" srcOrd="1" destOrd="0" presId="urn:microsoft.com/office/officeart/2005/8/layout/orgChart1"/>
    <dgm:cxn modelId="{751F9797-7DB9-4CF2-8C79-BBB028C26114}" type="presParOf" srcId="{4ED0D08F-B3D3-425A-AB6C-910C6B469E17}" destId="{73F1BC2C-4B7B-4855-82C2-BE043456342F}" srcOrd="1" destOrd="0" presId="urn:microsoft.com/office/officeart/2005/8/layout/orgChart1"/>
    <dgm:cxn modelId="{81F54EA2-B956-4A85-B896-98F368CCEEA4}" type="presParOf" srcId="{4ED0D08F-B3D3-425A-AB6C-910C6B469E17}" destId="{A5089721-732D-4F32-A731-6BCF59E033BA}" srcOrd="2" destOrd="0" presId="urn:microsoft.com/office/officeart/2005/8/layout/orgChart1"/>
    <dgm:cxn modelId="{E17A1837-A61A-4AAF-9612-7538D0933DBE}" type="presParOf" srcId="{F6A577EB-6BDB-4AA2-B37B-E2BC00CB71FF}" destId="{D317B86E-B4F3-4FF6-AF47-C15C55C75D11}" srcOrd="4" destOrd="0" presId="urn:microsoft.com/office/officeart/2005/8/layout/orgChart1"/>
    <dgm:cxn modelId="{C9324940-416C-40D8-B213-7DCCAA27A137}" type="presParOf" srcId="{F6A577EB-6BDB-4AA2-B37B-E2BC00CB71FF}" destId="{AB38FC25-3400-413D-8A0A-414B11EC64E1}" srcOrd="5" destOrd="0" presId="urn:microsoft.com/office/officeart/2005/8/layout/orgChart1"/>
    <dgm:cxn modelId="{A786DDDF-D012-430D-A74A-D42F0E2B8C2C}" type="presParOf" srcId="{AB38FC25-3400-413D-8A0A-414B11EC64E1}" destId="{EF9E334F-048A-4E70-AC76-690C74209BB6}" srcOrd="0" destOrd="0" presId="urn:microsoft.com/office/officeart/2005/8/layout/orgChart1"/>
    <dgm:cxn modelId="{B5F04CA8-5B68-4312-BEB7-080448FFBFD7}" type="presParOf" srcId="{EF9E334F-048A-4E70-AC76-690C74209BB6}" destId="{B009C9E5-404B-4E24-A2E9-C62D39B47C0B}" srcOrd="0" destOrd="0" presId="urn:microsoft.com/office/officeart/2005/8/layout/orgChart1"/>
    <dgm:cxn modelId="{6622A9C8-1CB6-4760-ADA2-DFF2A73EBA15}" type="presParOf" srcId="{EF9E334F-048A-4E70-AC76-690C74209BB6}" destId="{591B7395-A80E-43E9-A7BD-FEDBB3A6D5C2}" srcOrd="1" destOrd="0" presId="urn:microsoft.com/office/officeart/2005/8/layout/orgChart1"/>
    <dgm:cxn modelId="{DA550753-B2AB-4DFE-A2DC-FAD23DA8BACE}" type="presParOf" srcId="{AB38FC25-3400-413D-8A0A-414B11EC64E1}" destId="{9E38AE7D-3DA7-462E-9A12-A708EA755763}" srcOrd="1" destOrd="0" presId="urn:microsoft.com/office/officeart/2005/8/layout/orgChart1"/>
    <dgm:cxn modelId="{27A40BC4-3B72-4E6B-96F4-52301541A7F6}" type="presParOf" srcId="{AB38FC25-3400-413D-8A0A-414B11EC64E1}" destId="{372CBB9E-B515-4131-A949-2FC932CF4870}" srcOrd="2" destOrd="0" presId="urn:microsoft.com/office/officeart/2005/8/layout/orgChart1"/>
    <dgm:cxn modelId="{6DCF11DD-13C1-4946-8252-A8D0047C1656}" type="presParOf" srcId="{F6A577EB-6BDB-4AA2-B37B-E2BC00CB71FF}" destId="{11E41049-BE71-4F13-932B-53AA31892EE8}" srcOrd="6" destOrd="0" presId="urn:microsoft.com/office/officeart/2005/8/layout/orgChart1"/>
    <dgm:cxn modelId="{AD528AE2-E09D-46FB-9EC7-45E7E39712A1}" type="presParOf" srcId="{F6A577EB-6BDB-4AA2-B37B-E2BC00CB71FF}" destId="{F4AF4FF8-10CD-4ED5-9829-484C2BB59C66}" srcOrd="7" destOrd="0" presId="urn:microsoft.com/office/officeart/2005/8/layout/orgChart1"/>
    <dgm:cxn modelId="{ADC1D409-C667-45CF-9CBD-D296EF48BCFA}" type="presParOf" srcId="{F4AF4FF8-10CD-4ED5-9829-484C2BB59C66}" destId="{096A96D0-1ADC-47FB-95E0-B216F1CE0E73}" srcOrd="0" destOrd="0" presId="urn:microsoft.com/office/officeart/2005/8/layout/orgChart1"/>
    <dgm:cxn modelId="{27FC01A2-C1F9-4007-8299-75E07C0DFD6B}" type="presParOf" srcId="{096A96D0-1ADC-47FB-95E0-B216F1CE0E73}" destId="{1F7C8B21-6454-4D2D-A3D6-2141D42F9A3B}" srcOrd="0" destOrd="0" presId="urn:microsoft.com/office/officeart/2005/8/layout/orgChart1"/>
    <dgm:cxn modelId="{E961B806-F9BB-4E62-95F8-9D7DFEEE9947}" type="presParOf" srcId="{096A96D0-1ADC-47FB-95E0-B216F1CE0E73}" destId="{0F0DD426-35FE-4250-9951-B687E263B2A0}" srcOrd="1" destOrd="0" presId="urn:microsoft.com/office/officeart/2005/8/layout/orgChart1"/>
    <dgm:cxn modelId="{F1CFC8E0-CF62-4ECE-8865-B98E4E38D3F3}" type="presParOf" srcId="{F4AF4FF8-10CD-4ED5-9829-484C2BB59C66}" destId="{B226687A-140F-4302-BEAA-01812D3F89BF}" srcOrd="1" destOrd="0" presId="urn:microsoft.com/office/officeart/2005/8/layout/orgChart1"/>
    <dgm:cxn modelId="{24433B8F-F3FF-4BBE-AD73-B9368B786318}" type="presParOf" srcId="{F4AF4FF8-10CD-4ED5-9829-484C2BB59C66}" destId="{B86BBC95-539E-4251-85B5-4F3A3AE61DD1}" srcOrd="2" destOrd="0" presId="urn:microsoft.com/office/officeart/2005/8/layout/orgChart1"/>
    <dgm:cxn modelId="{6E11D338-1149-4074-BCAE-7D0FA238DDB6}" type="presParOf" srcId="{074D472B-0CDC-44EB-8268-49DB96A45B60}" destId="{F4DE0565-ABA0-4EA3-8A75-646A53FF05BE}" srcOrd="2" destOrd="0" presId="urn:microsoft.com/office/officeart/2005/8/layout/orgChart1"/>
    <dgm:cxn modelId="{0ABD8EFA-E0C9-4FCF-B3CD-D0E61319328B}" type="presParOf" srcId="{BC837BE2-B0AD-47F5-B5D7-99704B572E3B}" destId="{96B0C170-9AAE-4B57-8762-865775F1C15D}" srcOrd="4" destOrd="0" presId="urn:microsoft.com/office/officeart/2005/8/layout/orgChart1"/>
    <dgm:cxn modelId="{9E88BAE2-EE16-4B3B-921B-45F2E990F138}" type="presParOf" srcId="{BC837BE2-B0AD-47F5-B5D7-99704B572E3B}" destId="{D21A0736-7337-4A4E-8CD6-5E78B3A25925}" srcOrd="5" destOrd="0" presId="urn:microsoft.com/office/officeart/2005/8/layout/orgChart1"/>
    <dgm:cxn modelId="{2DE7DA51-14AB-4758-A2B8-FAB38C781B4F}" type="presParOf" srcId="{D21A0736-7337-4A4E-8CD6-5E78B3A25925}" destId="{E37575B0-40DC-48C4-82F6-E0248D68FDDD}" srcOrd="0" destOrd="0" presId="urn:microsoft.com/office/officeart/2005/8/layout/orgChart1"/>
    <dgm:cxn modelId="{7A17194E-4F64-4A03-BAC5-D26AC54F4664}" type="presParOf" srcId="{E37575B0-40DC-48C4-82F6-E0248D68FDDD}" destId="{A8A41A9A-7AD5-478C-889E-38E09CD276D7}" srcOrd="0" destOrd="0" presId="urn:microsoft.com/office/officeart/2005/8/layout/orgChart1"/>
    <dgm:cxn modelId="{8065A0FB-111A-4A98-AE11-7ECA601CEBF1}" type="presParOf" srcId="{E37575B0-40DC-48C4-82F6-E0248D68FDDD}" destId="{C2E32445-CD70-48AA-9E56-9AC116C94861}" srcOrd="1" destOrd="0" presId="urn:microsoft.com/office/officeart/2005/8/layout/orgChart1"/>
    <dgm:cxn modelId="{B7EEAE42-33BE-4F3B-969E-EBF412A5D8F4}" type="presParOf" srcId="{D21A0736-7337-4A4E-8CD6-5E78B3A25925}" destId="{5F5317A7-22E5-4ED4-BD73-D9C652E00289}" srcOrd="1" destOrd="0" presId="urn:microsoft.com/office/officeart/2005/8/layout/orgChart1"/>
    <dgm:cxn modelId="{8F586D56-6EFC-4FCA-9222-851E524E8113}" type="presParOf" srcId="{5F5317A7-22E5-4ED4-BD73-D9C652E00289}" destId="{6841ED07-A118-449F-9891-6F62DB97C072}" srcOrd="0" destOrd="0" presId="urn:microsoft.com/office/officeart/2005/8/layout/orgChart1"/>
    <dgm:cxn modelId="{2384A2C0-C029-4754-B8EB-253E3A5F3FC2}" type="presParOf" srcId="{5F5317A7-22E5-4ED4-BD73-D9C652E00289}" destId="{01CCD03E-82E0-4C03-A9F1-6E559B1A9DC9}" srcOrd="1" destOrd="0" presId="urn:microsoft.com/office/officeart/2005/8/layout/orgChart1"/>
    <dgm:cxn modelId="{1E79A044-3B4A-45B4-A6ED-9A6ED4292D63}" type="presParOf" srcId="{01CCD03E-82E0-4C03-A9F1-6E559B1A9DC9}" destId="{456CAC8A-1DDE-4449-90B8-1879270D6B34}" srcOrd="0" destOrd="0" presId="urn:microsoft.com/office/officeart/2005/8/layout/orgChart1"/>
    <dgm:cxn modelId="{383231C9-BA3F-4152-9164-DBFDE65AF3E9}" type="presParOf" srcId="{456CAC8A-1DDE-4449-90B8-1879270D6B34}" destId="{60729BF5-6E5E-4083-8469-7B3BE778D16A}" srcOrd="0" destOrd="0" presId="urn:microsoft.com/office/officeart/2005/8/layout/orgChart1"/>
    <dgm:cxn modelId="{F28ED54B-79D4-4DC2-91AF-892366355DBC}" type="presParOf" srcId="{456CAC8A-1DDE-4449-90B8-1879270D6B34}" destId="{E677D894-2DB4-486E-A81A-B61CA1283D05}" srcOrd="1" destOrd="0" presId="urn:microsoft.com/office/officeart/2005/8/layout/orgChart1"/>
    <dgm:cxn modelId="{E7CCE746-1D4D-4A3E-B194-B5150DC3FD31}" type="presParOf" srcId="{01CCD03E-82E0-4C03-A9F1-6E559B1A9DC9}" destId="{F6179C61-3DA2-40B4-85C0-582159CE3C7D}" srcOrd="1" destOrd="0" presId="urn:microsoft.com/office/officeart/2005/8/layout/orgChart1"/>
    <dgm:cxn modelId="{13B18D44-C8C3-46A3-AF02-B187E4FC3D64}" type="presParOf" srcId="{01CCD03E-82E0-4C03-A9F1-6E559B1A9DC9}" destId="{CD90AFEC-E897-4954-A0E5-E3DAA68A915F}" srcOrd="2" destOrd="0" presId="urn:microsoft.com/office/officeart/2005/8/layout/orgChart1"/>
    <dgm:cxn modelId="{F4DDF14E-9368-4FAF-B0C2-359E2C6BBED0}" type="presParOf" srcId="{D21A0736-7337-4A4E-8CD6-5E78B3A25925}" destId="{1D1280F3-8BC6-4446-91D0-971573973BBB}" srcOrd="2" destOrd="0" presId="urn:microsoft.com/office/officeart/2005/8/layout/orgChart1"/>
    <dgm:cxn modelId="{CBB8D6CA-77C0-4E4A-9F6F-2BCE3A6E144F}" type="presParOf" srcId="{BC837BE2-B0AD-47F5-B5D7-99704B572E3B}" destId="{7648A70C-AEEB-4482-8031-8D1B2C96BDA2}" srcOrd="6" destOrd="0" presId="urn:microsoft.com/office/officeart/2005/8/layout/orgChart1"/>
    <dgm:cxn modelId="{77A55CC6-16EF-43F5-92E4-68D73B3B388F}" type="presParOf" srcId="{BC837BE2-B0AD-47F5-B5D7-99704B572E3B}" destId="{6F5E22D7-FE91-40EA-A9E0-1FBA891C2984}" srcOrd="7" destOrd="0" presId="urn:microsoft.com/office/officeart/2005/8/layout/orgChart1"/>
    <dgm:cxn modelId="{F7812E07-ABAF-4EB2-9516-5B6D1BA46BB5}" type="presParOf" srcId="{6F5E22D7-FE91-40EA-A9E0-1FBA891C2984}" destId="{8444A73E-3663-45A5-A5D3-BA4E5D178421}" srcOrd="0" destOrd="0" presId="urn:microsoft.com/office/officeart/2005/8/layout/orgChart1"/>
    <dgm:cxn modelId="{07466AC1-D223-4F86-95A8-AE9738580F8B}" type="presParOf" srcId="{8444A73E-3663-45A5-A5D3-BA4E5D178421}" destId="{DD5C80EF-0A20-405F-83B4-C8CA5E6D5155}" srcOrd="0" destOrd="0" presId="urn:microsoft.com/office/officeart/2005/8/layout/orgChart1"/>
    <dgm:cxn modelId="{E5B4340D-A106-41A2-948E-09239FD98A45}" type="presParOf" srcId="{8444A73E-3663-45A5-A5D3-BA4E5D178421}" destId="{BCCA6BB9-D48D-4520-9625-FBFBE4AE81C7}" srcOrd="1" destOrd="0" presId="urn:microsoft.com/office/officeart/2005/8/layout/orgChart1"/>
    <dgm:cxn modelId="{1F79DCE4-05EE-42B7-861B-CE279B72C93A}" type="presParOf" srcId="{6F5E22D7-FE91-40EA-A9E0-1FBA891C2984}" destId="{C861CBFE-EF28-4D44-A5D6-70439CB9D65D}" srcOrd="1" destOrd="0" presId="urn:microsoft.com/office/officeart/2005/8/layout/orgChart1"/>
    <dgm:cxn modelId="{86CEFB4C-5FB9-4C9F-B4EA-A22042C30721}" type="presParOf" srcId="{C861CBFE-EF28-4D44-A5D6-70439CB9D65D}" destId="{395CC4D3-E698-4088-B06B-30633BBB1341}" srcOrd="0" destOrd="0" presId="urn:microsoft.com/office/officeart/2005/8/layout/orgChart1"/>
    <dgm:cxn modelId="{59CE9FB8-333F-45CD-A53C-8ACC14672D40}" type="presParOf" srcId="{C861CBFE-EF28-4D44-A5D6-70439CB9D65D}" destId="{29D45808-FA43-4B5F-9346-F325F7DD0CCB}" srcOrd="1" destOrd="0" presId="urn:microsoft.com/office/officeart/2005/8/layout/orgChart1"/>
    <dgm:cxn modelId="{284EAC25-4D45-4856-A11D-D92D2014C996}" type="presParOf" srcId="{29D45808-FA43-4B5F-9346-F325F7DD0CCB}" destId="{C52E12EE-B098-4C31-95AC-7262CE37AC6F}" srcOrd="0" destOrd="0" presId="urn:microsoft.com/office/officeart/2005/8/layout/orgChart1"/>
    <dgm:cxn modelId="{41E58107-65A3-4561-92DD-BF5AD9A17721}" type="presParOf" srcId="{C52E12EE-B098-4C31-95AC-7262CE37AC6F}" destId="{BC286356-568D-4AFF-AA18-99A7A5C5F806}" srcOrd="0" destOrd="0" presId="urn:microsoft.com/office/officeart/2005/8/layout/orgChart1"/>
    <dgm:cxn modelId="{E3E73403-E7BB-4BD0-A637-C336D7A73176}" type="presParOf" srcId="{C52E12EE-B098-4C31-95AC-7262CE37AC6F}" destId="{B919D007-2DF0-4659-98FE-D01DF88908D6}" srcOrd="1" destOrd="0" presId="urn:microsoft.com/office/officeart/2005/8/layout/orgChart1"/>
    <dgm:cxn modelId="{9C1860CC-2E87-4819-A5B2-F498B85FD4ED}" type="presParOf" srcId="{29D45808-FA43-4B5F-9346-F325F7DD0CCB}" destId="{3A3E4A16-D48F-4207-90E6-419A3167B368}" srcOrd="1" destOrd="0" presId="urn:microsoft.com/office/officeart/2005/8/layout/orgChart1"/>
    <dgm:cxn modelId="{33871E6D-36D3-483B-8304-BCF49F4905B4}" type="presParOf" srcId="{29D45808-FA43-4B5F-9346-F325F7DD0CCB}" destId="{F9C25B09-4F55-4F10-9CEE-1DC06258A89A}" srcOrd="2" destOrd="0" presId="urn:microsoft.com/office/officeart/2005/8/layout/orgChart1"/>
    <dgm:cxn modelId="{CDB00379-A991-4055-9308-CCDD6B847F1D}" type="presParOf" srcId="{C861CBFE-EF28-4D44-A5D6-70439CB9D65D}" destId="{ABC81028-C6B3-4DE3-8655-E48B5413891C}" srcOrd="2" destOrd="0" presId="urn:microsoft.com/office/officeart/2005/8/layout/orgChart1"/>
    <dgm:cxn modelId="{9B99CD9B-D788-40A5-960E-AED97FA1BD83}" type="presParOf" srcId="{C861CBFE-EF28-4D44-A5D6-70439CB9D65D}" destId="{89E79210-3F8D-463B-9315-4127D5807896}" srcOrd="3" destOrd="0" presId="urn:microsoft.com/office/officeart/2005/8/layout/orgChart1"/>
    <dgm:cxn modelId="{487259F8-8BD2-4F19-B5C3-0C6AB6051973}" type="presParOf" srcId="{89E79210-3F8D-463B-9315-4127D5807896}" destId="{371CEF50-03C7-4767-9795-28BE0365B9FC}" srcOrd="0" destOrd="0" presId="urn:microsoft.com/office/officeart/2005/8/layout/orgChart1"/>
    <dgm:cxn modelId="{8D44A059-7E0E-49E3-980D-3FA98C059776}" type="presParOf" srcId="{371CEF50-03C7-4767-9795-28BE0365B9FC}" destId="{9AE532EF-033C-484C-8BE3-51C6C3488C16}" srcOrd="0" destOrd="0" presId="urn:microsoft.com/office/officeart/2005/8/layout/orgChart1"/>
    <dgm:cxn modelId="{C3ED6849-6E33-4C22-8B79-5FAC9B85C8F1}" type="presParOf" srcId="{371CEF50-03C7-4767-9795-28BE0365B9FC}" destId="{45FF0163-31A4-47C2-9033-47B07B38DAD7}" srcOrd="1" destOrd="0" presId="urn:microsoft.com/office/officeart/2005/8/layout/orgChart1"/>
    <dgm:cxn modelId="{F2648016-092A-4F40-B22E-828B6EEA42D7}" type="presParOf" srcId="{89E79210-3F8D-463B-9315-4127D5807896}" destId="{23171A22-6D86-4B00-B30F-0647A3DD4FC6}" srcOrd="1" destOrd="0" presId="urn:microsoft.com/office/officeart/2005/8/layout/orgChart1"/>
    <dgm:cxn modelId="{FCE5314A-BDDC-4286-B9B3-5BA73DBBC036}" type="presParOf" srcId="{89E79210-3F8D-463B-9315-4127D5807896}" destId="{D9A21FE6-B351-423D-B1AD-8D4B4F48E839}" srcOrd="2" destOrd="0" presId="urn:microsoft.com/office/officeart/2005/8/layout/orgChart1"/>
    <dgm:cxn modelId="{BB6F02CD-52AE-47DB-9986-0E9FAB0A48C8}" type="presParOf" srcId="{6F5E22D7-FE91-40EA-A9E0-1FBA891C2984}" destId="{F5D50D20-201E-4E16-A657-01A26B204248}" srcOrd="2" destOrd="0" presId="urn:microsoft.com/office/officeart/2005/8/layout/orgChart1"/>
    <dgm:cxn modelId="{558CB48F-ED35-4F7E-8178-4C5ECA0541AF}" type="presParOf" srcId="{7048CAAA-66B5-4A3B-B291-6A8149EBC2F5}" destId="{79C86D08-3419-49FD-8000-225488C8D83F}"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A51F179-A9D0-4341-AB41-57EE8F21A280}"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764AC8D5-C015-44F4-B8CC-6A92C21C591F}">
      <dgm:prSet phldrT="[Text]"/>
      <dgm:spPr/>
      <dgm:t>
        <a:bodyPr/>
        <a:lstStyle/>
        <a:p>
          <a:r>
            <a:rPr lang="en-US" b="1">
              <a:latin typeface="Times New Roman" panose="02020603050405020304" pitchFamily="18" charset="0"/>
              <a:cs typeface="Times New Roman" panose="02020603050405020304" pitchFamily="18" charset="0"/>
            </a:rPr>
            <a:t>History of Cerebrovascular Disease</a:t>
          </a:r>
        </a:p>
      </dgm:t>
    </dgm:pt>
    <dgm:pt modelId="{6BDBF57B-22ED-4D68-BAF7-470CA0271234}" type="parTrans" cxnId="{42AFD202-46F3-44A0-BCC6-17E3A9326A1B}">
      <dgm:prSet/>
      <dgm:spPr/>
      <dgm:t>
        <a:bodyPr/>
        <a:lstStyle/>
        <a:p>
          <a:endParaRPr lang="en-US">
            <a:latin typeface="Times New Roman" panose="02020603050405020304" pitchFamily="18" charset="0"/>
            <a:cs typeface="Times New Roman" panose="02020603050405020304" pitchFamily="18" charset="0"/>
          </a:endParaRPr>
        </a:p>
      </dgm:t>
    </dgm:pt>
    <dgm:pt modelId="{506B406F-4602-42B1-9D8A-1F3972AE386E}" type="sibTrans" cxnId="{42AFD202-46F3-44A0-BCC6-17E3A9326A1B}">
      <dgm:prSet/>
      <dgm:spPr/>
      <dgm:t>
        <a:bodyPr/>
        <a:lstStyle/>
        <a:p>
          <a:endParaRPr lang="en-US">
            <a:latin typeface="Times New Roman" panose="02020603050405020304" pitchFamily="18" charset="0"/>
            <a:cs typeface="Times New Roman" panose="02020603050405020304" pitchFamily="18" charset="0"/>
          </a:endParaRPr>
        </a:p>
      </dgm:t>
    </dgm:pt>
    <dgm:pt modelId="{9C3FA47B-9C87-4AB0-AB0F-80465B400AE5}">
      <dgm:prSet phldrT="[Text]"/>
      <dgm:spPr/>
      <dgm:t>
        <a:bodyPr/>
        <a:lstStyle/>
        <a:p>
          <a:r>
            <a:rPr lang="en-US" b="1">
              <a:solidFill>
                <a:srgbClr val="EE0000"/>
              </a:solidFill>
              <a:latin typeface="Times New Roman" panose="02020603050405020304" pitchFamily="18" charset="0"/>
              <a:cs typeface="Times New Roman" panose="02020603050405020304" pitchFamily="18" charset="0"/>
            </a:rPr>
            <a:t>History of CVA/TIA </a:t>
          </a:r>
          <a:r>
            <a:rPr lang="en-US" b="0">
              <a:solidFill>
                <a:sysClr val="windowText" lastClr="000000"/>
              </a:solidFill>
              <a:latin typeface="Times New Roman" panose="02020603050405020304" pitchFamily="18" charset="0"/>
              <a:cs typeface="Times New Roman" panose="02020603050405020304" pitchFamily="18" charset="0"/>
            </a:rPr>
            <a:t>[2]</a:t>
          </a:r>
          <a:r>
            <a:rPr lang="en-US" b="1">
              <a:solidFill>
                <a:srgbClr val="EE0000"/>
              </a:solidFill>
              <a:latin typeface="Times New Roman" panose="02020603050405020304" pitchFamily="18" charset="0"/>
              <a:cs typeface="Times New Roman" panose="02020603050405020304" pitchFamily="18" charset="0"/>
            </a:rPr>
            <a:t> </a:t>
          </a:r>
        </a:p>
      </dgm:t>
    </dgm:pt>
    <dgm:pt modelId="{ABA25FDE-52B6-4310-882F-429643537077}" type="parTrans" cxnId="{1202D86A-E0F5-485F-A2FC-93E5CE79BA5B}">
      <dgm:prSet/>
      <dgm:spPr/>
      <dgm:t>
        <a:bodyPr/>
        <a:lstStyle/>
        <a:p>
          <a:endParaRPr lang="en-US">
            <a:latin typeface="Times New Roman" panose="02020603050405020304" pitchFamily="18" charset="0"/>
            <a:cs typeface="Times New Roman" panose="02020603050405020304" pitchFamily="18" charset="0"/>
          </a:endParaRPr>
        </a:p>
      </dgm:t>
    </dgm:pt>
    <dgm:pt modelId="{B5EAF2D0-46F1-4CC5-A4B0-576880242C54}" type="sibTrans" cxnId="{1202D86A-E0F5-485F-A2FC-93E5CE79BA5B}">
      <dgm:prSet/>
      <dgm:spPr/>
      <dgm:t>
        <a:bodyPr/>
        <a:lstStyle/>
        <a:p>
          <a:endParaRPr lang="en-US">
            <a:latin typeface="Times New Roman" panose="02020603050405020304" pitchFamily="18" charset="0"/>
            <a:cs typeface="Times New Roman" panose="02020603050405020304" pitchFamily="18" charset="0"/>
          </a:endParaRPr>
        </a:p>
      </dgm:t>
    </dgm:pt>
    <dgm:pt modelId="{ECB924C5-8882-4F92-B0E7-326F576AF399}">
      <dgm:prSet phldrT="[Text]"/>
      <dgm:spPr/>
      <dgm:t>
        <a:bodyPr/>
        <a:lstStyle/>
        <a:p>
          <a:pPr>
            <a:buNone/>
          </a:pPr>
          <a:r>
            <a:rPr lang="en-US" b="1">
              <a:solidFill>
                <a:srgbClr val="EE0000"/>
              </a:solidFill>
              <a:latin typeface="Times New Roman" panose="02020603050405020304" pitchFamily="18" charset="0"/>
              <a:cs typeface="Times New Roman" panose="02020603050405020304" pitchFamily="18" charset="0"/>
            </a:rPr>
            <a:t>History of carotid endarterectomy </a:t>
          </a:r>
          <a:r>
            <a:rPr lang="en-US" b="0">
              <a:solidFill>
                <a:sysClr val="windowText" lastClr="000000"/>
              </a:solidFill>
              <a:latin typeface="Times New Roman" panose="02020603050405020304" pitchFamily="18" charset="0"/>
              <a:cs typeface="Times New Roman" panose="02020603050405020304" pitchFamily="18" charset="0"/>
            </a:rPr>
            <a:t>[2]</a:t>
          </a:r>
          <a:endParaRPr lang="en-US" b="1">
            <a:solidFill>
              <a:srgbClr val="EE0000"/>
            </a:solidFill>
            <a:latin typeface="Times New Roman" panose="02020603050405020304" pitchFamily="18" charset="0"/>
            <a:cs typeface="Times New Roman" panose="02020603050405020304" pitchFamily="18" charset="0"/>
          </a:endParaRPr>
        </a:p>
      </dgm:t>
    </dgm:pt>
    <dgm:pt modelId="{4FF5AAA5-1994-4856-A621-012AF683A08C}" type="parTrans" cxnId="{10F788A0-8EA0-44D4-A58F-280734292238}">
      <dgm:prSet/>
      <dgm:spPr/>
      <dgm:t>
        <a:bodyPr/>
        <a:lstStyle/>
        <a:p>
          <a:endParaRPr lang="en-US">
            <a:latin typeface="Times New Roman" panose="02020603050405020304" pitchFamily="18" charset="0"/>
            <a:cs typeface="Times New Roman" panose="02020603050405020304" pitchFamily="18" charset="0"/>
          </a:endParaRPr>
        </a:p>
      </dgm:t>
    </dgm:pt>
    <dgm:pt modelId="{62AFC9FE-E12D-4DB6-AA03-49692C9D9831}" type="sibTrans" cxnId="{10F788A0-8EA0-44D4-A58F-280734292238}">
      <dgm:prSet/>
      <dgm:spPr/>
      <dgm:t>
        <a:bodyPr/>
        <a:lstStyle/>
        <a:p>
          <a:endParaRPr lang="en-US">
            <a:latin typeface="Times New Roman" panose="02020603050405020304" pitchFamily="18" charset="0"/>
            <a:cs typeface="Times New Roman" panose="02020603050405020304" pitchFamily="18" charset="0"/>
          </a:endParaRPr>
        </a:p>
      </dgm:t>
    </dgm:pt>
    <dgm:pt modelId="{5D9B45C0-DFD2-4DD3-A691-8953C3696FB6}">
      <dgm:prSet phldrT="[Text]"/>
      <dgm:spPr/>
      <dgm:t>
        <a:bodyPr/>
        <a:lstStyle/>
        <a:p>
          <a:pPr>
            <a:buNone/>
          </a:pPr>
          <a:r>
            <a:rPr lang="en-US" b="1">
              <a:solidFill>
                <a:srgbClr val="EE0000"/>
              </a:solidFill>
              <a:latin typeface="Times New Roman" panose="02020603050405020304" pitchFamily="18" charset="0"/>
              <a:cs typeface="Times New Roman" panose="02020603050405020304" pitchFamily="18" charset="0"/>
            </a:rPr>
            <a:t>History of carotid stenting </a:t>
          </a:r>
          <a:r>
            <a:rPr lang="en-US" b="0">
              <a:solidFill>
                <a:sysClr val="windowText" lastClr="000000"/>
              </a:solidFill>
              <a:latin typeface="Times New Roman" panose="02020603050405020304" pitchFamily="18" charset="0"/>
              <a:cs typeface="Times New Roman" panose="02020603050405020304" pitchFamily="18" charset="0"/>
            </a:rPr>
            <a:t>[2]</a:t>
          </a:r>
          <a:endParaRPr lang="en-US" b="1">
            <a:solidFill>
              <a:srgbClr val="EE0000"/>
            </a:solidFill>
            <a:latin typeface="Times New Roman" panose="02020603050405020304" pitchFamily="18" charset="0"/>
            <a:cs typeface="Times New Roman" panose="02020603050405020304" pitchFamily="18" charset="0"/>
          </a:endParaRPr>
        </a:p>
      </dgm:t>
    </dgm:pt>
    <dgm:pt modelId="{558CB2D2-CE0D-4C2F-BE2A-A69446C3BF41}" type="parTrans" cxnId="{48353166-C17E-4CAB-88B3-42B014E4AE25}">
      <dgm:prSet/>
      <dgm:spPr/>
      <dgm:t>
        <a:bodyPr/>
        <a:lstStyle/>
        <a:p>
          <a:endParaRPr lang="en-US">
            <a:latin typeface="Times New Roman" panose="02020603050405020304" pitchFamily="18" charset="0"/>
            <a:cs typeface="Times New Roman" panose="02020603050405020304" pitchFamily="18" charset="0"/>
          </a:endParaRPr>
        </a:p>
      </dgm:t>
    </dgm:pt>
    <dgm:pt modelId="{53F6E37E-0959-4311-A4EC-200FE4879A10}" type="sibTrans" cxnId="{48353166-C17E-4CAB-88B3-42B014E4AE25}">
      <dgm:prSet/>
      <dgm:spPr/>
      <dgm:t>
        <a:bodyPr/>
        <a:lstStyle/>
        <a:p>
          <a:endParaRPr lang="en-US">
            <a:latin typeface="Times New Roman" panose="02020603050405020304" pitchFamily="18" charset="0"/>
            <a:cs typeface="Times New Roman" panose="02020603050405020304" pitchFamily="18" charset="0"/>
          </a:endParaRPr>
        </a:p>
      </dgm:t>
    </dgm:pt>
    <dgm:pt modelId="{B362BEDE-53D4-437C-A638-22C2B34E02FD}">
      <dgm:prSet phldrT="[Text]"/>
      <dgm:spPr/>
      <dgm:t>
        <a:bodyPr/>
        <a:lstStyle/>
        <a:p>
          <a:pPr>
            <a:buFont typeface="Symbol" panose="05050102010706020507" pitchFamily="18" charset="2"/>
            <a:buChar char=""/>
          </a:pPr>
          <a:r>
            <a:rPr lang="en-US">
              <a:latin typeface="Times New Roman" panose="02020603050405020304" pitchFamily="18" charset="0"/>
              <a:cs typeface="Times New Roman" panose="02020603050405020304" pitchFamily="18" charset="0"/>
            </a:rPr>
            <a:t>AC monotherapy </a:t>
          </a:r>
        </a:p>
      </dgm:t>
    </dgm:pt>
    <dgm:pt modelId="{45452805-4C88-4AC2-8233-FF82259BB6A2}" type="parTrans" cxnId="{44A3BE77-606F-46F5-A23E-69AD3DEAA9E8}">
      <dgm:prSet/>
      <dgm:spPr/>
      <dgm:t>
        <a:bodyPr/>
        <a:lstStyle/>
        <a:p>
          <a:endParaRPr lang="en-US">
            <a:latin typeface="Times New Roman" panose="02020603050405020304" pitchFamily="18" charset="0"/>
            <a:cs typeface="Times New Roman" panose="02020603050405020304" pitchFamily="18" charset="0"/>
          </a:endParaRPr>
        </a:p>
      </dgm:t>
    </dgm:pt>
    <dgm:pt modelId="{D4208158-4FAC-4857-ACBD-E0E91275BA2D}" type="sibTrans" cxnId="{44A3BE77-606F-46F5-A23E-69AD3DEAA9E8}">
      <dgm:prSet/>
      <dgm:spPr/>
      <dgm:t>
        <a:bodyPr/>
        <a:lstStyle/>
        <a:p>
          <a:endParaRPr lang="en-US">
            <a:latin typeface="Times New Roman" panose="02020603050405020304" pitchFamily="18" charset="0"/>
            <a:cs typeface="Times New Roman" panose="02020603050405020304" pitchFamily="18" charset="0"/>
          </a:endParaRPr>
        </a:p>
      </dgm:t>
    </dgm:pt>
    <dgm:pt modelId="{79C79F54-F288-457E-8212-24F04997A245}">
      <dgm:prSet phldrT="[Text]"/>
      <dgm:spPr/>
      <dgm:t>
        <a:bodyPr/>
        <a:lstStyle/>
        <a:p>
          <a:pPr>
            <a:buFont typeface="Symbol" panose="05050102010706020507" pitchFamily="18" charset="2"/>
            <a:buChar char=""/>
          </a:pPr>
          <a:r>
            <a:rPr lang="en-US">
              <a:latin typeface="Times New Roman" panose="02020603050405020304" pitchFamily="18" charset="0"/>
              <a:cs typeface="Times New Roman" panose="02020603050405020304" pitchFamily="18" charset="0"/>
            </a:rPr>
            <a:t>AC monotherapy </a:t>
          </a:r>
        </a:p>
      </dgm:t>
    </dgm:pt>
    <dgm:pt modelId="{B7EEA616-D546-4DAC-AD5B-674A34F4ACB0}" type="parTrans" cxnId="{7D0B0B9D-08EE-4B26-A556-57A301510C3C}">
      <dgm:prSet/>
      <dgm:spPr/>
      <dgm:t>
        <a:bodyPr/>
        <a:lstStyle/>
        <a:p>
          <a:endParaRPr lang="en-US">
            <a:latin typeface="Times New Roman" panose="02020603050405020304" pitchFamily="18" charset="0"/>
            <a:cs typeface="Times New Roman" panose="02020603050405020304" pitchFamily="18" charset="0"/>
          </a:endParaRPr>
        </a:p>
      </dgm:t>
    </dgm:pt>
    <dgm:pt modelId="{2FD13B7B-96C0-48B1-922E-9FD1F1F3F87A}" type="sibTrans" cxnId="{7D0B0B9D-08EE-4B26-A556-57A301510C3C}">
      <dgm:prSet/>
      <dgm:spPr/>
      <dgm:t>
        <a:bodyPr/>
        <a:lstStyle/>
        <a:p>
          <a:endParaRPr lang="en-US">
            <a:latin typeface="Times New Roman" panose="02020603050405020304" pitchFamily="18" charset="0"/>
            <a:cs typeface="Times New Roman" panose="02020603050405020304" pitchFamily="18" charset="0"/>
          </a:endParaRPr>
        </a:p>
      </dgm:t>
    </dgm:pt>
    <dgm:pt modelId="{D072ED33-DB39-4BA0-AD0F-5E2CC5809CEF}">
      <dgm:prSet phldrT="[Text]"/>
      <dgm:spPr/>
      <dgm:t>
        <a:bodyPr/>
        <a:lstStyle/>
        <a:p>
          <a:pPr>
            <a:buNone/>
          </a:pPr>
          <a:r>
            <a:rPr lang="en-US" b="1" i="1">
              <a:latin typeface="Times New Roman" panose="02020603050405020304" pitchFamily="18" charset="0"/>
              <a:cs typeface="Times New Roman" panose="02020603050405020304" pitchFamily="18" charset="0"/>
            </a:rPr>
            <a:t>1-3 months (or for standard duration of DAPT) post stenting</a:t>
          </a:r>
          <a:r>
            <a:rPr lang="en-US">
              <a:latin typeface="Times New Roman" panose="02020603050405020304" pitchFamily="18" charset="0"/>
              <a:cs typeface="Times New Roman" panose="02020603050405020304" pitchFamily="18" charset="0"/>
            </a:rPr>
            <a:t>: AC + P2Y12i </a:t>
          </a:r>
          <a:r>
            <a:rPr lang="en-US" b="1">
              <a:latin typeface="Times New Roman" panose="02020603050405020304" pitchFamily="18" charset="0"/>
              <a:cs typeface="Times New Roman" panose="02020603050405020304" pitchFamily="18" charset="0"/>
            </a:rPr>
            <a:t> </a:t>
          </a:r>
          <a:endParaRPr lang="en-US">
            <a:latin typeface="Times New Roman" panose="02020603050405020304" pitchFamily="18" charset="0"/>
            <a:cs typeface="Times New Roman" panose="02020603050405020304" pitchFamily="18" charset="0"/>
          </a:endParaRPr>
        </a:p>
      </dgm:t>
    </dgm:pt>
    <dgm:pt modelId="{0F989AB8-4203-439D-91EF-D07D9F99519E}" type="parTrans" cxnId="{78B1B87C-813E-49B2-91E7-DB340747F132}">
      <dgm:prSet/>
      <dgm:spPr/>
      <dgm:t>
        <a:bodyPr/>
        <a:lstStyle/>
        <a:p>
          <a:endParaRPr lang="en-US">
            <a:latin typeface="Times New Roman" panose="02020603050405020304" pitchFamily="18" charset="0"/>
            <a:cs typeface="Times New Roman" panose="02020603050405020304" pitchFamily="18" charset="0"/>
          </a:endParaRPr>
        </a:p>
      </dgm:t>
    </dgm:pt>
    <dgm:pt modelId="{8DB7A68F-7581-426F-8560-CE450D1E659B}" type="sibTrans" cxnId="{78B1B87C-813E-49B2-91E7-DB340747F132}">
      <dgm:prSet/>
      <dgm:spPr/>
      <dgm:t>
        <a:bodyPr/>
        <a:lstStyle/>
        <a:p>
          <a:endParaRPr lang="en-US">
            <a:latin typeface="Times New Roman" panose="02020603050405020304" pitchFamily="18" charset="0"/>
            <a:cs typeface="Times New Roman" panose="02020603050405020304" pitchFamily="18" charset="0"/>
          </a:endParaRPr>
        </a:p>
      </dgm:t>
    </dgm:pt>
    <dgm:pt modelId="{CFFF9F3D-428F-4E47-8626-601D5A0AAA11}">
      <dgm:prSet phldrT="[Text]"/>
      <dgm:spPr/>
      <dgm:t>
        <a:bodyPr/>
        <a:lstStyle/>
        <a:p>
          <a:pPr>
            <a:buNone/>
          </a:pPr>
          <a:r>
            <a:rPr lang="en-US" b="1" i="1">
              <a:latin typeface="Times New Roman" panose="02020603050405020304" pitchFamily="18" charset="0"/>
              <a:cs typeface="Times New Roman" panose="02020603050405020304" pitchFamily="18" charset="0"/>
            </a:rPr>
            <a:t>&gt; 3 months (or after standard duration of DAPT has ended) post stenting: </a:t>
          </a:r>
          <a:r>
            <a:rPr lang="en-US">
              <a:latin typeface="Times New Roman" panose="02020603050405020304" pitchFamily="18" charset="0"/>
              <a:cs typeface="Times New Roman" panose="02020603050405020304" pitchFamily="18" charset="0"/>
            </a:rPr>
            <a:t>AC monotherapy </a:t>
          </a:r>
        </a:p>
      </dgm:t>
    </dgm:pt>
    <dgm:pt modelId="{D1DAD40D-11A9-4B9E-87BC-59EF3333B971}" type="parTrans" cxnId="{B7D989A8-EC17-4294-BE03-A6080BF2D5EA}">
      <dgm:prSet/>
      <dgm:spPr/>
      <dgm:t>
        <a:bodyPr/>
        <a:lstStyle/>
        <a:p>
          <a:endParaRPr lang="en-US">
            <a:latin typeface="Times New Roman" panose="02020603050405020304" pitchFamily="18" charset="0"/>
            <a:cs typeface="Times New Roman" panose="02020603050405020304" pitchFamily="18" charset="0"/>
          </a:endParaRPr>
        </a:p>
      </dgm:t>
    </dgm:pt>
    <dgm:pt modelId="{85770609-4917-45AE-B397-3257F5339BE5}" type="sibTrans" cxnId="{B7D989A8-EC17-4294-BE03-A6080BF2D5EA}">
      <dgm:prSet/>
      <dgm:spPr/>
      <dgm:t>
        <a:bodyPr/>
        <a:lstStyle/>
        <a:p>
          <a:endParaRPr lang="en-US">
            <a:latin typeface="Times New Roman" panose="02020603050405020304" pitchFamily="18" charset="0"/>
            <a:cs typeface="Times New Roman" panose="02020603050405020304" pitchFamily="18" charset="0"/>
          </a:endParaRPr>
        </a:p>
      </dgm:t>
    </dgm:pt>
    <dgm:pt modelId="{752506C2-E707-46D4-9D24-857DD47D2C89}" type="pres">
      <dgm:prSet presAssocID="{2A51F179-A9D0-4341-AB41-57EE8F21A280}" presName="hierChild1" presStyleCnt="0">
        <dgm:presLayoutVars>
          <dgm:orgChart val="1"/>
          <dgm:chPref val="1"/>
          <dgm:dir/>
          <dgm:animOne val="branch"/>
          <dgm:animLvl val="lvl"/>
          <dgm:resizeHandles/>
        </dgm:presLayoutVars>
      </dgm:prSet>
      <dgm:spPr/>
    </dgm:pt>
    <dgm:pt modelId="{B295C0FC-638C-40AC-8A61-86677AD92E00}" type="pres">
      <dgm:prSet presAssocID="{764AC8D5-C015-44F4-B8CC-6A92C21C591F}" presName="hierRoot1" presStyleCnt="0">
        <dgm:presLayoutVars>
          <dgm:hierBranch val="init"/>
        </dgm:presLayoutVars>
      </dgm:prSet>
      <dgm:spPr/>
    </dgm:pt>
    <dgm:pt modelId="{C553841A-D137-476B-A1AA-595315CD61D2}" type="pres">
      <dgm:prSet presAssocID="{764AC8D5-C015-44F4-B8CC-6A92C21C591F}" presName="rootComposite1" presStyleCnt="0"/>
      <dgm:spPr/>
    </dgm:pt>
    <dgm:pt modelId="{33FEF704-807D-4E73-B045-323C2A750768}" type="pres">
      <dgm:prSet presAssocID="{764AC8D5-C015-44F4-B8CC-6A92C21C591F}" presName="rootText1" presStyleLbl="node0" presStyleIdx="0" presStyleCnt="1">
        <dgm:presLayoutVars>
          <dgm:chPref val="3"/>
        </dgm:presLayoutVars>
      </dgm:prSet>
      <dgm:spPr/>
    </dgm:pt>
    <dgm:pt modelId="{B142D8E7-4F08-429C-8424-F8848422D747}" type="pres">
      <dgm:prSet presAssocID="{764AC8D5-C015-44F4-B8CC-6A92C21C591F}" presName="rootConnector1" presStyleLbl="node1" presStyleIdx="0" presStyleCnt="0"/>
      <dgm:spPr/>
    </dgm:pt>
    <dgm:pt modelId="{C868586F-547C-4B37-8EF3-F7EECC45602F}" type="pres">
      <dgm:prSet presAssocID="{764AC8D5-C015-44F4-B8CC-6A92C21C591F}" presName="hierChild2" presStyleCnt="0"/>
      <dgm:spPr/>
    </dgm:pt>
    <dgm:pt modelId="{4033EAAC-54A5-4680-8E6C-A0C0B28A10D3}" type="pres">
      <dgm:prSet presAssocID="{ABA25FDE-52B6-4310-882F-429643537077}" presName="Name37" presStyleLbl="parChTrans1D2" presStyleIdx="0" presStyleCnt="3"/>
      <dgm:spPr/>
    </dgm:pt>
    <dgm:pt modelId="{E4CB8BA3-F0CE-4E66-BA39-97AC2C367CC8}" type="pres">
      <dgm:prSet presAssocID="{9C3FA47B-9C87-4AB0-AB0F-80465B400AE5}" presName="hierRoot2" presStyleCnt="0">
        <dgm:presLayoutVars>
          <dgm:hierBranch val="init"/>
        </dgm:presLayoutVars>
      </dgm:prSet>
      <dgm:spPr/>
    </dgm:pt>
    <dgm:pt modelId="{836E8D64-3D05-4191-8531-38E950DE0B2D}" type="pres">
      <dgm:prSet presAssocID="{9C3FA47B-9C87-4AB0-AB0F-80465B400AE5}" presName="rootComposite" presStyleCnt="0"/>
      <dgm:spPr/>
    </dgm:pt>
    <dgm:pt modelId="{EB8BC331-17B3-402C-B80B-56FED03A1367}" type="pres">
      <dgm:prSet presAssocID="{9C3FA47B-9C87-4AB0-AB0F-80465B400AE5}" presName="rootText" presStyleLbl="node2" presStyleIdx="0" presStyleCnt="3">
        <dgm:presLayoutVars>
          <dgm:chPref val="3"/>
        </dgm:presLayoutVars>
      </dgm:prSet>
      <dgm:spPr/>
    </dgm:pt>
    <dgm:pt modelId="{6ACB9F1C-85C0-4B2B-8500-FC628CED377A}" type="pres">
      <dgm:prSet presAssocID="{9C3FA47B-9C87-4AB0-AB0F-80465B400AE5}" presName="rootConnector" presStyleLbl="node2" presStyleIdx="0" presStyleCnt="3"/>
      <dgm:spPr/>
    </dgm:pt>
    <dgm:pt modelId="{AF433287-02B7-4790-8CF5-9E7F069D2AE5}" type="pres">
      <dgm:prSet presAssocID="{9C3FA47B-9C87-4AB0-AB0F-80465B400AE5}" presName="hierChild4" presStyleCnt="0"/>
      <dgm:spPr/>
    </dgm:pt>
    <dgm:pt modelId="{36A70D2E-067C-4A7E-9480-4BE6A01BA51E}" type="pres">
      <dgm:prSet presAssocID="{45452805-4C88-4AC2-8233-FF82259BB6A2}" presName="Name37" presStyleLbl="parChTrans1D3" presStyleIdx="0" presStyleCnt="4"/>
      <dgm:spPr/>
    </dgm:pt>
    <dgm:pt modelId="{AF941A99-7557-458E-9068-791F78F041D3}" type="pres">
      <dgm:prSet presAssocID="{B362BEDE-53D4-437C-A638-22C2B34E02FD}" presName="hierRoot2" presStyleCnt="0">
        <dgm:presLayoutVars>
          <dgm:hierBranch val="init"/>
        </dgm:presLayoutVars>
      </dgm:prSet>
      <dgm:spPr/>
    </dgm:pt>
    <dgm:pt modelId="{F19D390E-F29D-4A16-BF84-A74BAC379FB4}" type="pres">
      <dgm:prSet presAssocID="{B362BEDE-53D4-437C-A638-22C2B34E02FD}" presName="rootComposite" presStyleCnt="0"/>
      <dgm:spPr/>
    </dgm:pt>
    <dgm:pt modelId="{255350E4-F74D-48DA-83F7-36D476CB64E4}" type="pres">
      <dgm:prSet presAssocID="{B362BEDE-53D4-437C-A638-22C2B34E02FD}" presName="rootText" presStyleLbl="node3" presStyleIdx="0" presStyleCnt="4">
        <dgm:presLayoutVars>
          <dgm:chPref val="3"/>
        </dgm:presLayoutVars>
      </dgm:prSet>
      <dgm:spPr/>
    </dgm:pt>
    <dgm:pt modelId="{5228B9F7-D5E1-46AA-8D05-E30B0A450A49}" type="pres">
      <dgm:prSet presAssocID="{B362BEDE-53D4-437C-A638-22C2B34E02FD}" presName="rootConnector" presStyleLbl="node3" presStyleIdx="0" presStyleCnt="4"/>
      <dgm:spPr/>
    </dgm:pt>
    <dgm:pt modelId="{86127EC4-C2AA-4BEB-BA12-AE9EAF3B8817}" type="pres">
      <dgm:prSet presAssocID="{B362BEDE-53D4-437C-A638-22C2B34E02FD}" presName="hierChild4" presStyleCnt="0"/>
      <dgm:spPr/>
    </dgm:pt>
    <dgm:pt modelId="{224AAF06-F7AE-447F-8240-E70196FDDD20}" type="pres">
      <dgm:prSet presAssocID="{B362BEDE-53D4-437C-A638-22C2B34E02FD}" presName="hierChild5" presStyleCnt="0"/>
      <dgm:spPr/>
    </dgm:pt>
    <dgm:pt modelId="{B707438C-CBDC-480A-A752-F8C0D447A819}" type="pres">
      <dgm:prSet presAssocID="{9C3FA47B-9C87-4AB0-AB0F-80465B400AE5}" presName="hierChild5" presStyleCnt="0"/>
      <dgm:spPr/>
    </dgm:pt>
    <dgm:pt modelId="{18E1CDD1-BB79-470D-8D96-2A98FB53FA83}" type="pres">
      <dgm:prSet presAssocID="{4FF5AAA5-1994-4856-A621-012AF683A08C}" presName="Name37" presStyleLbl="parChTrans1D2" presStyleIdx="1" presStyleCnt="3"/>
      <dgm:spPr/>
    </dgm:pt>
    <dgm:pt modelId="{D1DC8709-3496-4689-9758-4DE7183E0D82}" type="pres">
      <dgm:prSet presAssocID="{ECB924C5-8882-4F92-B0E7-326F576AF399}" presName="hierRoot2" presStyleCnt="0">
        <dgm:presLayoutVars>
          <dgm:hierBranch val="init"/>
        </dgm:presLayoutVars>
      </dgm:prSet>
      <dgm:spPr/>
    </dgm:pt>
    <dgm:pt modelId="{29A916AE-D432-4BFE-B50E-793AE5D4B803}" type="pres">
      <dgm:prSet presAssocID="{ECB924C5-8882-4F92-B0E7-326F576AF399}" presName="rootComposite" presStyleCnt="0"/>
      <dgm:spPr/>
    </dgm:pt>
    <dgm:pt modelId="{1255F6B5-9FE2-464B-8007-A85F06F2ED85}" type="pres">
      <dgm:prSet presAssocID="{ECB924C5-8882-4F92-B0E7-326F576AF399}" presName="rootText" presStyleLbl="node2" presStyleIdx="1" presStyleCnt="3">
        <dgm:presLayoutVars>
          <dgm:chPref val="3"/>
        </dgm:presLayoutVars>
      </dgm:prSet>
      <dgm:spPr/>
    </dgm:pt>
    <dgm:pt modelId="{E7BEA581-F657-433E-8BFE-62C36644CDF3}" type="pres">
      <dgm:prSet presAssocID="{ECB924C5-8882-4F92-B0E7-326F576AF399}" presName="rootConnector" presStyleLbl="node2" presStyleIdx="1" presStyleCnt="3"/>
      <dgm:spPr/>
    </dgm:pt>
    <dgm:pt modelId="{5FBC7932-0E68-45F2-AB59-6F1530D3A188}" type="pres">
      <dgm:prSet presAssocID="{ECB924C5-8882-4F92-B0E7-326F576AF399}" presName="hierChild4" presStyleCnt="0"/>
      <dgm:spPr/>
    </dgm:pt>
    <dgm:pt modelId="{FCF2276A-BB15-4174-8B81-CAF3452279B8}" type="pres">
      <dgm:prSet presAssocID="{B7EEA616-D546-4DAC-AD5B-674A34F4ACB0}" presName="Name37" presStyleLbl="parChTrans1D3" presStyleIdx="1" presStyleCnt="4"/>
      <dgm:spPr/>
    </dgm:pt>
    <dgm:pt modelId="{424D4937-CDF1-4716-A619-A5334550B60B}" type="pres">
      <dgm:prSet presAssocID="{79C79F54-F288-457E-8212-24F04997A245}" presName="hierRoot2" presStyleCnt="0">
        <dgm:presLayoutVars>
          <dgm:hierBranch val="init"/>
        </dgm:presLayoutVars>
      </dgm:prSet>
      <dgm:spPr/>
    </dgm:pt>
    <dgm:pt modelId="{0123D956-7A0F-4183-9E5D-49F621731414}" type="pres">
      <dgm:prSet presAssocID="{79C79F54-F288-457E-8212-24F04997A245}" presName="rootComposite" presStyleCnt="0"/>
      <dgm:spPr/>
    </dgm:pt>
    <dgm:pt modelId="{0AED7B3D-9B41-4D94-B170-610E3D1B2C39}" type="pres">
      <dgm:prSet presAssocID="{79C79F54-F288-457E-8212-24F04997A245}" presName="rootText" presStyleLbl="node3" presStyleIdx="1" presStyleCnt="4">
        <dgm:presLayoutVars>
          <dgm:chPref val="3"/>
        </dgm:presLayoutVars>
      </dgm:prSet>
      <dgm:spPr/>
    </dgm:pt>
    <dgm:pt modelId="{4A2DA69F-C277-4A53-BD5C-76C78E4DEE0D}" type="pres">
      <dgm:prSet presAssocID="{79C79F54-F288-457E-8212-24F04997A245}" presName="rootConnector" presStyleLbl="node3" presStyleIdx="1" presStyleCnt="4"/>
      <dgm:spPr/>
    </dgm:pt>
    <dgm:pt modelId="{2A899363-233F-4C82-90D1-D607FACD4A70}" type="pres">
      <dgm:prSet presAssocID="{79C79F54-F288-457E-8212-24F04997A245}" presName="hierChild4" presStyleCnt="0"/>
      <dgm:spPr/>
    </dgm:pt>
    <dgm:pt modelId="{47054674-D391-493F-B781-C2BB0E9301B8}" type="pres">
      <dgm:prSet presAssocID="{79C79F54-F288-457E-8212-24F04997A245}" presName="hierChild5" presStyleCnt="0"/>
      <dgm:spPr/>
    </dgm:pt>
    <dgm:pt modelId="{C35FA939-FA7F-4687-8340-C31486775611}" type="pres">
      <dgm:prSet presAssocID="{ECB924C5-8882-4F92-B0E7-326F576AF399}" presName="hierChild5" presStyleCnt="0"/>
      <dgm:spPr/>
    </dgm:pt>
    <dgm:pt modelId="{6410E8B4-4236-4608-9F27-5328999D7463}" type="pres">
      <dgm:prSet presAssocID="{558CB2D2-CE0D-4C2F-BE2A-A69446C3BF41}" presName="Name37" presStyleLbl="parChTrans1D2" presStyleIdx="2" presStyleCnt="3"/>
      <dgm:spPr/>
    </dgm:pt>
    <dgm:pt modelId="{C8CB8248-0FA9-4B36-B616-B66268E4BE90}" type="pres">
      <dgm:prSet presAssocID="{5D9B45C0-DFD2-4DD3-A691-8953C3696FB6}" presName="hierRoot2" presStyleCnt="0">
        <dgm:presLayoutVars>
          <dgm:hierBranch val="init"/>
        </dgm:presLayoutVars>
      </dgm:prSet>
      <dgm:spPr/>
    </dgm:pt>
    <dgm:pt modelId="{A912A989-6621-4A39-A012-FFEB28593AAC}" type="pres">
      <dgm:prSet presAssocID="{5D9B45C0-DFD2-4DD3-A691-8953C3696FB6}" presName="rootComposite" presStyleCnt="0"/>
      <dgm:spPr/>
    </dgm:pt>
    <dgm:pt modelId="{040AADF9-3DB6-4096-9F74-56AB500D6CAC}" type="pres">
      <dgm:prSet presAssocID="{5D9B45C0-DFD2-4DD3-A691-8953C3696FB6}" presName="rootText" presStyleLbl="node2" presStyleIdx="2" presStyleCnt="3">
        <dgm:presLayoutVars>
          <dgm:chPref val="3"/>
        </dgm:presLayoutVars>
      </dgm:prSet>
      <dgm:spPr/>
    </dgm:pt>
    <dgm:pt modelId="{D3ABA52E-A685-4616-9848-2EB65E7435DE}" type="pres">
      <dgm:prSet presAssocID="{5D9B45C0-DFD2-4DD3-A691-8953C3696FB6}" presName="rootConnector" presStyleLbl="node2" presStyleIdx="2" presStyleCnt="3"/>
      <dgm:spPr/>
    </dgm:pt>
    <dgm:pt modelId="{81096EBF-41D3-4B92-B868-282F0D574AF8}" type="pres">
      <dgm:prSet presAssocID="{5D9B45C0-DFD2-4DD3-A691-8953C3696FB6}" presName="hierChild4" presStyleCnt="0"/>
      <dgm:spPr/>
    </dgm:pt>
    <dgm:pt modelId="{00BCE19A-C5AC-4FB8-BCB2-B249866182F1}" type="pres">
      <dgm:prSet presAssocID="{0F989AB8-4203-439D-91EF-D07D9F99519E}" presName="Name37" presStyleLbl="parChTrans1D3" presStyleIdx="2" presStyleCnt="4"/>
      <dgm:spPr/>
    </dgm:pt>
    <dgm:pt modelId="{9E74687E-DA8A-4470-A879-F08DFB26B10A}" type="pres">
      <dgm:prSet presAssocID="{D072ED33-DB39-4BA0-AD0F-5E2CC5809CEF}" presName="hierRoot2" presStyleCnt="0">
        <dgm:presLayoutVars>
          <dgm:hierBranch val="init"/>
        </dgm:presLayoutVars>
      </dgm:prSet>
      <dgm:spPr/>
    </dgm:pt>
    <dgm:pt modelId="{6E808DC0-410D-4CF2-BA81-7C5C2DF0FE12}" type="pres">
      <dgm:prSet presAssocID="{D072ED33-DB39-4BA0-AD0F-5E2CC5809CEF}" presName="rootComposite" presStyleCnt="0"/>
      <dgm:spPr/>
    </dgm:pt>
    <dgm:pt modelId="{084A7079-BED9-422E-9AC2-3CA0CE47FA99}" type="pres">
      <dgm:prSet presAssocID="{D072ED33-DB39-4BA0-AD0F-5E2CC5809CEF}" presName="rootText" presStyleLbl="node3" presStyleIdx="2" presStyleCnt="4">
        <dgm:presLayoutVars>
          <dgm:chPref val="3"/>
        </dgm:presLayoutVars>
      </dgm:prSet>
      <dgm:spPr/>
    </dgm:pt>
    <dgm:pt modelId="{B119A889-AC70-4704-88BE-46D13AD17FD3}" type="pres">
      <dgm:prSet presAssocID="{D072ED33-DB39-4BA0-AD0F-5E2CC5809CEF}" presName="rootConnector" presStyleLbl="node3" presStyleIdx="2" presStyleCnt="4"/>
      <dgm:spPr/>
    </dgm:pt>
    <dgm:pt modelId="{AB064EF2-D74D-4D0F-9AC9-54F1CE50B75D}" type="pres">
      <dgm:prSet presAssocID="{D072ED33-DB39-4BA0-AD0F-5E2CC5809CEF}" presName="hierChild4" presStyleCnt="0"/>
      <dgm:spPr/>
    </dgm:pt>
    <dgm:pt modelId="{521C3F97-6FAD-48E4-A77A-42C1970E6C19}" type="pres">
      <dgm:prSet presAssocID="{D072ED33-DB39-4BA0-AD0F-5E2CC5809CEF}" presName="hierChild5" presStyleCnt="0"/>
      <dgm:spPr/>
    </dgm:pt>
    <dgm:pt modelId="{3242B681-B126-4DA6-99FB-7046B3BC377B}" type="pres">
      <dgm:prSet presAssocID="{D1DAD40D-11A9-4B9E-87BC-59EF3333B971}" presName="Name37" presStyleLbl="parChTrans1D3" presStyleIdx="3" presStyleCnt="4"/>
      <dgm:spPr/>
    </dgm:pt>
    <dgm:pt modelId="{BF372B12-95A2-4761-A82D-538595712A38}" type="pres">
      <dgm:prSet presAssocID="{CFFF9F3D-428F-4E47-8626-601D5A0AAA11}" presName="hierRoot2" presStyleCnt="0">
        <dgm:presLayoutVars>
          <dgm:hierBranch val="init"/>
        </dgm:presLayoutVars>
      </dgm:prSet>
      <dgm:spPr/>
    </dgm:pt>
    <dgm:pt modelId="{C8C8C6A5-88FC-4C59-A97C-1565CC575A62}" type="pres">
      <dgm:prSet presAssocID="{CFFF9F3D-428F-4E47-8626-601D5A0AAA11}" presName="rootComposite" presStyleCnt="0"/>
      <dgm:spPr/>
    </dgm:pt>
    <dgm:pt modelId="{49370E6A-07C2-4EDF-B962-41EE91DB9281}" type="pres">
      <dgm:prSet presAssocID="{CFFF9F3D-428F-4E47-8626-601D5A0AAA11}" presName="rootText" presStyleLbl="node3" presStyleIdx="3" presStyleCnt="4">
        <dgm:presLayoutVars>
          <dgm:chPref val="3"/>
        </dgm:presLayoutVars>
      </dgm:prSet>
      <dgm:spPr/>
    </dgm:pt>
    <dgm:pt modelId="{F0538B5B-690C-4F5E-B351-98A7BAB912AC}" type="pres">
      <dgm:prSet presAssocID="{CFFF9F3D-428F-4E47-8626-601D5A0AAA11}" presName="rootConnector" presStyleLbl="node3" presStyleIdx="3" presStyleCnt="4"/>
      <dgm:spPr/>
    </dgm:pt>
    <dgm:pt modelId="{052B6BB1-83F4-4AB3-90B6-AD3A243D614F}" type="pres">
      <dgm:prSet presAssocID="{CFFF9F3D-428F-4E47-8626-601D5A0AAA11}" presName="hierChild4" presStyleCnt="0"/>
      <dgm:spPr/>
    </dgm:pt>
    <dgm:pt modelId="{CB08039C-5A3E-4D61-A992-5CA488D6F645}" type="pres">
      <dgm:prSet presAssocID="{CFFF9F3D-428F-4E47-8626-601D5A0AAA11}" presName="hierChild5" presStyleCnt="0"/>
      <dgm:spPr/>
    </dgm:pt>
    <dgm:pt modelId="{9720BBAB-7DD9-48DE-8ACF-8D8D199D435E}" type="pres">
      <dgm:prSet presAssocID="{5D9B45C0-DFD2-4DD3-A691-8953C3696FB6}" presName="hierChild5" presStyleCnt="0"/>
      <dgm:spPr/>
    </dgm:pt>
    <dgm:pt modelId="{B513D935-53C9-42FB-82D4-9167B8DAED6A}" type="pres">
      <dgm:prSet presAssocID="{764AC8D5-C015-44F4-B8CC-6A92C21C591F}" presName="hierChild3" presStyleCnt="0"/>
      <dgm:spPr/>
    </dgm:pt>
  </dgm:ptLst>
  <dgm:cxnLst>
    <dgm:cxn modelId="{42AFD202-46F3-44A0-BCC6-17E3A9326A1B}" srcId="{2A51F179-A9D0-4341-AB41-57EE8F21A280}" destId="{764AC8D5-C015-44F4-B8CC-6A92C21C591F}" srcOrd="0" destOrd="0" parTransId="{6BDBF57B-22ED-4D68-BAF7-470CA0271234}" sibTransId="{506B406F-4602-42B1-9D8A-1F3972AE386E}"/>
    <dgm:cxn modelId="{295DB304-CED4-4D44-BF95-69A15DBD6247}" type="presOf" srcId="{558CB2D2-CE0D-4C2F-BE2A-A69446C3BF41}" destId="{6410E8B4-4236-4608-9F27-5328999D7463}" srcOrd="0" destOrd="0" presId="urn:microsoft.com/office/officeart/2005/8/layout/orgChart1"/>
    <dgm:cxn modelId="{CD895C19-926D-4216-8E4D-689A0BDF837A}" type="presOf" srcId="{B362BEDE-53D4-437C-A638-22C2B34E02FD}" destId="{255350E4-F74D-48DA-83F7-36D476CB64E4}" srcOrd="0" destOrd="0" presId="urn:microsoft.com/office/officeart/2005/8/layout/orgChart1"/>
    <dgm:cxn modelId="{2F55001F-BFA6-462B-9A59-9E419E0E7F78}" type="presOf" srcId="{CFFF9F3D-428F-4E47-8626-601D5A0AAA11}" destId="{49370E6A-07C2-4EDF-B962-41EE91DB9281}" srcOrd="0" destOrd="0" presId="urn:microsoft.com/office/officeart/2005/8/layout/orgChart1"/>
    <dgm:cxn modelId="{41453332-684F-4F8C-953B-57DB1140B184}" type="presOf" srcId="{5D9B45C0-DFD2-4DD3-A691-8953C3696FB6}" destId="{040AADF9-3DB6-4096-9F74-56AB500D6CAC}" srcOrd="0" destOrd="0" presId="urn:microsoft.com/office/officeart/2005/8/layout/orgChart1"/>
    <dgm:cxn modelId="{CBDD6D3A-F979-4362-8A0F-F27C277F2B64}" type="presOf" srcId="{ECB924C5-8882-4F92-B0E7-326F576AF399}" destId="{E7BEA581-F657-433E-8BFE-62C36644CDF3}" srcOrd="1" destOrd="0" presId="urn:microsoft.com/office/officeart/2005/8/layout/orgChart1"/>
    <dgm:cxn modelId="{DC16C43B-6A85-4276-ABB3-704A4BC4B929}" type="presOf" srcId="{D072ED33-DB39-4BA0-AD0F-5E2CC5809CEF}" destId="{B119A889-AC70-4704-88BE-46D13AD17FD3}" srcOrd="1" destOrd="0" presId="urn:microsoft.com/office/officeart/2005/8/layout/orgChart1"/>
    <dgm:cxn modelId="{F6831741-8A07-4958-8BB3-D2D5D6017FF2}" type="presOf" srcId="{D1DAD40D-11A9-4B9E-87BC-59EF3333B971}" destId="{3242B681-B126-4DA6-99FB-7046B3BC377B}" srcOrd="0" destOrd="0" presId="urn:microsoft.com/office/officeart/2005/8/layout/orgChart1"/>
    <dgm:cxn modelId="{48353166-C17E-4CAB-88B3-42B014E4AE25}" srcId="{764AC8D5-C015-44F4-B8CC-6A92C21C591F}" destId="{5D9B45C0-DFD2-4DD3-A691-8953C3696FB6}" srcOrd="2" destOrd="0" parTransId="{558CB2D2-CE0D-4C2F-BE2A-A69446C3BF41}" sibTransId="{53F6E37E-0959-4311-A4EC-200FE4879A10}"/>
    <dgm:cxn modelId="{1CC96168-1A0D-4BF9-B50B-2EAB82779ED8}" type="presOf" srcId="{4FF5AAA5-1994-4856-A621-012AF683A08C}" destId="{18E1CDD1-BB79-470D-8D96-2A98FB53FA83}" srcOrd="0" destOrd="0" presId="urn:microsoft.com/office/officeart/2005/8/layout/orgChart1"/>
    <dgm:cxn modelId="{6247F548-7C3B-4356-A720-9D145F609218}" type="presOf" srcId="{B7EEA616-D546-4DAC-AD5B-674A34F4ACB0}" destId="{FCF2276A-BB15-4174-8B81-CAF3452279B8}" srcOrd="0" destOrd="0" presId="urn:microsoft.com/office/officeart/2005/8/layout/orgChart1"/>
    <dgm:cxn modelId="{1202D86A-E0F5-485F-A2FC-93E5CE79BA5B}" srcId="{764AC8D5-C015-44F4-B8CC-6A92C21C591F}" destId="{9C3FA47B-9C87-4AB0-AB0F-80465B400AE5}" srcOrd="0" destOrd="0" parTransId="{ABA25FDE-52B6-4310-882F-429643537077}" sibTransId="{B5EAF2D0-46F1-4CC5-A4B0-576880242C54}"/>
    <dgm:cxn modelId="{2A99B94C-A5CA-44EC-BEAB-DE6463D36C8E}" type="presOf" srcId="{764AC8D5-C015-44F4-B8CC-6A92C21C591F}" destId="{B142D8E7-4F08-429C-8424-F8848422D747}" srcOrd="1" destOrd="0" presId="urn:microsoft.com/office/officeart/2005/8/layout/orgChart1"/>
    <dgm:cxn modelId="{AD548C6D-CF0D-465D-8E80-246CD5050850}" type="presOf" srcId="{ABA25FDE-52B6-4310-882F-429643537077}" destId="{4033EAAC-54A5-4680-8E6C-A0C0B28A10D3}" srcOrd="0" destOrd="0" presId="urn:microsoft.com/office/officeart/2005/8/layout/orgChart1"/>
    <dgm:cxn modelId="{2418934E-A583-404A-A316-7D995A973404}" type="presOf" srcId="{B362BEDE-53D4-437C-A638-22C2B34E02FD}" destId="{5228B9F7-D5E1-46AA-8D05-E30B0A450A49}" srcOrd="1" destOrd="0" presId="urn:microsoft.com/office/officeart/2005/8/layout/orgChart1"/>
    <dgm:cxn modelId="{C773994E-39D0-4D6E-B1C6-CC05FCF3D99F}" type="presOf" srcId="{5D9B45C0-DFD2-4DD3-A691-8953C3696FB6}" destId="{D3ABA52E-A685-4616-9848-2EB65E7435DE}" srcOrd="1" destOrd="0" presId="urn:microsoft.com/office/officeart/2005/8/layout/orgChart1"/>
    <dgm:cxn modelId="{794BF951-BAA5-4D77-B76C-B10C3B3235D5}" type="presOf" srcId="{764AC8D5-C015-44F4-B8CC-6A92C21C591F}" destId="{33FEF704-807D-4E73-B045-323C2A750768}" srcOrd="0" destOrd="0" presId="urn:microsoft.com/office/officeart/2005/8/layout/orgChart1"/>
    <dgm:cxn modelId="{44A3BE77-606F-46F5-A23E-69AD3DEAA9E8}" srcId="{9C3FA47B-9C87-4AB0-AB0F-80465B400AE5}" destId="{B362BEDE-53D4-437C-A638-22C2B34E02FD}" srcOrd="0" destOrd="0" parTransId="{45452805-4C88-4AC2-8233-FF82259BB6A2}" sibTransId="{D4208158-4FAC-4857-ACBD-E0E91275BA2D}"/>
    <dgm:cxn modelId="{4D1F005A-896D-400F-9160-77EF00D0F3F1}" type="presOf" srcId="{79C79F54-F288-457E-8212-24F04997A245}" destId="{0AED7B3D-9B41-4D94-B170-610E3D1B2C39}" srcOrd="0" destOrd="0" presId="urn:microsoft.com/office/officeart/2005/8/layout/orgChart1"/>
    <dgm:cxn modelId="{78B1B87C-813E-49B2-91E7-DB340747F132}" srcId="{5D9B45C0-DFD2-4DD3-A691-8953C3696FB6}" destId="{D072ED33-DB39-4BA0-AD0F-5E2CC5809CEF}" srcOrd="0" destOrd="0" parTransId="{0F989AB8-4203-439D-91EF-D07D9F99519E}" sibTransId="{8DB7A68F-7581-426F-8560-CE450D1E659B}"/>
    <dgm:cxn modelId="{FD8F0A90-021B-403F-AC8F-C66C59396F6A}" type="presOf" srcId="{ECB924C5-8882-4F92-B0E7-326F576AF399}" destId="{1255F6B5-9FE2-464B-8007-A85F06F2ED85}" srcOrd="0" destOrd="0" presId="urn:microsoft.com/office/officeart/2005/8/layout/orgChart1"/>
    <dgm:cxn modelId="{FFD79B92-988B-4AD2-BE40-F6B451BD4B74}" type="presOf" srcId="{45452805-4C88-4AC2-8233-FF82259BB6A2}" destId="{36A70D2E-067C-4A7E-9480-4BE6A01BA51E}" srcOrd="0" destOrd="0" presId="urn:microsoft.com/office/officeart/2005/8/layout/orgChart1"/>
    <dgm:cxn modelId="{FC8B9996-9727-45A3-A60C-997AB76641C0}" type="presOf" srcId="{79C79F54-F288-457E-8212-24F04997A245}" destId="{4A2DA69F-C277-4A53-BD5C-76C78E4DEE0D}" srcOrd="1" destOrd="0" presId="urn:microsoft.com/office/officeart/2005/8/layout/orgChart1"/>
    <dgm:cxn modelId="{7D0B0B9D-08EE-4B26-A556-57A301510C3C}" srcId="{ECB924C5-8882-4F92-B0E7-326F576AF399}" destId="{79C79F54-F288-457E-8212-24F04997A245}" srcOrd="0" destOrd="0" parTransId="{B7EEA616-D546-4DAC-AD5B-674A34F4ACB0}" sibTransId="{2FD13B7B-96C0-48B1-922E-9FD1F1F3F87A}"/>
    <dgm:cxn modelId="{10F788A0-8EA0-44D4-A58F-280734292238}" srcId="{764AC8D5-C015-44F4-B8CC-6A92C21C591F}" destId="{ECB924C5-8882-4F92-B0E7-326F576AF399}" srcOrd="1" destOrd="0" parTransId="{4FF5AAA5-1994-4856-A621-012AF683A08C}" sibTransId="{62AFC9FE-E12D-4DB6-AA03-49692C9D9831}"/>
    <dgm:cxn modelId="{2526A3A3-63B9-441C-8826-165C5BE3EBBE}" type="presOf" srcId="{9C3FA47B-9C87-4AB0-AB0F-80465B400AE5}" destId="{EB8BC331-17B3-402C-B80B-56FED03A1367}" srcOrd="0" destOrd="0" presId="urn:microsoft.com/office/officeart/2005/8/layout/orgChart1"/>
    <dgm:cxn modelId="{B7D989A8-EC17-4294-BE03-A6080BF2D5EA}" srcId="{5D9B45C0-DFD2-4DD3-A691-8953C3696FB6}" destId="{CFFF9F3D-428F-4E47-8626-601D5A0AAA11}" srcOrd="1" destOrd="0" parTransId="{D1DAD40D-11A9-4B9E-87BC-59EF3333B971}" sibTransId="{85770609-4917-45AE-B397-3257F5339BE5}"/>
    <dgm:cxn modelId="{AB96A8AB-CA65-41AF-B1C8-D7A47A79A952}" type="presOf" srcId="{2A51F179-A9D0-4341-AB41-57EE8F21A280}" destId="{752506C2-E707-46D4-9D24-857DD47D2C89}" srcOrd="0" destOrd="0" presId="urn:microsoft.com/office/officeart/2005/8/layout/orgChart1"/>
    <dgm:cxn modelId="{A4DA51BD-D7F6-4315-AB88-09C3B003A92D}" type="presOf" srcId="{0F989AB8-4203-439D-91EF-D07D9F99519E}" destId="{00BCE19A-C5AC-4FB8-BCB2-B249866182F1}" srcOrd="0" destOrd="0" presId="urn:microsoft.com/office/officeart/2005/8/layout/orgChart1"/>
    <dgm:cxn modelId="{3F5B6BCD-E011-4D97-BE2F-698B4EE51BC2}" type="presOf" srcId="{9C3FA47B-9C87-4AB0-AB0F-80465B400AE5}" destId="{6ACB9F1C-85C0-4B2B-8500-FC628CED377A}" srcOrd="1" destOrd="0" presId="urn:microsoft.com/office/officeart/2005/8/layout/orgChart1"/>
    <dgm:cxn modelId="{41F2B6D7-127F-4ECA-BEF2-8F39C930E77E}" type="presOf" srcId="{D072ED33-DB39-4BA0-AD0F-5E2CC5809CEF}" destId="{084A7079-BED9-422E-9AC2-3CA0CE47FA99}" srcOrd="0" destOrd="0" presId="urn:microsoft.com/office/officeart/2005/8/layout/orgChart1"/>
    <dgm:cxn modelId="{25BAF6DE-DE9D-4148-BF72-489EA0646395}" type="presOf" srcId="{CFFF9F3D-428F-4E47-8626-601D5A0AAA11}" destId="{F0538B5B-690C-4F5E-B351-98A7BAB912AC}" srcOrd="1" destOrd="0" presId="urn:microsoft.com/office/officeart/2005/8/layout/orgChart1"/>
    <dgm:cxn modelId="{016AC238-49B7-4029-8BA8-263214A6C5EC}" type="presParOf" srcId="{752506C2-E707-46D4-9D24-857DD47D2C89}" destId="{B295C0FC-638C-40AC-8A61-86677AD92E00}" srcOrd="0" destOrd="0" presId="urn:microsoft.com/office/officeart/2005/8/layout/orgChart1"/>
    <dgm:cxn modelId="{FB3FB40A-16B8-4CBD-AD31-F7B681D4012E}" type="presParOf" srcId="{B295C0FC-638C-40AC-8A61-86677AD92E00}" destId="{C553841A-D137-476B-A1AA-595315CD61D2}" srcOrd="0" destOrd="0" presId="urn:microsoft.com/office/officeart/2005/8/layout/orgChart1"/>
    <dgm:cxn modelId="{166E81FA-72EF-4574-9A93-0B91D07AFA23}" type="presParOf" srcId="{C553841A-D137-476B-A1AA-595315CD61D2}" destId="{33FEF704-807D-4E73-B045-323C2A750768}" srcOrd="0" destOrd="0" presId="urn:microsoft.com/office/officeart/2005/8/layout/orgChart1"/>
    <dgm:cxn modelId="{73B44D40-2CB9-4CF2-8DBD-6C2717D47DEC}" type="presParOf" srcId="{C553841A-D137-476B-A1AA-595315CD61D2}" destId="{B142D8E7-4F08-429C-8424-F8848422D747}" srcOrd="1" destOrd="0" presId="urn:microsoft.com/office/officeart/2005/8/layout/orgChart1"/>
    <dgm:cxn modelId="{90A0EE3F-D1BD-4768-B64A-2262978B1CAA}" type="presParOf" srcId="{B295C0FC-638C-40AC-8A61-86677AD92E00}" destId="{C868586F-547C-4B37-8EF3-F7EECC45602F}" srcOrd="1" destOrd="0" presId="urn:microsoft.com/office/officeart/2005/8/layout/orgChart1"/>
    <dgm:cxn modelId="{3D478163-00AE-4A1A-9D16-E0F58EE2C43A}" type="presParOf" srcId="{C868586F-547C-4B37-8EF3-F7EECC45602F}" destId="{4033EAAC-54A5-4680-8E6C-A0C0B28A10D3}" srcOrd="0" destOrd="0" presId="urn:microsoft.com/office/officeart/2005/8/layout/orgChart1"/>
    <dgm:cxn modelId="{D08A286F-8049-4BDC-8D92-14841962AEE5}" type="presParOf" srcId="{C868586F-547C-4B37-8EF3-F7EECC45602F}" destId="{E4CB8BA3-F0CE-4E66-BA39-97AC2C367CC8}" srcOrd="1" destOrd="0" presId="urn:microsoft.com/office/officeart/2005/8/layout/orgChart1"/>
    <dgm:cxn modelId="{254C7CA6-2096-4269-BBA2-157689A18E0B}" type="presParOf" srcId="{E4CB8BA3-F0CE-4E66-BA39-97AC2C367CC8}" destId="{836E8D64-3D05-4191-8531-38E950DE0B2D}" srcOrd="0" destOrd="0" presId="urn:microsoft.com/office/officeart/2005/8/layout/orgChart1"/>
    <dgm:cxn modelId="{0956CBC3-9ECD-45A1-85EF-92C2E9E43C59}" type="presParOf" srcId="{836E8D64-3D05-4191-8531-38E950DE0B2D}" destId="{EB8BC331-17B3-402C-B80B-56FED03A1367}" srcOrd="0" destOrd="0" presId="urn:microsoft.com/office/officeart/2005/8/layout/orgChart1"/>
    <dgm:cxn modelId="{F0C470AB-C0CD-452B-8742-0D954028872B}" type="presParOf" srcId="{836E8D64-3D05-4191-8531-38E950DE0B2D}" destId="{6ACB9F1C-85C0-4B2B-8500-FC628CED377A}" srcOrd="1" destOrd="0" presId="urn:microsoft.com/office/officeart/2005/8/layout/orgChart1"/>
    <dgm:cxn modelId="{26775890-E82D-4AEB-9FF8-B94425AA2EBB}" type="presParOf" srcId="{E4CB8BA3-F0CE-4E66-BA39-97AC2C367CC8}" destId="{AF433287-02B7-4790-8CF5-9E7F069D2AE5}" srcOrd="1" destOrd="0" presId="urn:microsoft.com/office/officeart/2005/8/layout/orgChart1"/>
    <dgm:cxn modelId="{453693C4-D898-4F7B-8195-AC395A0C4C0E}" type="presParOf" srcId="{AF433287-02B7-4790-8CF5-9E7F069D2AE5}" destId="{36A70D2E-067C-4A7E-9480-4BE6A01BA51E}" srcOrd="0" destOrd="0" presId="urn:microsoft.com/office/officeart/2005/8/layout/orgChart1"/>
    <dgm:cxn modelId="{0EAB3BEE-4B7E-4C5D-B9BD-E5BF5BDEB9CB}" type="presParOf" srcId="{AF433287-02B7-4790-8CF5-9E7F069D2AE5}" destId="{AF941A99-7557-458E-9068-791F78F041D3}" srcOrd="1" destOrd="0" presId="urn:microsoft.com/office/officeart/2005/8/layout/orgChart1"/>
    <dgm:cxn modelId="{BBA72DEF-3376-4068-8FEB-FFD69617B3AD}" type="presParOf" srcId="{AF941A99-7557-458E-9068-791F78F041D3}" destId="{F19D390E-F29D-4A16-BF84-A74BAC379FB4}" srcOrd="0" destOrd="0" presId="urn:microsoft.com/office/officeart/2005/8/layout/orgChart1"/>
    <dgm:cxn modelId="{03F50F8A-66B2-408C-ADA1-B811A10632E5}" type="presParOf" srcId="{F19D390E-F29D-4A16-BF84-A74BAC379FB4}" destId="{255350E4-F74D-48DA-83F7-36D476CB64E4}" srcOrd="0" destOrd="0" presId="urn:microsoft.com/office/officeart/2005/8/layout/orgChart1"/>
    <dgm:cxn modelId="{C50979E1-91A1-4ACB-B60D-C1490923859E}" type="presParOf" srcId="{F19D390E-F29D-4A16-BF84-A74BAC379FB4}" destId="{5228B9F7-D5E1-46AA-8D05-E30B0A450A49}" srcOrd="1" destOrd="0" presId="urn:microsoft.com/office/officeart/2005/8/layout/orgChart1"/>
    <dgm:cxn modelId="{19260EC4-6820-44F4-8D08-0F1CF43B3199}" type="presParOf" srcId="{AF941A99-7557-458E-9068-791F78F041D3}" destId="{86127EC4-C2AA-4BEB-BA12-AE9EAF3B8817}" srcOrd="1" destOrd="0" presId="urn:microsoft.com/office/officeart/2005/8/layout/orgChart1"/>
    <dgm:cxn modelId="{0E00469B-51EF-45F3-8663-600D99D6424A}" type="presParOf" srcId="{AF941A99-7557-458E-9068-791F78F041D3}" destId="{224AAF06-F7AE-447F-8240-E70196FDDD20}" srcOrd="2" destOrd="0" presId="urn:microsoft.com/office/officeart/2005/8/layout/orgChart1"/>
    <dgm:cxn modelId="{502516ED-1CFB-4D0D-AA87-5EDC5A0B931B}" type="presParOf" srcId="{E4CB8BA3-F0CE-4E66-BA39-97AC2C367CC8}" destId="{B707438C-CBDC-480A-A752-F8C0D447A819}" srcOrd="2" destOrd="0" presId="urn:microsoft.com/office/officeart/2005/8/layout/orgChart1"/>
    <dgm:cxn modelId="{0BC3A81B-E7CA-4532-BBBC-D5ACD013FE62}" type="presParOf" srcId="{C868586F-547C-4B37-8EF3-F7EECC45602F}" destId="{18E1CDD1-BB79-470D-8D96-2A98FB53FA83}" srcOrd="2" destOrd="0" presId="urn:microsoft.com/office/officeart/2005/8/layout/orgChart1"/>
    <dgm:cxn modelId="{A03BE142-4193-4CD9-88DE-99A53DA1EF3A}" type="presParOf" srcId="{C868586F-547C-4B37-8EF3-F7EECC45602F}" destId="{D1DC8709-3496-4689-9758-4DE7183E0D82}" srcOrd="3" destOrd="0" presId="urn:microsoft.com/office/officeart/2005/8/layout/orgChart1"/>
    <dgm:cxn modelId="{DACE36FC-921A-4950-8242-87DD3D4F1856}" type="presParOf" srcId="{D1DC8709-3496-4689-9758-4DE7183E0D82}" destId="{29A916AE-D432-4BFE-B50E-793AE5D4B803}" srcOrd="0" destOrd="0" presId="urn:microsoft.com/office/officeart/2005/8/layout/orgChart1"/>
    <dgm:cxn modelId="{780047DC-EB40-46D0-AAAD-B62066CFC763}" type="presParOf" srcId="{29A916AE-D432-4BFE-B50E-793AE5D4B803}" destId="{1255F6B5-9FE2-464B-8007-A85F06F2ED85}" srcOrd="0" destOrd="0" presId="urn:microsoft.com/office/officeart/2005/8/layout/orgChart1"/>
    <dgm:cxn modelId="{F6B86D94-F36E-4EF2-9F66-235C84971D53}" type="presParOf" srcId="{29A916AE-D432-4BFE-B50E-793AE5D4B803}" destId="{E7BEA581-F657-433E-8BFE-62C36644CDF3}" srcOrd="1" destOrd="0" presId="urn:microsoft.com/office/officeart/2005/8/layout/orgChart1"/>
    <dgm:cxn modelId="{8C30D16F-E7A3-44E5-BEB0-44F03FA8F55E}" type="presParOf" srcId="{D1DC8709-3496-4689-9758-4DE7183E0D82}" destId="{5FBC7932-0E68-45F2-AB59-6F1530D3A188}" srcOrd="1" destOrd="0" presId="urn:microsoft.com/office/officeart/2005/8/layout/orgChart1"/>
    <dgm:cxn modelId="{55BB4687-E80E-402C-90D2-C45311DC5F91}" type="presParOf" srcId="{5FBC7932-0E68-45F2-AB59-6F1530D3A188}" destId="{FCF2276A-BB15-4174-8B81-CAF3452279B8}" srcOrd="0" destOrd="0" presId="urn:microsoft.com/office/officeart/2005/8/layout/orgChart1"/>
    <dgm:cxn modelId="{1847165E-7E2D-4B10-A906-8CF36D9204B7}" type="presParOf" srcId="{5FBC7932-0E68-45F2-AB59-6F1530D3A188}" destId="{424D4937-CDF1-4716-A619-A5334550B60B}" srcOrd="1" destOrd="0" presId="urn:microsoft.com/office/officeart/2005/8/layout/orgChart1"/>
    <dgm:cxn modelId="{7E5B0349-5E27-4765-8953-2A8C5086E214}" type="presParOf" srcId="{424D4937-CDF1-4716-A619-A5334550B60B}" destId="{0123D956-7A0F-4183-9E5D-49F621731414}" srcOrd="0" destOrd="0" presId="urn:microsoft.com/office/officeart/2005/8/layout/orgChart1"/>
    <dgm:cxn modelId="{7E588957-2F7C-4CE4-92B3-D2740F998158}" type="presParOf" srcId="{0123D956-7A0F-4183-9E5D-49F621731414}" destId="{0AED7B3D-9B41-4D94-B170-610E3D1B2C39}" srcOrd="0" destOrd="0" presId="urn:microsoft.com/office/officeart/2005/8/layout/orgChart1"/>
    <dgm:cxn modelId="{0E3A80A5-2B29-4A9A-AD64-49BB7127F069}" type="presParOf" srcId="{0123D956-7A0F-4183-9E5D-49F621731414}" destId="{4A2DA69F-C277-4A53-BD5C-76C78E4DEE0D}" srcOrd="1" destOrd="0" presId="urn:microsoft.com/office/officeart/2005/8/layout/orgChart1"/>
    <dgm:cxn modelId="{8F9D4F95-3377-4431-86FB-F7E539A4CD8B}" type="presParOf" srcId="{424D4937-CDF1-4716-A619-A5334550B60B}" destId="{2A899363-233F-4C82-90D1-D607FACD4A70}" srcOrd="1" destOrd="0" presId="urn:microsoft.com/office/officeart/2005/8/layout/orgChart1"/>
    <dgm:cxn modelId="{155FE77B-B940-4C73-AD6F-3F1111470EA9}" type="presParOf" srcId="{424D4937-CDF1-4716-A619-A5334550B60B}" destId="{47054674-D391-493F-B781-C2BB0E9301B8}" srcOrd="2" destOrd="0" presId="urn:microsoft.com/office/officeart/2005/8/layout/orgChart1"/>
    <dgm:cxn modelId="{B25E8059-0B3A-4BCA-9640-D370E6F498B2}" type="presParOf" srcId="{D1DC8709-3496-4689-9758-4DE7183E0D82}" destId="{C35FA939-FA7F-4687-8340-C31486775611}" srcOrd="2" destOrd="0" presId="urn:microsoft.com/office/officeart/2005/8/layout/orgChart1"/>
    <dgm:cxn modelId="{2A5502A2-E7F4-4393-AC1C-756A82B8D987}" type="presParOf" srcId="{C868586F-547C-4B37-8EF3-F7EECC45602F}" destId="{6410E8B4-4236-4608-9F27-5328999D7463}" srcOrd="4" destOrd="0" presId="urn:microsoft.com/office/officeart/2005/8/layout/orgChart1"/>
    <dgm:cxn modelId="{CFEF0730-ACBF-4528-9038-CB5A1583FCED}" type="presParOf" srcId="{C868586F-547C-4B37-8EF3-F7EECC45602F}" destId="{C8CB8248-0FA9-4B36-B616-B66268E4BE90}" srcOrd="5" destOrd="0" presId="urn:microsoft.com/office/officeart/2005/8/layout/orgChart1"/>
    <dgm:cxn modelId="{EFDAB3B5-7DE5-40BF-B327-B30D18A22570}" type="presParOf" srcId="{C8CB8248-0FA9-4B36-B616-B66268E4BE90}" destId="{A912A989-6621-4A39-A012-FFEB28593AAC}" srcOrd="0" destOrd="0" presId="urn:microsoft.com/office/officeart/2005/8/layout/orgChart1"/>
    <dgm:cxn modelId="{C65156D6-8050-4203-B574-EE6A49EF127A}" type="presParOf" srcId="{A912A989-6621-4A39-A012-FFEB28593AAC}" destId="{040AADF9-3DB6-4096-9F74-56AB500D6CAC}" srcOrd="0" destOrd="0" presId="urn:microsoft.com/office/officeart/2005/8/layout/orgChart1"/>
    <dgm:cxn modelId="{37C505B6-696F-4897-B821-DD46519868F2}" type="presParOf" srcId="{A912A989-6621-4A39-A012-FFEB28593AAC}" destId="{D3ABA52E-A685-4616-9848-2EB65E7435DE}" srcOrd="1" destOrd="0" presId="urn:microsoft.com/office/officeart/2005/8/layout/orgChart1"/>
    <dgm:cxn modelId="{97446208-5382-4CD0-80F7-7E4C04761160}" type="presParOf" srcId="{C8CB8248-0FA9-4B36-B616-B66268E4BE90}" destId="{81096EBF-41D3-4B92-B868-282F0D574AF8}" srcOrd="1" destOrd="0" presId="urn:microsoft.com/office/officeart/2005/8/layout/orgChart1"/>
    <dgm:cxn modelId="{1117B627-B2A8-4C0C-9F49-30AD31122485}" type="presParOf" srcId="{81096EBF-41D3-4B92-B868-282F0D574AF8}" destId="{00BCE19A-C5AC-4FB8-BCB2-B249866182F1}" srcOrd="0" destOrd="0" presId="urn:microsoft.com/office/officeart/2005/8/layout/orgChart1"/>
    <dgm:cxn modelId="{A077E611-DC0A-48F0-BE25-06AE51544749}" type="presParOf" srcId="{81096EBF-41D3-4B92-B868-282F0D574AF8}" destId="{9E74687E-DA8A-4470-A879-F08DFB26B10A}" srcOrd="1" destOrd="0" presId="urn:microsoft.com/office/officeart/2005/8/layout/orgChart1"/>
    <dgm:cxn modelId="{FFF703C9-2907-496D-991A-9ED24BF59643}" type="presParOf" srcId="{9E74687E-DA8A-4470-A879-F08DFB26B10A}" destId="{6E808DC0-410D-4CF2-BA81-7C5C2DF0FE12}" srcOrd="0" destOrd="0" presId="urn:microsoft.com/office/officeart/2005/8/layout/orgChart1"/>
    <dgm:cxn modelId="{61ABBDB7-A221-4898-A7D2-37CD19FBD799}" type="presParOf" srcId="{6E808DC0-410D-4CF2-BA81-7C5C2DF0FE12}" destId="{084A7079-BED9-422E-9AC2-3CA0CE47FA99}" srcOrd="0" destOrd="0" presId="urn:microsoft.com/office/officeart/2005/8/layout/orgChart1"/>
    <dgm:cxn modelId="{7D90EF82-4FCF-4F8A-AF51-9EBDDC6B3C4C}" type="presParOf" srcId="{6E808DC0-410D-4CF2-BA81-7C5C2DF0FE12}" destId="{B119A889-AC70-4704-88BE-46D13AD17FD3}" srcOrd="1" destOrd="0" presId="urn:microsoft.com/office/officeart/2005/8/layout/orgChart1"/>
    <dgm:cxn modelId="{56BA73EC-9ABF-4F9B-AE81-18A2118F9AE9}" type="presParOf" srcId="{9E74687E-DA8A-4470-A879-F08DFB26B10A}" destId="{AB064EF2-D74D-4D0F-9AC9-54F1CE50B75D}" srcOrd="1" destOrd="0" presId="urn:microsoft.com/office/officeart/2005/8/layout/orgChart1"/>
    <dgm:cxn modelId="{BFD8DC12-AB38-4FE9-A6ED-37A10F725814}" type="presParOf" srcId="{9E74687E-DA8A-4470-A879-F08DFB26B10A}" destId="{521C3F97-6FAD-48E4-A77A-42C1970E6C19}" srcOrd="2" destOrd="0" presId="urn:microsoft.com/office/officeart/2005/8/layout/orgChart1"/>
    <dgm:cxn modelId="{1B5A6CCD-E9EE-4BF7-AFEA-BF43C0B78409}" type="presParOf" srcId="{81096EBF-41D3-4B92-B868-282F0D574AF8}" destId="{3242B681-B126-4DA6-99FB-7046B3BC377B}" srcOrd="2" destOrd="0" presId="urn:microsoft.com/office/officeart/2005/8/layout/orgChart1"/>
    <dgm:cxn modelId="{B46DEF6C-ACB2-45B0-BFC7-A3CCE50FF5A4}" type="presParOf" srcId="{81096EBF-41D3-4B92-B868-282F0D574AF8}" destId="{BF372B12-95A2-4761-A82D-538595712A38}" srcOrd="3" destOrd="0" presId="urn:microsoft.com/office/officeart/2005/8/layout/orgChart1"/>
    <dgm:cxn modelId="{6E3559DA-92A8-46A0-A9D0-AED4B66565BD}" type="presParOf" srcId="{BF372B12-95A2-4761-A82D-538595712A38}" destId="{C8C8C6A5-88FC-4C59-A97C-1565CC575A62}" srcOrd="0" destOrd="0" presId="urn:microsoft.com/office/officeart/2005/8/layout/orgChart1"/>
    <dgm:cxn modelId="{4A0357D2-18B8-4955-818C-26D42C0110DA}" type="presParOf" srcId="{C8C8C6A5-88FC-4C59-A97C-1565CC575A62}" destId="{49370E6A-07C2-4EDF-B962-41EE91DB9281}" srcOrd="0" destOrd="0" presId="urn:microsoft.com/office/officeart/2005/8/layout/orgChart1"/>
    <dgm:cxn modelId="{0400C7B6-EF69-410F-B042-AF3B460AA111}" type="presParOf" srcId="{C8C8C6A5-88FC-4C59-A97C-1565CC575A62}" destId="{F0538B5B-690C-4F5E-B351-98A7BAB912AC}" srcOrd="1" destOrd="0" presId="urn:microsoft.com/office/officeart/2005/8/layout/orgChart1"/>
    <dgm:cxn modelId="{1E6ECFF2-0D6E-46FF-B623-BAC2479D30C0}" type="presParOf" srcId="{BF372B12-95A2-4761-A82D-538595712A38}" destId="{052B6BB1-83F4-4AB3-90B6-AD3A243D614F}" srcOrd="1" destOrd="0" presId="urn:microsoft.com/office/officeart/2005/8/layout/orgChart1"/>
    <dgm:cxn modelId="{AC0EC9A5-9E53-43F2-A5CD-8466D4BFD3EE}" type="presParOf" srcId="{BF372B12-95A2-4761-A82D-538595712A38}" destId="{CB08039C-5A3E-4D61-A992-5CA488D6F645}" srcOrd="2" destOrd="0" presId="urn:microsoft.com/office/officeart/2005/8/layout/orgChart1"/>
    <dgm:cxn modelId="{93B1708B-448C-44CB-B3E7-9737CE31DD24}" type="presParOf" srcId="{C8CB8248-0FA9-4B36-B616-B66268E4BE90}" destId="{9720BBAB-7DD9-48DE-8ACF-8D8D199D435E}" srcOrd="2" destOrd="0" presId="urn:microsoft.com/office/officeart/2005/8/layout/orgChart1"/>
    <dgm:cxn modelId="{D2DB6A1C-5231-4518-BC60-02BD7F18BA5C}" type="presParOf" srcId="{B295C0FC-638C-40AC-8A61-86677AD92E00}" destId="{B513D935-53C9-42FB-82D4-9167B8DAED6A}"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AB812DEF-D46F-4385-AB2D-933CE1DD0DB8}"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AC5C800B-D87C-4A53-BC0F-0B6326821C05}">
      <dgm:prSet phldrT="[Text]"/>
      <dgm:spPr/>
      <dgm:t>
        <a:bodyPr/>
        <a:lstStyle/>
        <a:p>
          <a:pPr>
            <a:buNone/>
          </a:pPr>
          <a:r>
            <a:rPr lang="en-US" b="1">
              <a:latin typeface="Times New Roman" panose="02020603050405020304" pitchFamily="18" charset="0"/>
              <a:cs typeface="Times New Roman" panose="02020603050405020304" pitchFamily="18" charset="0"/>
            </a:rPr>
            <a:t>Peripheral Artery Disease</a:t>
          </a:r>
          <a:endParaRPr lang="en-US">
            <a:latin typeface="Times New Roman" panose="02020603050405020304" pitchFamily="18" charset="0"/>
            <a:cs typeface="Times New Roman" panose="02020603050405020304" pitchFamily="18" charset="0"/>
          </a:endParaRPr>
        </a:p>
      </dgm:t>
    </dgm:pt>
    <dgm:pt modelId="{68C1E669-7088-4095-8F03-55D3DFF30F27}" type="parTrans" cxnId="{A8295E6E-B53B-4CF0-BF26-7E842394A300}">
      <dgm:prSet/>
      <dgm:spPr/>
      <dgm:t>
        <a:bodyPr/>
        <a:lstStyle/>
        <a:p>
          <a:endParaRPr lang="en-US">
            <a:latin typeface="Times New Roman" panose="02020603050405020304" pitchFamily="18" charset="0"/>
            <a:cs typeface="Times New Roman" panose="02020603050405020304" pitchFamily="18" charset="0"/>
          </a:endParaRPr>
        </a:p>
      </dgm:t>
    </dgm:pt>
    <dgm:pt modelId="{4302A293-8C2B-4395-A259-33026CF7BEFF}" type="sibTrans" cxnId="{A8295E6E-B53B-4CF0-BF26-7E842394A300}">
      <dgm:prSet/>
      <dgm:spPr/>
      <dgm:t>
        <a:bodyPr/>
        <a:lstStyle/>
        <a:p>
          <a:endParaRPr lang="en-US">
            <a:latin typeface="Times New Roman" panose="02020603050405020304" pitchFamily="18" charset="0"/>
            <a:cs typeface="Times New Roman" panose="02020603050405020304" pitchFamily="18" charset="0"/>
          </a:endParaRPr>
        </a:p>
      </dgm:t>
    </dgm:pt>
    <dgm:pt modelId="{10782E8E-362B-4B7C-892B-A92B64DABA90}">
      <dgm:prSet phldrT="[Text]"/>
      <dgm:spPr/>
      <dgm:t>
        <a:bodyPr/>
        <a:lstStyle/>
        <a:p>
          <a:pPr>
            <a:buNone/>
          </a:pPr>
          <a:r>
            <a:rPr lang="en-US" b="1">
              <a:solidFill>
                <a:srgbClr val="EE0000"/>
              </a:solidFill>
              <a:latin typeface="Times New Roman" panose="02020603050405020304" pitchFamily="18" charset="0"/>
              <a:cs typeface="Times New Roman" panose="02020603050405020304" pitchFamily="18" charset="0"/>
            </a:rPr>
            <a:t>No prior intervention or surgical repair </a:t>
          </a:r>
          <a:r>
            <a:rPr lang="en-US" b="0">
              <a:solidFill>
                <a:sysClr val="windowText" lastClr="000000"/>
              </a:solidFill>
              <a:latin typeface="Times New Roman" panose="02020603050405020304" pitchFamily="18" charset="0"/>
              <a:cs typeface="Times New Roman" panose="02020603050405020304" pitchFamily="18" charset="0"/>
            </a:rPr>
            <a:t>[2]</a:t>
          </a:r>
          <a:endParaRPr lang="en-US">
            <a:solidFill>
              <a:srgbClr val="EE0000"/>
            </a:solidFill>
            <a:latin typeface="Times New Roman" panose="02020603050405020304" pitchFamily="18" charset="0"/>
            <a:cs typeface="Times New Roman" panose="02020603050405020304" pitchFamily="18" charset="0"/>
          </a:endParaRPr>
        </a:p>
      </dgm:t>
    </dgm:pt>
    <dgm:pt modelId="{B0055C82-C2DD-475D-9A5A-7BD540907545}" type="parTrans" cxnId="{7BA02B13-28A6-4C7B-BAC3-F6A0BB61140F}">
      <dgm:prSet/>
      <dgm:spPr/>
      <dgm:t>
        <a:bodyPr/>
        <a:lstStyle/>
        <a:p>
          <a:endParaRPr lang="en-US">
            <a:latin typeface="Times New Roman" panose="02020603050405020304" pitchFamily="18" charset="0"/>
            <a:cs typeface="Times New Roman" panose="02020603050405020304" pitchFamily="18" charset="0"/>
          </a:endParaRPr>
        </a:p>
      </dgm:t>
    </dgm:pt>
    <dgm:pt modelId="{C960468F-121F-4796-8C05-EDF398024D0D}" type="sibTrans" cxnId="{7BA02B13-28A6-4C7B-BAC3-F6A0BB61140F}">
      <dgm:prSet/>
      <dgm:spPr/>
      <dgm:t>
        <a:bodyPr/>
        <a:lstStyle/>
        <a:p>
          <a:endParaRPr lang="en-US">
            <a:latin typeface="Times New Roman" panose="02020603050405020304" pitchFamily="18" charset="0"/>
            <a:cs typeface="Times New Roman" panose="02020603050405020304" pitchFamily="18" charset="0"/>
          </a:endParaRPr>
        </a:p>
      </dgm:t>
    </dgm:pt>
    <dgm:pt modelId="{E981F690-7086-4A8D-A6BF-F9EA166E7DEF}">
      <dgm:prSet phldrT="[Text]"/>
      <dgm:spPr/>
      <dgm:t>
        <a:bodyPr/>
        <a:lstStyle/>
        <a:p>
          <a:pPr>
            <a:buNone/>
          </a:pPr>
          <a:r>
            <a:rPr lang="en-US" b="1">
              <a:solidFill>
                <a:srgbClr val="EE0000"/>
              </a:solidFill>
              <a:latin typeface="Times New Roman" panose="02020603050405020304" pitchFamily="18" charset="0"/>
              <a:cs typeface="Times New Roman" panose="02020603050405020304" pitchFamily="18" charset="0"/>
            </a:rPr>
            <a:t>History of endovascular intervention/stenting </a:t>
          </a:r>
          <a:r>
            <a:rPr lang="en-US" b="0">
              <a:solidFill>
                <a:sysClr val="windowText" lastClr="000000"/>
              </a:solidFill>
              <a:latin typeface="Times New Roman" panose="02020603050405020304" pitchFamily="18" charset="0"/>
              <a:cs typeface="Times New Roman" panose="02020603050405020304" pitchFamily="18" charset="0"/>
            </a:rPr>
            <a:t>[2]</a:t>
          </a:r>
          <a:endParaRPr lang="en-US">
            <a:solidFill>
              <a:srgbClr val="EE0000"/>
            </a:solidFill>
            <a:latin typeface="Times New Roman" panose="02020603050405020304" pitchFamily="18" charset="0"/>
            <a:cs typeface="Times New Roman" panose="02020603050405020304" pitchFamily="18" charset="0"/>
          </a:endParaRPr>
        </a:p>
      </dgm:t>
    </dgm:pt>
    <dgm:pt modelId="{61019531-36AC-44F4-8738-CB955194FF08}" type="parTrans" cxnId="{44239241-491F-487A-B8B2-D615DE45C47B}">
      <dgm:prSet/>
      <dgm:spPr/>
      <dgm:t>
        <a:bodyPr/>
        <a:lstStyle/>
        <a:p>
          <a:endParaRPr lang="en-US">
            <a:latin typeface="Times New Roman" panose="02020603050405020304" pitchFamily="18" charset="0"/>
            <a:cs typeface="Times New Roman" panose="02020603050405020304" pitchFamily="18" charset="0"/>
          </a:endParaRPr>
        </a:p>
      </dgm:t>
    </dgm:pt>
    <dgm:pt modelId="{6DAD434A-6454-470A-BA2C-83B521B99465}" type="sibTrans" cxnId="{44239241-491F-487A-B8B2-D615DE45C47B}">
      <dgm:prSet/>
      <dgm:spPr/>
      <dgm:t>
        <a:bodyPr/>
        <a:lstStyle/>
        <a:p>
          <a:endParaRPr lang="en-US">
            <a:latin typeface="Times New Roman" panose="02020603050405020304" pitchFamily="18" charset="0"/>
            <a:cs typeface="Times New Roman" panose="02020603050405020304" pitchFamily="18" charset="0"/>
          </a:endParaRPr>
        </a:p>
      </dgm:t>
    </dgm:pt>
    <dgm:pt modelId="{29AD18A9-2175-4992-ABD1-27329E84E89B}">
      <dgm:prSet phldrT="[Text]"/>
      <dgm:spPr/>
      <dgm:t>
        <a:bodyPr/>
        <a:lstStyle/>
        <a:p>
          <a:pPr>
            <a:buFont typeface="Symbol" panose="05050102010706020507" pitchFamily="18" charset="2"/>
            <a:buChar char=""/>
          </a:pPr>
          <a:r>
            <a:rPr lang="en-US">
              <a:latin typeface="Times New Roman" panose="02020603050405020304" pitchFamily="18" charset="0"/>
              <a:cs typeface="Times New Roman" panose="02020603050405020304" pitchFamily="18" charset="0"/>
            </a:rPr>
            <a:t>AC monotherapy </a:t>
          </a:r>
        </a:p>
      </dgm:t>
    </dgm:pt>
    <dgm:pt modelId="{7C318C51-93C3-446D-8905-5E2F8353BA5C}" type="parTrans" cxnId="{AC987E2F-C538-47F5-8867-68BD2061E6CD}">
      <dgm:prSet/>
      <dgm:spPr/>
      <dgm:t>
        <a:bodyPr/>
        <a:lstStyle/>
        <a:p>
          <a:endParaRPr lang="en-US">
            <a:latin typeface="Times New Roman" panose="02020603050405020304" pitchFamily="18" charset="0"/>
            <a:cs typeface="Times New Roman" panose="02020603050405020304" pitchFamily="18" charset="0"/>
          </a:endParaRPr>
        </a:p>
      </dgm:t>
    </dgm:pt>
    <dgm:pt modelId="{8303B54F-E5AE-44DB-B73E-8C9E18A35852}" type="sibTrans" cxnId="{AC987E2F-C538-47F5-8867-68BD2061E6CD}">
      <dgm:prSet/>
      <dgm:spPr/>
      <dgm:t>
        <a:bodyPr/>
        <a:lstStyle/>
        <a:p>
          <a:endParaRPr lang="en-US">
            <a:latin typeface="Times New Roman" panose="02020603050405020304" pitchFamily="18" charset="0"/>
            <a:cs typeface="Times New Roman" panose="02020603050405020304" pitchFamily="18" charset="0"/>
          </a:endParaRPr>
        </a:p>
      </dgm:t>
    </dgm:pt>
    <dgm:pt modelId="{BEBE0E3D-04F6-4FFD-9A2E-74CB39C885C1}">
      <dgm:prSet phldrT="[Text]"/>
      <dgm:spPr/>
      <dgm:t>
        <a:bodyPr/>
        <a:lstStyle/>
        <a:p>
          <a:pPr>
            <a:buFont typeface="Symbol" panose="05050102010706020507" pitchFamily="18" charset="2"/>
            <a:buChar char=""/>
          </a:pPr>
          <a:r>
            <a:rPr lang="en-US" b="1" i="1">
              <a:latin typeface="Times New Roman" panose="02020603050405020304" pitchFamily="18" charset="0"/>
              <a:cs typeface="Times New Roman" panose="02020603050405020304" pitchFamily="18" charset="0"/>
            </a:rPr>
            <a:t>1-3 months (or for standard duration of DAPT) post stenting</a:t>
          </a:r>
          <a:r>
            <a:rPr lang="en-US">
              <a:latin typeface="Times New Roman" panose="02020603050405020304" pitchFamily="18" charset="0"/>
              <a:cs typeface="Times New Roman" panose="02020603050405020304" pitchFamily="18" charset="0"/>
            </a:rPr>
            <a:t>: AC + P2Y12i </a:t>
          </a:r>
        </a:p>
      </dgm:t>
    </dgm:pt>
    <dgm:pt modelId="{A5EE3305-8C6E-471B-80FE-DBDD811B790A}" type="parTrans" cxnId="{21088042-0758-4477-8FAB-08068385E7C7}">
      <dgm:prSet/>
      <dgm:spPr/>
      <dgm:t>
        <a:bodyPr/>
        <a:lstStyle/>
        <a:p>
          <a:endParaRPr lang="en-US">
            <a:latin typeface="Times New Roman" panose="02020603050405020304" pitchFamily="18" charset="0"/>
            <a:cs typeface="Times New Roman" panose="02020603050405020304" pitchFamily="18" charset="0"/>
          </a:endParaRPr>
        </a:p>
      </dgm:t>
    </dgm:pt>
    <dgm:pt modelId="{A11AFD89-0D9F-4083-8121-8F324FB0DA0F}" type="sibTrans" cxnId="{21088042-0758-4477-8FAB-08068385E7C7}">
      <dgm:prSet/>
      <dgm:spPr/>
      <dgm:t>
        <a:bodyPr/>
        <a:lstStyle/>
        <a:p>
          <a:endParaRPr lang="en-US">
            <a:latin typeface="Times New Roman" panose="02020603050405020304" pitchFamily="18" charset="0"/>
            <a:cs typeface="Times New Roman" panose="02020603050405020304" pitchFamily="18" charset="0"/>
          </a:endParaRPr>
        </a:p>
      </dgm:t>
    </dgm:pt>
    <dgm:pt modelId="{69A102C2-9C80-4E4E-BFAC-A215236C5F2A}">
      <dgm:prSet phldrT="[Text]"/>
      <dgm:spPr/>
      <dgm:t>
        <a:bodyPr/>
        <a:lstStyle/>
        <a:p>
          <a:pPr>
            <a:buNone/>
          </a:pPr>
          <a:r>
            <a:rPr lang="en-US" b="1" i="1">
              <a:latin typeface="Times New Roman" panose="02020603050405020304" pitchFamily="18" charset="0"/>
              <a:cs typeface="Times New Roman" panose="02020603050405020304" pitchFamily="18" charset="0"/>
            </a:rPr>
            <a:t>&gt; 3 months (or after standard duration of DAPT has ended) post stenting: </a:t>
          </a:r>
          <a:r>
            <a:rPr lang="en-US">
              <a:latin typeface="Times New Roman" panose="02020603050405020304" pitchFamily="18" charset="0"/>
              <a:cs typeface="Times New Roman" panose="02020603050405020304" pitchFamily="18" charset="0"/>
            </a:rPr>
            <a:t>AC monotherapy </a:t>
          </a:r>
        </a:p>
      </dgm:t>
    </dgm:pt>
    <dgm:pt modelId="{3C94B4DD-1F4F-4E32-81F9-FAB6EACF903E}" type="parTrans" cxnId="{6D3ECA2B-369C-4E3B-9DF9-A2E34EE61A22}">
      <dgm:prSet/>
      <dgm:spPr/>
      <dgm:t>
        <a:bodyPr/>
        <a:lstStyle/>
        <a:p>
          <a:endParaRPr lang="en-US">
            <a:latin typeface="Times New Roman" panose="02020603050405020304" pitchFamily="18" charset="0"/>
            <a:cs typeface="Times New Roman" panose="02020603050405020304" pitchFamily="18" charset="0"/>
          </a:endParaRPr>
        </a:p>
      </dgm:t>
    </dgm:pt>
    <dgm:pt modelId="{4734CFDF-60DC-40F3-9F53-38F8CFB89D94}" type="sibTrans" cxnId="{6D3ECA2B-369C-4E3B-9DF9-A2E34EE61A22}">
      <dgm:prSet/>
      <dgm:spPr/>
      <dgm:t>
        <a:bodyPr/>
        <a:lstStyle/>
        <a:p>
          <a:endParaRPr lang="en-US">
            <a:latin typeface="Times New Roman" panose="02020603050405020304" pitchFamily="18" charset="0"/>
            <a:cs typeface="Times New Roman" panose="02020603050405020304" pitchFamily="18" charset="0"/>
          </a:endParaRPr>
        </a:p>
      </dgm:t>
    </dgm:pt>
    <dgm:pt modelId="{7B93D5C1-9BA7-4437-96D3-A5A3C98D2621}" type="pres">
      <dgm:prSet presAssocID="{AB812DEF-D46F-4385-AB2D-933CE1DD0DB8}" presName="hierChild1" presStyleCnt="0">
        <dgm:presLayoutVars>
          <dgm:orgChart val="1"/>
          <dgm:chPref val="1"/>
          <dgm:dir/>
          <dgm:animOne val="branch"/>
          <dgm:animLvl val="lvl"/>
          <dgm:resizeHandles/>
        </dgm:presLayoutVars>
      </dgm:prSet>
      <dgm:spPr/>
    </dgm:pt>
    <dgm:pt modelId="{299F351F-F6D0-4B85-8E1F-7C856FE4C36A}" type="pres">
      <dgm:prSet presAssocID="{AC5C800B-D87C-4A53-BC0F-0B6326821C05}" presName="hierRoot1" presStyleCnt="0">
        <dgm:presLayoutVars>
          <dgm:hierBranch val="init"/>
        </dgm:presLayoutVars>
      </dgm:prSet>
      <dgm:spPr/>
    </dgm:pt>
    <dgm:pt modelId="{BD5A95AF-6630-489E-994C-7E0F3CD149D6}" type="pres">
      <dgm:prSet presAssocID="{AC5C800B-D87C-4A53-BC0F-0B6326821C05}" presName="rootComposite1" presStyleCnt="0"/>
      <dgm:spPr/>
    </dgm:pt>
    <dgm:pt modelId="{3696F2FE-C1F3-4B4C-BB98-41ADB4874CFC}" type="pres">
      <dgm:prSet presAssocID="{AC5C800B-D87C-4A53-BC0F-0B6326821C05}" presName="rootText1" presStyleLbl="node0" presStyleIdx="0" presStyleCnt="1">
        <dgm:presLayoutVars>
          <dgm:chPref val="3"/>
        </dgm:presLayoutVars>
      </dgm:prSet>
      <dgm:spPr/>
    </dgm:pt>
    <dgm:pt modelId="{737CE91B-57CC-4108-8D4A-78AA2F5EE5A0}" type="pres">
      <dgm:prSet presAssocID="{AC5C800B-D87C-4A53-BC0F-0B6326821C05}" presName="rootConnector1" presStyleLbl="node1" presStyleIdx="0" presStyleCnt="0"/>
      <dgm:spPr/>
    </dgm:pt>
    <dgm:pt modelId="{BE1D4F81-3504-49A6-A746-71C9798F1002}" type="pres">
      <dgm:prSet presAssocID="{AC5C800B-D87C-4A53-BC0F-0B6326821C05}" presName="hierChild2" presStyleCnt="0"/>
      <dgm:spPr/>
    </dgm:pt>
    <dgm:pt modelId="{21575485-2221-4CE6-8282-A2327E424D43}" type="pres">
      <dgm:prSet presAssocID="{B0055C82-C2DD-475D-9A5A-7BD540907545}" presName="Name37" presStyleLbl="parChTrans1D2" presStyleIdx="0" presStyleCnt="2"/>
      <dgm:spPr/>
    </dgm:pt>
    <dgm:pt modelId="{F00E31D7-F908-475C-A3D0-E55BBD540A8A}" type="pres">
      <dgm:prSet presAssocID="{10782E8E-362B-4B7C-892B-A92B64DABA90}" presName="hierRoot2" presStyleCnt="0">
        <dgm:presLayoutVars>
          <dgm:hierBranch val="init"/>
        </dgm:presLayoutVars>
      </dgm:prSet>
      <dgm:spPr/>
    </dgm:pt>
    <dgm:pt modelId="{D6202924-963A-44D5-99A9-ABDEA22FC344}" type="pres">
      <dgm:prSet presAssocID="{10782E8E-362B-4B7C-892B-A92B64DABA90}" presName="rootComposite" presStyleCnt="0"/>
      <dgm:spPr/>
    </dgm:pt>
    <dgm:pt modelId="{E43FC889-C81D-4C96-8D0E-C4B92FB6C390}" type="pres">
      <dgm:prSet presAssocID="{10782E8E-362B-4B7C-892B-A92B64DABA90}" presName="rootText" presStyleLbl="node2" presStyleIdx="0" presStyleCnt="2" custScaleX="113369">
        <dgm:presLayoutVars>
          <dgm:chPref val="3"/>
        </dgm:presLayoutVars>
      </dgm:prSet>
      <dgm:spPr/>
    </dgm:pt>
    <dgm:pt modelId="{1AC7E36E-6C34-4D25-B2C5-EDB8D51FA04D}" type="pres">
      <dgm:prSet presAssocID="{10782E8E-362B-4B7C-892B-A92B64DABA90}" presName="rootConnector" presStyleLbl="node2" presStyleIdx="0" presStyleCnt="2"/>
      <dgm:spPr/>
    </dgm:pt>
    <dgm:pt modelId="{090D7863-2479-488F-ABD6-F48968297654}" type="pres">
      <dgm:prSet presAssocID="{10782E8E-362B-4B7C-892B-A92B64DABA90}" presName="hierChild4" presStyleCnt="0"/>
      <dgm:spPr/>
    </dgm:pt>
    <dgm:pt modelId="{E7A8BEE2-AEA9-444D-B446-7393AA09E85A}" type="pres">
      <dgm:prSet presAssocID="{7C318C51-93C3-446D-8905-5E2F8353BA5C}" presName="Name37" presStyleLbl="parChTrans1D3" presStyleIdx="0" presStyleCnt="3"/>
      <dgm:spPr/>
    </dgm:pt>
    <dgm:pt modelId="{0CE56AC1-7E8C-41A2-9D57-72DC40102CCC}" type="pres">
      <dgm:prSet presAssocID="{29AD18A9-2175-4992-ABD1-27329E84E89B}" presName="hierRoot2" presStyleCnt="0">
        <dgm:presLayoutVars>
          <dgm:hierBranch val="init"/>
        </dgm:presLayoutVars>
      </dgm:prSet>
      <dgm:spPr/>
    </dgm:pt>
    <dgm:pt modelId="{9BB4887F-A111-4817-97B6-90BD8CF726FF}" type="pres">
      <dgm:prSet presAssocID="{29AD18A9-2175-4992-ABD1-27329E84E89B}" presName="rootComposite" presStyleCnt="0"/>
      <dgm:spPr/>
    </dgm:pt>
    <dgm:pt modelId="{FDB51134-796D-46D6-87B6-F1F17C25422C}" type="pres">
      <dgm:prSet presAssocID="{29AD18A9-2175-4992-ABD1-27329E84E89B}" presName="rootText" presStyleLbl="node3" presStyleIdx="0" presStyleCnt="3">
        <dgm:presLayoutVars>
          <dgm:chPref val="3"/>
        </dgm:presLayoutVars>
      </dgm:prSet>
      <dgm:spPr/>
    </dgm:pt>
    <dgm:pt modelId="{FE5C8431-D00F-4A2C-B4F5-A72BFE44B2A9}" type="pres">
      <dgm:prSet presAssocID="{29AD18A9-2175-4992-ABD1-27329E84E89B}" presName="rootConnector" presStyleLbl="node3" presStyleIdx="0" presStyleCnt="3"/>
      <dgm:spPr/>
    </dgm:pt>
    <dgm:pt modelId="{B2D2F91A-516D-4F80-94A0-2630ED29410E}" type="pres">
      <dgm:prSet presAssocID="{29AD18A9-2175-4992-ABD1-27329E84E89B}" presName="hierChild4" presStyleCnt="0"/>
      <dgm:spPr/>
    </dgm:pt>
    <dgm:pt modelId="{3B50A539-55EC-4CEA-A2E9-F661A6A0432F}" type="pres">
      <dgm:prSet presAssocID="{29AD18A9-2175-4992-ABD1-27329E84E89B}" presName="hierChild5" presStyleCnt="0"/>
      <dgm:spPr/>
    </dgm:pt>
    <dgm:pt modelId="{1C9C5890-B9C0-4C19-9A5F-B96E8CE80669}" type="pres">
      <dgm:prSet presAssocID="{10782E8E-362B-4B7C-892B-A92B64DABA90}" presName="hierChild5" presStyleCnt="0"/>
      <dgm:spPr/>
    </dgm:pt>
    <dgm:pt modelId="{44758087-681C-44EF-95DA-78F8001C6988}" type="pres">
      <dgm:prSet presAssocID="{61019531-36AC-44F4-8738-CB955194FF08}" presName="Name37" presStyleLbl="parChTrans1D2" presStyleIdx="1" presStyleCnt="2"/>
      <dgm:spPr/>
    </dgm:pt>
    <dgm:pt modelId="{BE0448B9-4AD7-42B3-8E29-B10A046B36DD}" type="pres">
      <dgm:prSet presAssocID="{E981F690-7086-4A8D-A6BF-F9EA166E7DEF}" presName="hierRoot2" presStyleCnt="0">
        <dgm:presLayoutVars>
          <dgm:hierBranch val="init"/>
        </dgm:presLayoutVars>
      </dgm:prSet>
      <dgm:spPr/>
    </dgm:pt>
    <dgm:pt modelId="{5D725429-9314-46FB-A40A-4454C8CFC472}" type="pres">
      <dgm:prSet presAssocID="{E981F690-7086-4A8D-A6BF-F9EA166E7DEF}" presName="rootComposite" presStyleCnt="0"/>
      <dgm:spPr/>
    </dgm:pt>
    <dgm:pt modelId="{211773B7-F8FA-4D1D-8FA8-454AA3D94FE5}" type="pres">
      <dgm:prSet presAssocID="{E981F690-7086-4A8D-A6BF-F9EA166E7DEF}" presName="rootText" presStyleLbl="node2" presStyleIdx="1" presStyleCnt="2" custScaleX="117202">
        <dgm:presLayoutVars>
          <dgm:chPref val="3"/>
        </dgm:presLayoutVars>
      </dgm:prSet>
      <dgm:spPr/>
    </dgm:pt>
    <dgm:pt modelId="{193E47A2-DBA6-4CC9-8671-463E36432AEB}" type="pres">
      <dgm:prSet presAssocID="{E981F690-7086-4A8D-A6BF-F9EA166E7DEF}" presName="rootConnector" presStyleLbl="node2" presStyleIdx="1" presStyleCnt="2"/>
      <dgm:spPr/>
    </dgm:pt>
    <dgm:pt modelId="{DDC2B65C-3B98-4D22-A22E-1310C0351DB1}" type="pres">
      <dgm:prSet presAssocID="{E981F690-7086-4A8D-A6BF-F9EA166E7DEF}" presName="hierChild4" presStyleCnt="0"/>
      <dgm:spPr/>
    </dgm:pt>
    <dgm:pt modelId="{71499D64-D117-4312-A964-4806BCEFD227}" type="pres">
      <dgm:prSet presAssocID="{A5EE3305-8C6E-471B-80FE-DBDD811B790A}" presName="Name37" presStyleLbl="parChTrans1D3" presStyleIdx="1" presStyleCnt="3"/>
      <dgm:spPr/>
    </dgm:pt>
    <dgm:pt modelId="{350A0A21-791D-4532-AF02-39CECF1F7A7E}" type="pres">
      <dgm:prSet presAssocID="{BEBE0E3D-04F6-4FFD-9A2E-74CB39C885C1}" presName="hierRoot2" presStyleCnt="0">
        <dgm:presLayoutVars>
          <dgm:hierBranch val="init"/>
        </dgm:presLayoutVars>
      </dgm:prSet>
      <dgm:spPr/>
    </dgm:pt>
    <dgm:pt modelId="{0BE28520-0BDF-4DD1-944B-A81A6F6FB9AD}" type="pres">
      <dgm:prSet presAssocID="{BEBE0E3D-04F6-4FFD-9A2E-74CB39C885C1}" presName="rootComposite" presStyleCnt="0"/>
      <dgm:spPr/>
    </dgm:pt>
    <dgm:pt modelId="{AB8F936E-4CB4-4CA1-A77B-B4950CC405D1}" type="pres">
      <dgm:prSet presAssocID="{BEBE0E3D-04F6-4FFD-9A2E-74CB39C885C1}" presName="rootText" presStyleLbl="node3" presStyleIdx="1" presStyleCnt="3">
        <dgm:presLayoutVars>
          <dgm:chPref val="3"/>
        </dgm:presLayoutVars>
      </dgm:prSet>
      <dgm:spPr/>
    </dgm:pt>
    <dgm:pt modelId="{31D8999D-F7D9-46C1-BC12-C09782D56ED4}" type="pres">
      <dgm:prSet presAssocID="{BEBE0E3D-04F6-4FFD-9A2E-74CB39C885C1}" presName="rootConnector" presStyleLbl="node3" presStyleIdx="1" presStyleCnt="3"/>
      <dgm:spPr/>
    </dgm:pt>
    <dgm:pt modelId="{D1D63C14-9879-4B4B-B7AD-F8D3E3F50430}" type="pres">
      <dgm:prSet presAssocID="{BEBE0E3D-04F6-4FFD-9A2E-74CB39C885C1}" presName="hierChild4" presStyleCnt="0"/>
      <dgm:spPr/>
    </dgm:pt>
    <dgm:pt modelId="{FBEAEE33-84BB-4BCD-84D3-B633EF68F87B}" type="pres">
      <dgm:prSet presAssocID="{BEBE0E3D-04F6-4FFD-9A2E-74CB39C885C1}" presName="hierChild5" presStyleCnt="0"/>
      <dgm:spPr/>
    </dgm:pt>
    <dgm:pt modelId="{E9439AE1-1929-45F6-979F-DB2608E3E653}" type="pres">
      <dgm:prSet presAssocID="{3C94B4DD-1F4F-4E32-81F9-FAB6EACF903E}" presName="Name37" presStyleLbl="parChTrans1D3" presStyleIdx="2" presStyleCnt="3"/>
      <dgm:spPr/>
    </dgm:pt>
    <dgm:pt modelId="{ABA8D4BB-76F5-4BD8-83E8-3DFFFEB13944}" type="pres">
      <dgm:prSet presAssocID="{69A102C2-9C80-4E4E-BFAC-A215236C5F2A}" presName="hierRoot2" presStyleCnt="0">
        <dgm:presLayoutVars>
          <dgm:hierBranch val="init"/>
        </dgm:presLayoutVars>
      </dgm:prSet>
      <dgm:spPr/>
    </dgm:pt>
    <dgm:pt modelId="{F42316B7-1BA5-40BC-B21F-E45C84AF6495}" type="pres">
      <dgm:prSet presAssocID="{69A102C2-9C80-4E4E-BFAC-A215236C5F2A}" presName="rootComposite" presStyleCnt="0"/>
      <dgm:spPr/>
    </dgm:pt>
    <dgm:pt modelId="{70111A4B-8885-4DAD-80CD-B2A849CFC4FC}" type="pres">
      <dgm:prSet presAssocID="{69A102C2-9C80-4E4E-BFAC-A215236C5F2A}" presName="rootText" presStyleLbl="node3" presStyleIdx="2" presStyleCnt="3">
        <dgm:presLayoutVars>
          <dgm:chPref val="3"/>
        </dgm:presLayoutVars>
      </dgm:prSet>
      <dgm:spPr/>
    </dgm:pt>
    <dgm:pt modelId="{D10FAD6C-77C9-46CA-8B7C-5931A177A0EF}" type="pres">
      <dgm:prSet presAssocID="{69A102C2-9C80-4E4E-BFAC-A215236C5F2A}" presName="rootConnector" presStyleLbl="node3" presStyleIdx="2" presStyleCnt="3"/>
      <dgm:spPr/>
    </dgm:pt>
    <dgm:pt modelId="{0F55D6E4-7175-4A05-903D-B209A9028721}" type="pres">
      <dgm:prSet presAssocID="{69A102C2-9C80-4E4E-BFAC-A215236C5F2A}" presName="hierChild4" presStyleCnt="0"/>
      <dgm:spPr/>
    </dgm:pt>
    <dgm:pt modelId="{4FC898C4-3414-4CEE-B6B6-A4E5B7F35B3D}" type="pres">
      <dgm:prSet presAssocID="{69A102C2-9C80-4E4E-BFAC-A215236C5F2A}" presName="hierChild5" presStyleCnt="0"/>
      <dgm:spPr/>
    </dgm:pt>
    <dgm:pt modelId="{53C03238-5BF4-4128-AFD9-F9EBBCDE1E8F}" type="pres">
      <dgm:prSet presAssocID="{E981F690-7086-4A8D-A6BF-F9EA166E7DEF}" presName="hierChild5" presStyleCnt="0"/>
      <dgm:spPr/>
    </dgm:pt>
    <dgm:pt modelId="{75C776B4-6970-463E-AA40-4F1C0091245B}" type="pres">
      <dgm:prSet presAssocID="{AC5C800B-D87C-4A53-BC0F-0B6326821C05}" presName="hierChild3" presStyleCnt="0"/>
      <dgm:spPr/>
    </dgm:pt>
  </dgm:ptLst>
  <dgm:cxnLst>
    <dgm:cxn modelId="{B0B90E00-96F7-4131-94F0-41C8EA1B4BFB}" type="presOf" srcId="{61019531-36AC-44F4-8738-CB955194FF08}" destId="{44758087-681C-44EF-95DA-78F8001C6988}" srcOrd="0" destOrd="0" presId="urn:microsoft.com/office/officeart/2005/8/layout/orgChart1"/>
    <dgm:cxn modelId="{7BA02B13-28A6-4C7B-BAC3-F6A0BB61140F}" srcId="{AC5C800B-D87C-4A53-BC0F-0B6326821C05}" destId="{10782E8E-362B-4B7C-892B-A92B64DABA90}" srcOrd="0" destOrd="0" parTransId="{B0055C82-C2DD-475D-9A5A-7BD540907545}" sibTransId="{C960468F-121F-4796-8C05-EDF398024D0D}"/>
    <dgm:cxn modelId="{16AAD52A-9F58-48C7-9020-F3A32D1C84A7}" type="presOf" srcId="{29AD18A9-2175-4992-ABD1-27329E84E89B}" destId="{FE5C8431-D00F-4A2C-B4F5-A72BFE44B2A9}" srcOrd="1" destOrd="0" presId="urn:microsoft.com/office/officeart/2005/8/layout/orgChart1"/>
    <dgm:cxn modelId="{1AB5852B-B360-4735-8B27-E0705A2871CD}" type="presOf" srcId="{29AD18A9-2175-4992-ABD1-27329E84E89B}" destId="{FDB51134-796D-46D6-87B6-F1F17C25422C}" srcOrd="0" destOrd="0" presId="urn:microsoft.com/office/officeart/2005/8/layout/orgChart1"/>
    <dgm:cxn modelId="{6D3ECA2B-369C-4E3B-9DF9-A2E34EE61A22}" srcId="{E981F690-7086-4A8D-A6BF-F9EA166E7DEF}" destId="{69A102C2-9C80-4E4E-BFAC-A215236C5F2A}" srcOrd="1" destOrd="0" parTransId="{3C94B4DD-1F4F-4E32-81F9-FAB6EACF903E}" sibTransId="{4734CFDF-60DC-40F3-9F53-38F8CFB89D94}"/>
    <dgm:cxn modelId="{AC987E2F-C538-47F5-8867-68BD2061E6CD}" srcId="{10782E8E-362B-4B7C-892B-A92B64DABA90}" destId="{29AD18A9-2175-4992-ABD1-27329E84E89B}" srcOrd="0" destOrd="0" parTransId="{7C318C51-93C3-446D-8905-5E2F8353BA5C}" sibTransId="{8303B54F-E5AE-44DB-B73E-8C9E18A35852}"/>
    <dgm:cxn modelId="{44239241-491F-487A-B8B2-D615DE45C47B}" srcId="{AC5C800B-D87C-4A53-BC0F-0B6326821C05}" destId="{E981F690-7086-4A8D-A6BF-F9EA166E7DEF}" srcOrd="1" destOrd="0" parTransId="{61019531-36AC-44F4-8738-CB955194FF08}" sibTransId="{6DAD434A-6454-470A-BA2C-83B521B99465}"/>
    <dgm:cxn modelId="{21088042-0758-4477-8FAB-08068385E7C7}" srcId="{E981F690-7086-4A8D-A6BF-F9EA166E7DEF}" destId="{BEBE0E3D-04F6-4FFD-9A2E-74CB39C885C1}" srcOrd="0" destOrd="0" parTransId="{A5EE3305-8C6E-471B-80FE-DBDD811B790A}" sibTransId="{A11AFD89-0D9F-4083-8121-8F324FB0DA0F}"/>
    <dgm:cxn modelId="{F3B27147-A623-4B05-AA10-0A92FC0DEA3D}" type="presOf" srcId="{BEBE0E3D-04F6-4FFD-9A2E-74CB39C885C1}" destId="{AB8F936E-4CB4-4CA1-A77B-B4950CC405D1}" srcOrd="0" destOrd="0" presId="urn:microsoft.com/office/officeart/2005/8/layout/orgChart1"/>
    <dgm:cxn modelId="{A8295E6E-B53B-4CF0-BF26-7E842394A300}" srcId="{AB812DEF-D46F-4385-AB2D-933CE1DD0DB8}" destId="{AC5C800B-D87C-4A53-BC0F-0B6326821C05}" srcOrd="0" destOrd="0" parTransId="{68C1E669-7088-4095-8F03-55D3DFF30F27}" sibTransId="{4302A293-8C2B-4395-A259-33026CF7BEFF}"/>
    <dgm:cxn modelId="{793C4451-3D19-44BD-9963-6FC37B0DFB04}" type="presOf" srcId="{B0055C82-C2DD-475D-9A5A-7BD540907545}" destId="{21575485-2221-4CE6-8282-A2327E424D43}" srcOrd="0" destOrd="0" presId="urn:microsoft.com/office/officeart/2005/8/layout/orgChart1"/>
    <dgm:cxn modelId="{3DA95A53-EEA2-497A-BB96-3E7895666526}" type="presOf" srcId="{AC5C800B-D87C-4A53-BC0F-0B6326821C05}" destId="{737CE91B-57CC-4108-8D4A-78AA2F5EE5A0}" srcOrd="1" destOrd="0" presId="urn:microsoft.com/office/officeart/2005/8/layout/orgChart1"/>
    <dgm:cxn modelId="{FE04968F-7D56-4413-8CDF-AD820C38291E}" type="presOf" srcId="{3C94B4DD-1F4F-4E32-81F9-FAB6EACF903E}" destId="{E9439AE1-1929-45F6-979F-DB2608E3E653}" srcOrd="0" destOrd="0" presId="urn:microsoft.com/office/officeart/2005/8/layout/orgChart1"/>
    <dgm:cxn modelId="{1C33C598-CA3E-494B-AF56-025799985098}" type="presOf" srcId="{BEBE0E3D-04F6-4FFD-9A2E-74CB39C885C1}" destId="{31D8999D-F7D9-46C1-BC12-C09782D56ED4}" srcOrd="1" destOrd="0" presId="urn:microsoft.com/office/officeart/2005/8/layout/orgChart1"/>
    <dgm:cxn modelId="{49BE999B-46B2-486A-AAA1-7EBFE0849961}" type="presOf" srcId="{10782E8E-362B-4B7C-892B-A92B64DABA90}" destId="{E43FC889-C81D-4C96-8D0E-C4B92FB6C390}" srcOrd="0" destOrd="0" presId="urn:microsoft.com/office/officeart/2005/8/layout/orgChart1"/>
    <dgm:cxn modelId="{7B3AE5BA-39E0-4598-B8BB-C30230FEAC7B}" type="presOf" srcId="{69A102C2-9C80-4E4E-BFAC-A215236C5F2A}" destId="{D10FAD6C-77C9-46CA-8B7C-5931A177A0EF}" srcOrd="1" destOrd="0" presId="urn:microsoft.com/office/officeart/2005/8/layout/orgChart1"/>
    <dgm:cxn modelId="{D2B3A3C0-17A8-43E0-99A8-39807923745C}" type="presOf" srcId="{E981F690-7086-4A8D-A6BF-F9EA166E7DEF}" destId="{211773B7-F8FA-4D1D-8FA8-454AA3D94FE5}" srcOrd="0" destOrd="0" presId="urn:microsoft.com/office/officeart/2005/8/layout/orgChart1"/>
    <dgm:cxn modelId="{DC92FFCA-08BA-4D7F-822A-A683C6A36F89}" type="presOf" srcId="{AC5C800B-D87C-4A53-BC0F-0B6326821C05}" destId="{3696F2FE-C1F3-4B4C-BB98-41ADB4874CFC}" srcOrd="0" destOrd="0" presId="urn:microsoft.com/office/officeart/2005/8/layout/orgChart1"/>
    <dgm:cxn modelId="{F761E8CB-F7EA-4410-87FD-5379639CD4CF}" type="presOf" srcId="{E981F690-7086-4A8D-A6BF-F9EA166E7DEF}" destId="{193E47A2-DBA6-4CC9-8671-463E36432AEB}" srcOrd="1" destOrd="0" presId="urn:microsoft.com/office/officeart/2005/8/layout/orgChart1"/>
    <dgm:cxn modelId="{50DDD6D7-7AD7-4FBA-90D8-50BB26754CE0}" type="presOf" srcId="{AB812DEF-D46F-4385-AB2D-933CE1DD0DB8}" destId="{7B93D5C1-9BA7-4437-96D3-A5A3C98D2621}" srcOrd="0" destOrd="0" presId="urn:microsoft.com/office/officeart/2005/8/layout/orgChart1"/>
    <dgm:cxn modelId="{CE0401DF-EEC9-4959-92B3-1A9DCBD3D4FB}" type="presOf" srcId="{10782E8E-362B-4B7C-892B-A92B64DABA90}" destId="{1AC7E36E-6C34-4D25-B2C5-EDB8D51FA04D}" srcOrd="1" destOrd="0" presId="urn:microsoft.com/office/officeart/2005/8/layout/orgChart1"/>
    <dgm:cxn modelId="{F6E0F3EC-C077-4090-8D27-1F80DFFD836A}" type="presOf" srcId="{7C318C51-93C3-446D-8905-5E2F8353BA5C}" destId="{E7A8BEE2-AEA9-444D-B446-7393AA09E85A}" srcOrd="0" destOrd="0" presId="urn:microsoft.com/office/officeart/2005/8/layout/orgChart1"/>
    <dgm:cxn modelId="{7DC268EF-C8D3-42C3-8BAC-2985C9A76372}" type="presOf" srcId="{A5EE3305-8C6E-471B-80FE-DBDD811B790A}" destId="{71499D64-D117-4312-A964-4806BCEFD227}" srcOrd="0" destOrd="0" presId="urn:microsoft.com/office/officeart/2005/8/layout/orgChart1"/>
    <dgm:cxn modelId="{92AB2AFB-C6B3-4AA9-BB2B-6573B0F8C9A2}" type="presOf" srcId="{69A102C2-9C80-4E4E-BFAC-A215236C5F2A}" destId="{70111A4B-8885-4DAD-80CD-B2A849CFC4FC}" srcOrd="0" destOrd="0" presId="urn:microsoft.com/office/officeart/2005/8/layout/orgChart1"/>
    <dgm:cxn modelId="{C16F2B93-CA2F-45C8-BD39-DCE26FBC8826}" type="presParOf" srcId="{7B93D5C1-9BA7-4437-96D3-A5A3C98D2621}" destId="{299F351F-F6D0-4B85-8E1F-7C856FE4C36A}" srcOrd="0" destOrd="0" presId="urn:microsoft.com/office/officeart/2005/8/layout/orgChart1"/>
    <dgm:cxn modelId="{EBF07239-F383-4523-8D9D-0E9ED34CDA47}" type="presParOf" srcId="{299F351F-F6D0-4B85-8E1F-7C856FE4C36A}" destId="{BD5A95AF-6630-489E-994C-7E0F3CD149D6}" srcOrd="0" destOrd="0" presId="urn:microsoft.com/office/officeart/2005/8/layout/orgChart1"/>
    <dgm:cxn modelId="{62AC0B9A-90E2-4F6F-9BFD-794480112393}" type="presParOf" srcId="{BD5A95AF-6630-489E-994C-7E0F3CD149D6}" destId="{3696F2FE-C1F3-4B4C-BB98-41ADB4874CFC}" srcOrd="0" destOrd="0" presId="urn:microsoft.com/office/officeart/2005/8/layout/orgChart1"/>
    <dgm:cxn modelId="{7D78A922-2459-46BA-8F94-28C4DAA29EF4}" type="presParOf" srcId="{BD5A95AF-6630-489E-994C-7E0F3CD149D6}" destId="{737CE91B-57CC-4108-8D4A-78AA2F5EE5A0}" srcOrd="1" destOrd="0" presId="urn:microsoft.com/office/officeart/2005/8/layout/orgChart1"/>
    <dgm:cxn modelId="{8A1F5D1D-1DF8-4D5D-B7AB-C882BB47013F}" type="presParOf" srcId="{299F351F-F6D0-4B85-8E1F-7C856FE4C36A}" destId="{BE1D4F81-3504-49A6-A746-71C9798F1002}" srcOrd="1" destOrd="0" presId="urn:microsoft.com/office/officeart/2005/8/layout/orgChart1"/>
    <dgm:cxn modelId="{071DE40A-D15F-457A-8294-4B1064D1CCD5}" type="presParOf" srcId="{BE1D4F81-3504-49A6-A746-71C9798F1002}" destId="{21575485-2221-4CE6-8282-A2327E424D43}" srcOrd="0" destOrd="0" presId="urn:microsoft.com/office/officeart/2005/8/layout/orgChart1"/>
    <dgm:cxn modelId="{845510A5-F70D-4B25-B632-3909EF363FAB}" type="presParOf" srcId="{BE1D4F81-3504-49A6-A746-71C9798F1002}" destId="{F00E31D7-F908-475C-A3D0-E55BBD540A8A}" srcOrd="1" destOrd="0" presId="urn:microsoft.com/office/officeart/2005/8/layout/orgChart1"/>
    <dgm:cxn modelId="{84905B20-A0D5-4124-82B5-1DBFBF8EF92D}" type="presParOf" srcId="{F00E31D7-F908-475C-A3D0-E55BBD540A8A}" destId="{D6202924-963A-44D5-99A9-ABDEA22FC344}" srcOrd="0" destOrd="0" presId="urn:microsoft.com/office/officeart/2005/8/layout/orgChart1"/>
    <dgm:cxn modelId="{1FFDC40D-7C08-4AE4-B0AB-2CA30DCEA447}" type="presParOf" srcId="{D6202924-963A-44D5-99A9-ABDEA22FC344}" destId="{E43FC889-C81D-4C96-8D0E-C4B92FB6C390}" srcOrd="0" destOrd="0" presId="urn:microsoft.com/office/officeart/2005/8/layout/orgChart1"/>
    <dgm:cxn modelId="{19C36BAC-15CE-40ED-88EC-6F6ED81D425F}" type="presParOf" srcId="{D6202924-963A-44D5-99A9-ABDEA22FC344}" destId="{1AC7E36E-6C34-4D25-B2C5-EDB8D51FA04D}" srcOrd="1" destOrd="0" presId="urn:microsoft.com/office/officeart/2005/8/layout/orgChart1"/>
    <dgm:cxn modelId="{AE71AAD4-CAE4-4173-9F87-D0689C22B09C}" type="presParOf" srcId="{F00E31D7-F908-475C-A3D0-E55BBD540A8A}" destId="{090D7863-2479-488F-ABD6-F48968297654}" srcOrd="1" destOrd="0" presId="urn:microsoft.com/office/officeart/2005/8/layout/orgChart1"/>
    <dgm:cxn modelId="{B37AF227-5AB6-4B4F-ADB4-35A96BA65C18}" type="presParOf" srcId="{090D7863-2479-488F-ABD6-F48968297654}" destId="{E7A8BEE2-AEA9-444D-B446-7393AA09E85A}" srcOrd="0" destOrd="0" presId="urn:microsoft.com/office/officeart/2005/8/layout/orgChart1"/>
    <dgm:cxn modelId="{357BE49C-B3B9-46D9-90DE-CCB70379A448}" type="presParOf" srcId="{090D7863-2479-488F-ABD6-F48968297654}" destId="{0CE56AC1-7E8C-41A2-9D57-72DC40102CCC}" srcOrd="1" destOrd="0" presId="urn:microsoft.com/office/officeart/2005/8/layout/orgChart1"/>
    <dgm:cxn modelId="{2FACE8D3-87C4-4D60-B4CF-F418567999DD}" type="presParOf" srcId="{0CE56AC1-7E8C-41A2-9D57-72DC40102CCC}" destId="{9BB4887F-A111-4817-97B6-90BD8CF726FF}" srcOrd="0" destOrd="0" presId="urn:microsoft.com/office/officeart/2005/8/layout/orgChart1"/>
    <dgm:cxn modelId="{C157EFF5-AFD8-4D59-95A4-E700776FC9CA}" type="presParOf" srcId="{9BB4887F-A111-4817-97B6-90BD8CF726FF}" destId="{FDB51134-796D-46D6-87B6-F1F17C25422C}" srcOrd="0" destOrd="0" presId="urn:microsoft.com/office/officeart/2005/8/layout/orgChart1"/>
    <dgm:cxn modelId="{C104DB0C-01A0-41F4-B014-839BD9087F92}" type="presParOf" srcId="{9BB4887F-A111-4817-97B6-90BD8CF726FF}" destId="{FE5C8431-D00F-4A2C-B4F5-A72BFE44B2A9}" srcOrd="1" destOrd="0" presId="urn:microsoft.com/office/officeart/2005/8/layout/orgChart1"/>
    <dgm:cxn modelId="{DCA9987A-4309-47D6-BE72-C491571C3C8F}" type="presParOf" srcId="{0CE56AC1-7E8C-41A2-9D57-72DC40102CCC}" destId="{B2D2F91A-516D-4F80-94A0-2630ED29410E}" srcOrd="1" destOrd="0" presId="urn:microsoft.com/office/officeart/2005/8/layout/orgChart1"/>
    <dgm:cxn modelId="{DBCC7FAF-5BB2-4CFC-95FA-23B0B0BDF2B4}" type="presParOf" srcId="{0CE56AC1-7E8C-41A2-9D57-72DC40102CCC}" destId="{3B50A539-55EC-4CEA-A2E9-F661A6A0432F}" srcOrd="2" destOrd="0" presId="urn:microsoft.com/office/officeart/2005/8/layout/orgChart1"/>
    <dgm:cxn modelId="{6DDB18D5-15CE-47C3-A993-AD780C880A9F}" type="presParOf" srcId="{F00E31D7-F908-475C-A3D0-E55BBD540A8A}" destId="{1C9C5890-B9C0-4C19-9A5F-B96E8CE80669}" srcOrd="2" destOrd="0" presId="urn:microsoft.com/office/officeart/2005/8/layout/orgChart1"/>
    <dgm:cxn modelId="{11408CFB-67A6-4432-AB08-1AC3C021425A}" type="presParOf" srcId="{BE1D4F81-3504-49A6-A746-71C9798F1002}" destId="{44758087-681C-44EF-95DA-78F8001C6988}" srcOrd="2" destOrd="0" presId="urn:microsoft.com/office/officeart/2005/8/layout/orgChart1"/>
    <dgm:cxn modelId="{EFE869E9-499F-4B34-880B-1884F900C0D5}" type="presParOf" srcId="{BE1D4F81-3504-49A6-A746-71C9798F1002}" destId="{BE0448B9-4AD7-42B3-8E29-B10A046B36DD}" srcOrd="3" destOrd="0" presId="urn:microsoft.com/office/officeart/2005/8/layout/orgChart1"/>
    <dgm:cxn modelId="{9068A81C-2EB6-422F-B578-7D73F03ECAAE}" type="presParOf" srcId="{BE0448B9-4AD7-42B3-8E29-B10A046B36DD}" destId="{5D725429-9314-46FB-A40A-4454C8CFC472}" srcOrd="0" destOrd="0" presId="urn:microsoft.com/office/officeart/2005/8/layout/orgChart1"/>
    <dgm:cxn modelId="{A35B3D61-CBD1-45BB-ADFB-EB5D216A4035}" type="presParOf" srcId="{5D725429-9314-46FB-A40A-4454C8CFC472}" destId="{211773B7-F8FA-4D1D-8FA8-454AA3D94FE5}" srcOrd="0" destOrd="0" presId="urn:microsoft.com/office/officeart/2005/8/layout/orgChart1"/>
    <dgm:cxn modelId="{7A0B135C-65F6-4A34-9E0E-9C856D9CAFEB}" type="presParOf" srcId="{5D725429-9314-46FB-A40A-4454C8CFC472}" destId="{193E47A2-DBA6-4CC9-8671-463E36432AEB}" srcOrd="1" destOrd="0" presId="urn:microsoft.com/office/officeart/2005/8/layout/orgChart1"/>
    <dgm:cxn modelId="{2CE23838-9270-4B06-A0EB-128D105511CE}" type="presParOf" srcId="{BE0448B9-4AD7-42B3-8E29-B10A046B36DD}" destId="{DDC2B65C-3B98-4D22-A22E-1310C0351DB1}" srcOrd="1" destOrd="0" presId="urn:microsoft.com/office/officeart/2005/8/layout/orgChart1"/>
    <dgm:cxn modelId="{9EE6E412-6142-4D92-8461-6A1E0FF00635}" type="presParOf" srcId="{DDC2B65C-3B98-4D22-A22E-1310C0351DB1}" destId="{71499D64-D117-4312-A964-4806BCEFD227}" srcOrd="0" destOrd="0" presId="urn:microsoft.com/office/officeart/2005/8/layout/orgChart1"/>
    <dgm:cxn modelId="{E921240B-F19C-40D5-9EBD-E259E3893E69}" type="presParOf" srcId="{DDC2B65C-3B98-4D22-A22E-1310C0351DB1}" destId="{350A0A21-791D-4532-AF02-39CECF1F7A7E}" srcOrd="1" destOrd="0" presId="urn:microsoft.com/office/officeart/2005/8/layout/orgChart1"/>
    <dgm:cxn modelId="{A41F4CCD-B5E0-400D-86F7-3A8ED53E6F0F}" type="presParOf" srcId="{350A0A21-791D-4532-AF02-39CECF1F7A7E}" destId="{0BE28520-0BDF-4DD1-944B-A81A6F6FB9AD}" srcOrd="0" destOrd="0" presId="urn:microsoft.com/office/officeart/2005/8/layout/orgChart1"/>
    <dgm:cxn modelId="{75A4BF29-5717-4AA7-8AF8-9AD2B1D8FC06}" type="presParOf" srcId="{0BE28520-0BDF-4DD1-944B-A81A6F6FB9AD}" destId="{AB8F936E-4CB4-4CA1-A77B-B4950CC405D1}" srcOrd="0" destOrd="0" presId="urn:microsoft.com/office/officeart/2005/8/layout/orgChart1"/>
    <dgm:cxn modelId="{73F33376-F3C8-4D4F-82FD-F68421F913F1}" type="presParOf" srcId="{0BE28520-0BDF-4DD1-944B-A81A6F6FB9AD}" destId="{31D8999D-F7D9-46C1-BC12-C09782D56ED4}" srcOrd="1" destOrd="0" presId="urn:microsoft.com/office/officeart/2005/8/layout/orgChart1"/>
    <dgm:cxn modelId="{50615E4A-299C-4843-8815-B9114C6EB58D}" type="presParOf" srcId="{350A0A21-791D-4532-AF02-39CECF1F7A7E}" destId="{D1D63C14-9879-4B4B-B7AD-F8D3E3F50430}" srcOrd="1" destOrd="0" presId="urn:microsoft.com/office/officeart/2005/8/layout/orgChart1"/>
    <dgm:cxn modelId="{D70AC5C6-D262-4A55-A5CA-DFAEC4FB54F3}" type="presParOf" srcId="{350A0A21-791D-4532-AF02-39CECF1F7A7E}" destId="{FBEAEE33-84BB-4BCD-84D3-B633EF68F87B}" srcOrd="2" destOrd="0" presId="urn:microsoft.com/office/officeart/2005/8/layout/orgChart1"/>
    <dgm:cxn modelId="{825D8A51-0ED2-45DD-B1CA-F481F1A4250B}" type="presParOf" srcId="{DDC2B65C-3B98-4D22-A22E-1310C0351DB1}" destId="{E9439AE1-1929-45F6-979F-DB2608E3E653}" srcOrd="2" destOrd="0" presId="urn:microsoft.com/office/officeart/2005/8/layout/orgChart1"/>
    <dgm:cxn modelId="{7A890016-3C2D-408D-97E8-DCDF6970CD0B}" type="presParOf" srcId="{DDC2B65C-3B98-4D22-A22E-1310C0351DB1}" destId="{ABA8D4BB-76F5-4BD8-83E8-3DFFFEB13944}" srcOrd="3" destOrd="0" presId="urn:microsoft.com/office/officeart/2005/8/layout/orgChart1"/>
    <dgm:cxn modelId="{8AA58A08-C2A5-4A0E-AAAF-83A64CC8F7FE}" type="presParOf" srcId="{ABA8D4BB-76F5-4BD8-83E8-3DFFFEB13944}" destId="{F42316B7-1BA5-40BC-B21F-E45C84AF6495}" srcOrd="0" destOrd="0" presId="urn:microsoft.com/office/officeart/2005/8/layout/orgChart1"/>
    <dgm:cxn modelId="{C5272BD4-A120-48E8-8F09-5D1B5983A964}" type="presParOf" srcId="{F42316B7-1BA5-40BC-B21F-E45C84AF6495}" destId="{70111A4B-8885-4DAD-80CD-B2A849CFC4FC}" srcOrd="0" destOrd="0" presId="urn:microsoft.com/office/officeart/2005/8/layout/orgChart1"/>
    <dgm:cxn modelId="{A6BF03CF-C2CE-49C9-9095-47932F4991CB}" type="presParOf" srcId="{F42316B7-1BA5-40BC-B21F-E45C84AF6495}" destId="{D10FAD6C-77C9-46CA-8B7C-5931A177A0EF}" srcOrd="1" destOrd="0" presId="urn:microsoft.com/office/officeart/2005/8/layout/orgChart1"/>
    <dgm:cxn modelId="{2AA4BBBD-BB5C-4FB2-A7E7-1E50D235919F}" type="presParOf" srcId="{ABA8D4BB-76F5-4BD8-83E8-3DFFFEB13944}" destId="{0F55D6E4-7175-4A05-903D-B209A9028721}" srcOrd="1" destOrd="0" presId="urn:microsoft.com/office/officeart/2005/8/layout/orgChart1"/>
    <dgm:cxn modelId="{74AD0A50-6045-4661-8A4B-0952CA6BE7D1}" type="presParOf" srcId="{ABA8D4BB-76F5-4BD8-83E8-3DFFFEB13944}" destId="{4FC898C4-3414-4CEE-B6B6-A4E5B7F35B3D}" srcOrd="2" destOrd="0" presId="urn:microsoft.com/office/officeart/2005/8/layout/orgChart1"/>
    <dgm:cxn modelId="{281F74CE-56A0-442C-B728-40D03E4332E7}" type="presParOf" srcId="{BE0448B9-4AD7-42B3-8E29-B10A046B36DD}" destId="{53C03238-5BF4-4128-AFD9-F9EBBCDE1E8F}" srcOrd="2" destOrd="0" presId="urn:microsoft.com/office/officeart/2005/8/layout/orgChart1"/>
    <dgm:cxn modelId="{3FF1F8F1-4538-491A-8E3C-132EB8D18233}" type="presParOf" srcId="{299F351F-F6D0-4B85-8E1F-7C856FE4C36A}" destId="{75C776B4-6970-463E-AA40-4F1C0091245B}" srcOrd="2" destOrd="0" presId="urn:microsoft.com/office/officeart/2005/8/layout/orgChart1"/>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6096DB2-71F3-4768-AAE3-98BB6FBBC63D}">
      <dsp:nvSpPr>
        <dsp:cNvPr id="0" name=""/>
        <dsp:cNvSpPr/>
      </dsp:nvSpPr>
      <dsp:spPr>
        <a:xfrm>
          <a:off x="764082" y="1519697"/>
          <a:ext cx="1087294" cy="97079"/>
        </a:xfrm>
        <a:custGeom>
          <a:avLst/>
          <a:gdLst/>
          <a:ahLst/>
          <a:cxnLst/>
          <a:rect l="0" t="0" r="0" b="0"/>
          <a:pathLst>
            <a:path>
              <a:moveTo>
                <a:pt x="0" y="97079"/>
              </a:moveTo>
              <a:lnTo>
                <a:pt x="1087294" y="97079"/>
              </a:lnTo>
              <a:lnTo>
                <a:pt x="1087294"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544B2C3-6429-4167-BA4F-323D3FC77D9B}">
      <dsp:nvSpPr>
        <dsp:cNvPr id="0" name=""/>
        <dsp:cNvSpPr/>
      </dsp:nvSpPr>
      <dsp:spPr>
        <a:xfrm>
          <a:off x="5762520" y="2327020"/>
          <a:ext cx="329294" cy="1083148"/>
        </a:xfrm>
        <a:custGeom>
          <a:avLst/>
          <a:gdLst/>
          <a:ahLst/>
          <a:cxnLst/>
          <a:rect l="0" t="0" r="0" b="0"/>
          <a:pathLst>
            <a:path>
              <a:moveTo>
                <a:pt x="0" y="0"/>
              </a:moveTo>
              <a:lnTo>
                <a:pt x="173967" y="0"/>
              </a:lnTo>
              <a:lnTo>
                <a:pt x="173967" y="1083148"/>
              </a:lnTo>
              <a:lnTo>
                <a:pt x="329294" y="108314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05E8E83-D1B8-4CAA-B7D6-09BF6D0CAC01}">
      <dsp:nvSpPr>
        <dsp:cNvPr id="0" name=""/>
        <dsp:cNvSpPr/>
      </dsp:nvSpPr>
      <dsp:spPr>
        <a:xfrm>
          <a:off x="5762520" y="2280679"/>
          <a:ext cx="329294" cy="91440"/>
        </a:xfrm>
        <a:custGeom>
          <a:avLst/>
          <a:gdLst/>
          <a:ahLst/>
          <a:cxnLst/>
          <a:rect l="0" t="0" r="0" b="0"/>
          <a:pathLst>
            <a:path>
              <a:moveTo>
                <a:pt x="0" y="46340"/>
              </a:moveTo>
              <a:lnTo>
                <a:pt x="173967" y="46340"/>
              </a:lnTo>
              <a:lnTo>
                <a:pt x="173967" y="45720"/>
              </a:lnTo>
              <a:lnTo>
                <a:pt x="329294"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F7CEA06-732B-4680-A746-FAB4DA4B7607}">
      <dsp:nvSpPr>
        <dsp:cNvPr id="0" name=""/>
        <dsp:cNvSpPr/>
      </dsp:nvSpPr>
      <dsp:spPr>
        <a:xfrm>
          <a:off x="5762520" y="1247913"/>
          <a:ext cx="329294" cy="1079107"/>
        </a:xfrm>
        <a:custGeom>
          <a:avLst/>
          <a:gdLst/>
          <a:ahLst/>
          <a:cxnLst/>
          <a:rect l="0" t="0" r="0" b="0"/>
          <a:pathLst>
            <a:path>
              <a:moveTo>
                <a:pt x="0" y="1079107"/>
              </a:moveTo>
              <a:lnTo>
                <a:pt x="173967" y="1079107"/>
              </a:lnTo>
              <a:lnTo>
                <a:pt x="173967" y="0"/>
              </a:lnTo>
              <a:lnTo>
                <a:pt x="329294" y="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E23A2C-4C29-4B9A-B871-DFA104FF9209}">
      <dsp:nvSpPr>
        <dsp:cNvPr id="0" name=""/>
        <dsp:cNvSpPr/>
      </dsp:nvSpPr>
      <dsp:spPr>
        <a:xfrm>
          <a:off x="4560050" y="2281300"/>
          <a:ext cx="292016" cy="91440"/>
        </a:xfrm>
        <a:custGeom>
          <a:avLst/>
          <a:gdLst/>
          <a:ahLst/>
          <a:cxnLst/>
          <a:rect l="0" t="0" r="0" b="0"/>
          <a:pathLst>
            <a:path>
              <a:moveTo>
                <a:pt x="0" y="50381"/>
              </a:moveTo>
              <a:lnTo>
                <a:pt x="136688" y="50381"/>
              </a:lnTo>
              <a:lnTo>
                <a:pt x="136688" y="45720"/>
              </a:lnTo>
              <a:lnTo>
                <a:pt x="292016"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CD9AD9-C837-4079-8EA1-84D23A72F84F}">
      <dsp:nvSpPr>
        <dsp:cNvPr id="0" name=""/>
        <dsp:cNvSpPr/>
      </dsp:nvSpPr>
      <dsp:spPr>
        <a:xfrm>
          <a:off x="3409010" y="2285962"/>
          <a:ext cx="310655" cy="91440"/>
        </a:xfrm>
        <a:custGeom>
          <a:avLst/>
          <a:gdLst/>
          <a:ahLst/>
          <a:cxnLst/>
          <a:rect l="0" t="0" r="0" b="0"/>
          <a:pathLst>
            <a:path>
              <a:moveTo>
                <a:pt x="0" y="45720"/>
              </a:moveTo>
              <a:lnTo>
                <a:pt x="310655"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DBC849-15C1-4544-BB96-78C36EFADECC}">
      <dsp:nvSpPr>
        <dsp:cNvPr id="0" name=""/>
        <dsp:cNvSpPr/>
      </dsp:nvSpPr>
      <dsp:spPr>
        <a:xfrm>
          <a:off x="764082" y="1616777"/>
          <a:ext cx="1812309" cy="714904"/>
        </a:xfrm>
        <a:custGeom>
          <a:avLst/>
          <a:gdLst/>
          <a:ahLst/>
          <a:cxnLst/>
          <a:rect l="0" t="0" r="0" b="0"/>
          <a:pathLst>
            <a:path>
              <a:moveTo>
                <a:pt x="0" y="0"/>
              </a:moveTo>
              <a:lnTo>
                <a:pt x="1656981" y="0"/>
              </a:lnTo>
              <a:lnTo>
                <a:pt x="1656981" y="714904"/>
              </a:lnTo>
              <a:lnTo>
                <a:pt x="1812309" y="71490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A27B35-1C06-4876-A8A5-9D302D80C528}">
      <dsp:nvSpPr>
        <dsp:cNvPr id="0" name=""/>
        <dsp:cNvSpPr/>
      </dsp:nvSpPr>
      <dsp:spPr>
        <a:xfrm>
          <a:off x="3394378" y="673204"/>
          <a:ext cx="310655" cy="91440"/>
        </a:xfrm>
        <a:custGeom>
          <a:avLst/>
          <a:gdLst/>
          <a:ahLst/>
          <a:cxnLst/>
          <a:rect l="0" t="0" r="0" b="0"/>
          <a:pathLst>
            <a:path>
              <a:moveTo>
                <a:pt x="0" y="45720"/>
              </a:moveTo>
              <a:lnTo>
                <a:pt x="310655" y="4572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9A2A2EA-BA01-40C6-89A6-0EDFA114085A}">
      <dsp:nvSpPr>
        <dsp:cNvPr id="0" name=""/>
        <dsp:cNvSpPr/>
      </dsp:nvSpPr>
      <dsp:spPr>
        <a:xfrm>
          <a:off x="764082" y="718924"/>
          <a:ext cx="1812309" cy="897852"/>
        </a:xfrm>
        <a:custGeom>
          <a:avLst/>
          <a:gdLst/>
          <a:ahLst/>
          <a:cxnLst/>
          <a:rect l="0" t="0" r="0" b="0"/>
          <a:pathLst>
            <a:path>
              <a:moveTo>
                <a:pt x="0" y="897852"/>
              </a:moveTo>
              <a:lnTo>
                <a:pt x="1656981" y="897852"/>
              </a:lnTo>
              <a:lnTo>
                <a:pt x="1656981" y="0"/>
              </a:lnTo>
              <a:lnTo>
                <a:pt x="1812309" y="0"/>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A7EEBC-24B9-4ABA-83EB-48C12A933F04}">
      <dsp:nvSpPr>
        <dsp:cNvPr id="0" name=""/>
        <dsp:cNvSpPr/>
      </dsp:nvSpPr>
      <dsp:spPr>
        <a:xfrm>
          <a:off x="2354" y="1325227"/>
          <a:ext cx="761727" cy="5831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Patients enrolled in AMS for at least 1 year</a:t>
          </a:r>
        </a:p>
      </dsp:txBody>
      <dsp:txXfrm>
        <a:off x="2354" y="1325227"/>
        <a:ext cx="761727" cy="583100"/>
      </dsp:txXfrm>
    </dsp:sp>
    <dsp:sp modelId="{C1761BF2-FD86-4E03-82B2-F7CD08EB5A29}">
      <dsp:nvSpPr>
        <dsp:cNvPr id="0" name=""/>
        <dsp:cNvSpPr/>
      </dsp:nvSpPr>
      <dsp:spPr>
        <a:xfrm>
          <a:off x="2576391" y="307548"/>
          <a:ext cx="817986" cy="82275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Patients with optimized antithrombotic therapy and no therapy changes needed.</a:t>
          </a:r>
        </a:p>
      </dsp:txBody>
      <dsp:txXfrm>
        <a:off x="2576391" y="307548"/>
        <a:ext cx="817986" cy="822751"/>
      </dsp:txXfrm>
    </dsp:sp>
    <dsp:sp modelId="{8A0390AB-0944-4596-9273-09186C246937}">
      <dsp:nvSpPr>
        <dsp:cNvPr id="0" name=""/>
        <dsp:cNvSpPr/>
      </dsp:nvSpPr>
      <dsp:spPr>
        <a:xfrm>
          <a:off x="3705033" y="186486"/>
          <a:ext cx="869912" cy="1064875"/>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1. Patient continue current therapy.</a:t>
          </a:r>
        </a:p>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2. AMS staff document annual review completion. </a:t>
          </a:r>
        </a:p>
      </dsp:txBody>
      <dsp:txXfrm>
        <a:off x="3705033" y="186486"/>
        <a:ext cx="869912" cy="1064875"/>
      </dsp:txXfrm>
    </dsp:sp>
    <dsp:sp modelId="{4F015633-AEDF-488A-A5AA-57B2948CE616}">
      <dsp:nvSpPr>
        <dsp:cNvPr id="0" name=""/>
        <dsp:cNvSpPr/>
      </dsp:nvSpPr>
      <dsp:spPr>
        <a:xfrm>
          <a:off x="2576391" y="1737358"/>
          <a:ext cx="832618" cy="1188647"/>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Patients needing antithrombotic therapy reassessment, including concomittant anticoagulant and antiplatelet use</a:t>
          </a:r>
        </a:p>
      </dsp:txBody>
      <dsp:txXfrm>
        <a:off x="2576391" y="1737358"/>
        <a:ext cx="832618" cy="1188647"/>
      </dsp:txXfrm>
    </dsp:sp>
    <dsp:sp modelId="{5EAD67DC-B7F1-401F-B2CE-D18F9BD0C38F}">
      <dsp:nvSpPr>
        <dsp:cNvPr id="0" name=""/>
        <dsp:cNvSpPr/>
      </dsp:nvSpPr>
      <dsp:spPr>
        <a:xfrm>
          <a:off x="3719665" y="1445521"/>
          <a:ext cx="840385" cy="177232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AMS staff document annual review completion and provide recommendation for therapy changes and supporting evidence based on AMS guidelines and practice protocol.</a:t>
          </a:r>
        </a:p>
      </dsp:txBody>
      <dsp:txXfrm>
        <a:off x="3719665" y="1445521"/>
        <a:ext cx="840385" cy="1772320"/>
      </dsp:txXfrm>
    </dsp:sp>
    <dsp:sp modelId="{4C81C713-3CDD-4667-8762-9D9718C08BBD}">
      <dsp:nvSpPr>
        <dsp:cNvPr id="0" name=""/>
        <dsp:cNvSpPr/>
      </dsp:nvSpPr>
      <dsp:spPr>
        <a:xfrm>
          <a:off x="4852067" y="1595385"/>
          <a:ext cx="910453" cy="146327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Message is sent to provider(s) and involved care team(s). </a:t>
          </a:r>
        </a:p>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If patient has external provider, recommendations will be communicated via phone or fax.</a:t>
          </a:r>
        </a:p>
      </dsp:txBody>
      <dsp:txXfrm>
        <a:off x="4852067" y="1595385"/>
        <a:ext cx="910453" cy="1463270"/>
      </dsp:txXfrm>
    </dsp:sp>
    <dsp:sp modelId="{AD0214D6-591F-4E0C-AEF9-C22B5CBC4424}">
      <dsp:nvSpPr>
        <dsp:cNvPr id="0" name=""/>
        <dsp:cNvSpPr/>
      </dsp:nvSpPr>
      <dsp:spPr>
        <a:xfrm>
          <a:off x="6091815" y="811251"/>
          <a:ext cx="860608" cy="87332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Provider(s) accept recommendation and implement changes.</a:t>
          </a:r>
        </a:p>
      </dsp:txBody>
      <dsp:txXfrm>
        <a:off x="6091815" y="811251"/>
        <a:ext cx="860608" cy="873324"/>
      </dsp:txXfrm>
    </dsp:sp>
    <dsp:sp modelId="{E03D4B3B-4BAF-445D-BAC6-F6D2B5E4E29C}">
      <dsp:nvSpPr>
        <dsp:cNvPr id="0" name=""/>
        <dsp:cNvSpPr/>
      </dsp:nvSpPr>
      <dsp:spPr>
        <a:xfrm>
          <a:off x="6091815" y="1878734"/>
          <a:ext cx="878129" cy="89532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Provider(s) decline and document reasons for declining (if available). </a:t>
          </a:r>
        </a:p>
      </dsp:txBody>
      <dsp:txXfrm>
        <a:off x="6091815" y="1878734"/>
        <a:ext cx="878129" cy="895329"/>
      </dsp:txXfrm>
    </dsp:sp>
    <dsp:sp modelId="{2DBADB20-A13F-43F1-8BCC-F7DABD43D166}">
      <dsp:nvSpPr>
        <dsp:cNvPr id="0" name=""/>
        <dsp:cNvSpPr/>
      </dsp:nvSpPr>
      <dsp:spPr>
        <a:xfrm>
          <a:off x="6091815" y="2968224"/>
          <a:ext cx="868918" cy="88388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No response: AMS staff follow up after 4 weeks from initial message.</a:t>
          </a:r>
        </a:p>
      </dsp:txBody>
      <dsp:txXfrm>
        <a:off x="6091815" y="2968224"/>
        <a:ext cx="868918" cy="883888"/>
      </dsp:txXfrm>
    </dsp:sp>
    <dsp:sp modelId="{FB0E9335-4ED8-4D2E-80A3-AD14BB6BBEA0}">
      <dsp:nvSpPr>
        <dsp:cNvPr id="0" name=""/>
        <dsp:cNvSpPr/>
      </dsp:nvSpPr>
      <dsp:spPr>
        <a:xfrm>
          <a:off x="1437016" y="362838"/>
          <a:ext cx="828720" cy="1156858"/>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kern="1200">
              <a:latin typeface="Times New Roman" panose="02020603050405020304" pitchFamily="18" charset="0"/>
              <a:cs typeface="Times New Roman" panose="02020603050405020304" pitchFamily="18" charset="0"/>
            </a:rPr>
            <a:t>Patients received annual review and antithrombotic therapy assessment from October 1, 2023 to September 30, 2024.</a:t>
          </a:r>
        </a:p>
      </dsp:txBody>
      <dsp:txXfrm>
        <a:off x="1437016" y="362838"/>
        <a:ext cx="828720" cy="115685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BC81028-C6B3-4DE3-8655-E48B5413891C}">
      <dsp:nvSpPr>
        <dsp:cNvPr id="0" name=""/>
        <dsp:cNvSpPr/>
      </dsp:nvSpPr>
      <dsp:spPr>
        <a:xfrm>
          <a:off x="5228943" y="1907603"/>
          <a:ext cx="210181" cy="1639418"/>
        </a:xfrm>
        <a:custGeom>
          <a:avLst/>
          <a:gdLst/>
          <a:ahLst/>
          <a:cxnLst/>
          <a:rect l="0" t="0" r="0" b="0"/>
          <a:pathLst>
            <a:path>
              <a:moveTo>
                <a:pt x="0" y="0"/>
              </a:moveTo>
              <a:lnTo>
                <a:pt x="0" y="1639418"/>
              </a:lnTo>
              <a:lnTo>
                <a:pt x="210181" y="1639418"/>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95CC4D3-E698-4088-B06B-30633BBB1341}">
      <dsp:nvSpPr>
        <dsp:cNvPr id="0" name=""/>
        <dsp:cNvSpPr/>
      </dsp:nvSpPr>
      <dsp:spPr>
        <a:xfrm>
          <a:off x="5228943" y="1907603"/>
          <a:ext cx="210181" cy="644557"/>
        </a:xfrm>
        <a:custGeom>
          <a:avLst/>
          <a:gdLst/>
          <a:ahLst/>
          <a:cxnLst/>
          <a:rect l="0" t="0" r="0" b="0"/>
          <a:pathLst>
            <a:path>
              <a:moveTo>
                <a:pt x="0" y="0"/>
              </a:moveTo>
              <a:lnTo>
                <a:pt x="0" y="644557"/>
              </a:lnTo>
              <a:lnTo>
                <a:pt x="210181" y="64455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648A70C-AEEB-4482-8031-8D1B2C96BDA2}">
      <dsp:nvSpPr>
        <dsp:cNvPr id="0" name=""/>
        <dsp:cNvSpPr/>
      </dsp:nvSpPr>
      <dsp:spPr>
        <a:xfrm>
          <a:off x="3246228" y="912742"/>
          <a:ext cx="2543200" cy="294254"/>
        </a:xfrm>
        <a:custGeom>
          <a:avLst/>
          <a:gdLst/>
          <a:ahLst/>
          <a:cxnLst/>
          <a:rect l="0" t="0" r="0" b="0"/>
          <a:pathLst>
            <a:path>
              <a:moveTo>
                <a:pt x="0" y="0"/>
              </a:moveTo>
              <a:lnTo>
                <a:pt x="0" y="147127"/>
              </a:lnTo>
              <a:lnTo>
                <a:pt x="2543200" y="147127"/>
              </a:lnTo>
              <a:lnTo>
                <a:pt x="2543200" y="2942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41ED07-A118-449F-9891-6F62DB97C072}">
      <dsp:nvSpPr>
        <dsp:cNvPr id="0" name=""/>
        <dsp:cNvSpPr/>
      </dsp:nvSpPr>
      <dsp:spPr>
        <a:xfrm>
          <a:off x="3533476" y="1907603"/>
          <a:ext cx="210181" cy="856890"/>
        </a:xfrm>
        <a:custGeom>
          <a:avLst/>
          <a:gdLst/>
          <a:ahLst/>
          <a:cxnLst/>
          <a:rect l="0" t="0" r="0" b="0"/>
          <a:pathLst>
            <a:path>
              <a:moveTo>
                <a:pt x="0" y="0"/>
              </a:moveTo>
              <a:lnTo>
                <a:pt x="0" y="856890"/>
              </a:lnTo>
              <a:lnTo>
                <a:pt x="210181" y="85689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6B0C170-9AAE-4B57-8762-865775F1C15D}">
      <dsp:nvSpPr>
        <dsp:cNvPr id="0" name=""/>
        <dsp:cNvSpPr/>
      </dsp:nvSpPr>
      <dsp:spPr>
        <a:xfrm>
          <a:off x="3246228" y="912742"/>
          <a:ext cx="847733" cy="294254"/>
        </a:xfrm>
        <a:custGeom>
          <a:avLst/>
          <a:gdLst/>
          <a:ahLst/>
          <a:cxnLst/>
          <a:rect l="0" t="0" r="0" b="0"/>
          <a:pathLst>
            <a:path>
              <a:moveTo>
                <a:pt x="0" y="0"/>
              </a:moveTo>
              <a:lnTo>
                <a:pt x="0" y="147127"/>
              </a:lnTo>
              <a:lnTo>
                <a:pt x="847733" y="147127"/>
              </a:lnTo>
              <a:lnTo>
                <a:pt x="847733" y="2942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E41049-BE71-4F13-932B-53AA31892EE8}">
      <dsp:nvSpPr>
        <dsp:cNvPr id="0" name=""/>
        <dsp:cNvSpPr/>
      </dsp:nvSpPr>
      <dsp:spPr>
        <a:xfrm>
          <a:off x="1838010" y="1907603"/>
          <a:ext cx="210181" cy="4719864"/>
        </a:xfrm>
        <a:custGeom>
          <a:avLst/>
          <a:gdLst/>
          <a:ahLst/>
          <a:cxnLst/>
          <a:rect l="0" t="0" r="0" b="0"/>
          <a:pathLst>
            <a:path>
              <a:moveTo>
                <a:pt x="0" y="0"/>
              </a:moveTo>
              <a:lnTo>
                <a:pt x="0" y="4719864"/>
              </a:lnTo>
              <a:lnTo>
                <a:pt x="210181" y="471986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317B86E-B4F3-4FF6-AF47-C15C55C75D11}">
      <dsp:nvSpPr>
        <dsp:cNvPr id="0" name=""/>
        <dsp:cNvSpPr/>
      </dsp:nvSpPr>
      <dsp:spPr>
        <a:xfrm>
          <a:off x="1838010" y="1907603"/>
          <a:ext cx="210181" cy="3574310"/>
        </a:xfrm>
        <a:custGeom>
          <a:avLst/>
          <a:gdLst/>
          <a:ahLst/>
          <a:cxnLst/>
          <a:rect l="0" t="0" r="0" b="0"/>
          <a:pathLst>
            <a:path>
              <a:moveTo>
                <a:pt x="0" y="0"/>
              </a:moveTo>
              <a:lnTo>
                <a:pt x="0" y="3574310"/>
              </a:lnTo>
              <a:lnTo>
                <a:pt x="210181" y="357431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04BEE4-0206-46F3-AD68-890602DA1442}">
      <dsp:nvSpPr>
        <dsp:cNvPr id="0" name=""/>
        <dsp:cNvSpPr/>
      </dsp:nvSpPr>
      <dsp:spPr>
        <a:xfrm>
          <a:off x="1838010" y="1907603"/>
          <a:ext cx="210181" cy="2334177"/>
        </a:xfrm>
        <a:custGeom>
          <a:avLst/>
          <a:gdLst/>
          <a:ahLst/>
          <a:cxnLst/>
          <a:rect l="0" t="0" r="0" b="0"/>
          <a:pathLst>
            <a:path>
              <a:moveTo>
                <a:pt x="0" y="0"/>
              </a:moveTo>
              <a:lnTo>
                <a:pt x="0" y="2334177"/>
              </a:lnTo>
              <a:lnTo>
                <a:pt x="210181" y="233417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9F5D42-A95C-43BD-833E-3FBAC251D093}">
      <dsp:nvSpPr>
        <dsp:cNvPr id="0" name=""/>
        <dsp:cNvSpPr/>
      </dsp:nvSpPr>
      <dsp:spPr>
        <a:xfrm>
          <a:off x="1838010" y="1907603"/>
          <a:ext cx="210181" cy="869301"/>
        </a:xfrm>
        <a:custGeom>
          <a:avLst/>
          <a:gdLst/>
          <a:ahLst/>
          <a:cxnLst/>
          <a:rect l="0" t="0" r="0" b="0"/>
          <a:pathLst>
            <a:path>
              <a:moveTo>
                <a:pt x="0" y="0"/>
              </a:moveTo>
              <a:lnTo>
                <a:pt x="0" y="869301"/>
              </a:lnTo>
              <a:lnTo>
                <a:pt x="210181" y="86930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FC8CF63-59B3-4466-B2DD-2CE9C4B7F606}">
      <dsp:nvSpPr>
        <dsp:cNvPr id="0" name=""/>
        <dsp:cNvSpPr/>
      </dsp:nvSpPr>
      <dsp:spPr>
        <a:xfrm>
          <a:off x="2398495" y="912742"/>
          <a:ext cx="847733" cy="294254"/>
        </a:xfrm>
        <a:custGeom>
          <a:avLst/>
          <a:gdLst/>
          <a:ahLst/>
          <a:cxnLst/>
          <a:rect l="0" t="0" r="0" b="0"/>
          <a:pathLst>
            <a:path>
              <a:moveTo>
                <a:pt x="847733" y="0"/>
              </a:moveTo>
              <a:lnTo>
                <a:pt x="847733" y="147127"/>
              </a:lnTo>
              <a:lnTo>
                <a:pt x="0" y="147127"/>
              </a:lnTo>
              <a:lnTo>
                <a:pt x="0" y="2942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67CB7C9-EBB1-4132-BC25-D738C9A77862}">
      <dsp:nvSpPr>
        <dsp:cNvPr id="0" name=""/>
        <dsp:cNvSpPr/>
      </dsp:nvSpPr>
      <dsp:spPr>
        <a:xfrm>
          <a:off x="142543" y="1907603"/>
          <a:ext cx="210181" cy="3756530"/>
        </a:xfrm>
        <a:custGeom>
          <a:avLst/>
          <a:gdLst/>
          <a:ahLst/>
          <a:cxnLst/>
          <a:rect l="0" t="0" r="0" b="0"/>
          <a:pathLst>
            <a:path>
              <a:moveTo>
                <a:pt x="0" y="0"/>
              </a:moveTo>
              <a:lnTo>
                <a:pt x="0" y="3756530"/>
              </a:lnTo>
              <a:lnTo>
                <a:pt x="210181" y="3756530"/>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0DDF8CA-B3E1-405E-8D18-2E1F96FB1213}">
      <dsp:nvSpPr>
        <dsp:cNvPr id="0" name=""/>
        <dsp:cNvSpPr/>
      </dsp:nvSpPr>
      <dsp:spPr>
        <a:xfrm>
          <a:off x="142543" y="1907603"/>
          <a:ext cx="210181" cy="2318161"/>
        </a:xfrm>
        <a:custGeom>
          <a:avLst/>
          <a:gdLst/>
          <a:ahLst/>
          <a:cxnLst/>
          <a:rect l="0" t="0" r="0" b="0"/>
          <a:pathLst>
            <a:path>
              <a:moveTo>
                <a:pt x="0" y="0"/>
              </a:moveTo>
              <a:lnTo>
                <a:pt x="0" y="2318161"/>
              </a:lnTo>
              <a:lnTo>
                <a:pt x="210181" y="231816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D3B7EED-EF7B-4051-8C29-1F4C55D46602}">
      <dsp:nvSpPr>
        <dsp:cNvPr id="0" name=""/>
        <dsp:cNvSpPr/>
      </dsp:nvSpPr>
      <dsp:spPr>
        <a:xfrm>
          <a:off x="142543" y="1907603"/>
          <a:ext cx="210181" cy="883404"/>
        </a:xfrm>
        <a:custGeom>
          <a:avLst/>
          <a:gdLst/>
          <a:ahLst/>
          <a:cxnLst/>
          <a:rect l="0" t="0" r="0" b="0"/>
          <a:pathLst>
            <a:path>
              <a:moveTo>
                <a:pt x="0" y="0"/>
              </a:moveTo>
              <a:lnTo>
                <a:pt x="0" y="883404"/>
              </a:lnTo>
              <a:lnTo>
                <a:pt x="210181" y="88340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C8A2B5-FB05-4F0E-82B0-EC32EA197459}">
      <dsp:nvSpPr>
        <dsp:cNvPr id="0" name=""/>
        <dsp:cNvSpPr/>
      </dsp:nvSpPr>
      <dsp:spPr>
        <a:xfrm>
          <a:off x="703028" y="912742"/>
          <a:ext cx="2543200" cy="294254"/>
        </a:xfrm>
        <a:custGeom>
          <a:avLst/>
          <a:gdLst/>
          <a:ahLst/>
          <a:cxnLst/>
          <a:rect l="0" t="0" r="0" b="0"/>
          <a:pathLst>
            <a:path>
              <a:moveTo>
                <a:pt x="2543200" y="0"/>
              </a:moveTo>
              <a:lnTo>
                <a:pt x="2543200" y="147127"/>
              </a:lnTo>
              <a:lnTo>
                <a:pt x="0" y="147127"/>
              </a:lnTo>
              <a:lnTo>
                <a:pt x="0" y="294254"/>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ABCA701-14A1-4833-8049-0443A1D92DAD}">
      <dsp:nvSpPr>
        <dsp:cNvPr id="0" name=""/>
        <dsp:cNvSpPr/>
      </dsp:nvSpPr>
      <dsp:spPr>
        <a:xfrm>
          <a:off x="2281676" y="212136"/>
          <a:ext cx="1929104" cy="700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latin typeface="Times New Roman" panose="02020603050405020304" pitchFamily="18" charset="0"/>
              <a:cs typeface="Times New Roman" panose="02020603050405020304" pitchFamily="18" charset="0"/>
            </a:rPr>
            <a:t>History of Acute Coronary Syndrome or Chronic coronary disease</a:t>
          </a:r>
        </a:p>
      </dsp:txBody>
      <dsp:txXfrm>
        <a:off x="2281676" y="212136"/>
        <a:ext cx="1929104" cy="700606"/>
      </dsp:txXfrm>
    </dsp:sp>
    <dsp:sp modelId="{0A3257AA-3E0E-4F10-991E-720C6861D417}">
      <dsp:nvSpPr>
        <dsp:cNvPr id="0" name=""/>
        <dsp:cNvSpPr/>
      </dsp:nvSpPr>
      <dsp:spPr>
        <a:xfrm>
          <a:off x="2422" y="1206997"/>
          <a:ext cx="1401212" cy="700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rgbClr val="EE0000"/>
              </a:solidFill>
              <a:latin typeface="Times New Roman" panose="02020603050405020304" pitchFamily="18" charset="0"/>
              <a:cs typeface="Times New Roman" panose="02020603050405020304" pitchFamily="18" charset="0"/>
            </a:rPr>
            <a:t>Recent ACS </a:t>
          </a:r>
        </a:p>
        <a:p>
          <a:pPr marL="0" lvl="0" indent="0" algn="ctr" defTabSz="355600">
            <a:lnSpc>
              <a:spcPct val="90000"/>
            </a:lnSpc>
            <a:spcBef>
              <a:spcPct val="0"/>
            </a:spcBef>
            <a:spcAft>
              <a:spcPct val="35000"/>
            </a:spcAft>
            <a:buNone/>
          </a:pPr>
          <a:r>
            <a:rPr lang="en-US" sz="800" b="0" kern="1200">
              <a:latin typeface="Times New Roman" panose="02020603050405020304" pitchFamily="18" charset="0"/>
              <a:cs typeface="Times New Roman" panose="02020603050405020304" pitchFamily="18" charset="0"/>
            </a:rPr>
            <a:t>(0-12 months after ACS +/- PCI) [2-4]</a:t>
          </a:r>
        </a:p>
      </dsp:txBody>
      <dsp:txXfrm>
        <a:off x="2422" y="1206997"/>
        <a:ext cx="1401212" cy="700606"/>
      </dsp:txXfrm>
    </dsp:sp>
    <dsp:sp modelId="{D024F37F-94E2-4B34-9813-7A2766D42280}">
      <dsp:nvSpPr>
        <dsp:cNvPr id="0" name=""/>
        <dsp:cNvSpPr/>
      </dsp:nvSpPr>
      <dsp:spPr>
        <a:xfrm>
          <a:off x="352725" y="2201857"/>
          <a:ext cx="1401212" cy="117830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Symbol" panose="05050102010706020507" pitchFamily="18" charset="2"/>
            <a:buNone/>
          </a:pPr>
          <a:r>
            <a:rPr lang="en-US" sz="800" b="1" i="1" kern="1200">
              <a:latin typeface="Times New Roman" panose="02020603050405020304" pitchFamily="18" charset="0"/>
              <a:cs typeface="Times New Roman" panose="02020603050405020304" pitchFamily="18" charset="0"/>
            </a:rPr>
            <a:t>Up to 1 month post ACS</a:t>
          </a:r>
          <a:r>
            <a:rPr lang="en-US" sz="800" kern="1200">
              <a:latin typeface="Times New Roman" panose="02020603050405020304" pitchFamily="18" charset="0"/>
              <a:cs typeface="Times New Roman" panose="02020603050405020304" pitchFamily="18" charset="0"/>
            </a:rPr>
            <a:t>: AC + P2Y12i + ASA continued until time of discharge from hospital or a few days longer, generally up to 1 week; use for up to 30 days is reasonable if patient is at high thrombotic risk and low bleeding risk </a:t>
          </a:r>
          <a:endParaRPr lang="en-US" sz="800" b="0" kern="1200">
            <a:latin typeface="Times New Roman" panose="02020603050405020304" pitchFamily="18" charset="0"/>
            <a:cs typeface="Times New Roman" panose="02020603050405020304" pitchFamily="18" charset="0"/>
          </a:endParaRPr>
        </a:p>
      </dsp:txBody>
      <dsp:txXfrm>
        <a:off x="352725" y="2201857"/>
        <a:ext cx="1401212" cy="1178300"/>
      </dsp:txXfrm>
    </dsp:sp>
    <dsp:sp modelId="{86D3C2F6-1BA2-4EC2-A06A-A4BDD64C5391}">
      <dsp:nvSpPr>
        <dsp:cNvPr id="0" name=""/>
        <dsp:cNvSpPr/>
      </dsp:nvSpPr>
      <dsp:spPr>
        <a:xfrm>
          <a:off x="352725" y="3674412"/>
          <a:ext cx="1401212" cy="1102704"/>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Symbol" panose="05050102010706020507" pitchFamily="18" charset="2"/>
            <a:buNone/>
          </a:pPr>
          <a:r>
            <a:rPr lang="en-US" sz="800" b="1" i="1" kern="1200">
              <a:latin typeface="Times New Roman" panose="02020603050405020304" pitchFamily="18" charset="0"/>
              <a:cs typeface="Times New Roman" panose="02020603050405020304" pitchFamily="18" charset="0"/>
            </a:rPr>
            <a:t>For 12 months post ACS</a:t>
          </a:r>
          <a:r>
            <a:rPr lang="en-US" sz="800" kern="1200">
              <a:latin typeface="Times New Roman" panose="02020603050405020304" pitchFamily="18" charset="0"/>
              <a:cs typeface="Times New Roman" panose="02020603050405020304" pitchFamily="18" charset="0"/>
            </a:rPr>
            <a:t>: AC + P2Y12i. If bleeding risk is high, discontinuation of P2Y12i at 6 months may be reasonable after weighing relative risks of stent thrombosis vs bleeding risk </a:t>
          </a:r>
          <a:endParaRPr lang="en-US" sz="800" b="0" kern="1200">
            <a:latin typeface="Times New Roman" panose="02020603050405020304" pitchFamily="18" charset="0"/>
            <a:cs typeface="Times New Roman" panose="02020603050405020304" pitchFamily="18" charset="0"/>
          </a:endParaRPr>
        </a:p>
      </dsp:txBody>
      <dsp:txXfrm>
        <a:off x="352725" y="3674412"/>
        <a:ext cx="1401212" cy="1102704"/>
      </dsp:txXfrm>
    </dsp:sp>
    <dsp:sp modelId="{4553BC22-FC3D-42A0-BD36-ADDC781F8C15}">
      <dsp:nvSpPr>
        <dsp:cNvPr id="0" name=""/>
        <dsp:cNvSpPr/>
      </dsp:nvSpPr>
      <dsp:spPr>
        <a:xfrm>
          <a:off x="352725" y="5071372"/>
          <a:ext cx="1401212" cy="118552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1" kern="1200">
              <a:latin typeface="Times New Roman" panose="02020603050405020304" pitchFamily="18" charset="0"/>
              <a:cs typeface="Times New Roman" panose="02020603050405020304" pitchFamily="18" charset="0"/>
            </a:rPr>
            <a:t>&gt; 12 months post ACS</a:t>
          </a:r>
          <a:r>
            <a:rPr lang="en-US" sz="800" kern="1200">
              <a:latin typeface="Times New Roman" panose="02020603050405020304" pitchFamily="18" charset="0"/>
              <a:cs typeface="Times New Roman" panose="02020603050405020304" pitchFamily="18" charset="0"/>
            </a:rPr>
            <a:t>: AC monotherapy. If thrombotic/ischemic risk is high and bleeding risk is low, continuation of AC + SAPT beyond 12 months may be reasonable in select patients</a:t>
          </a:r>
          <a:endParaRPr lang="en-US" sz="800" b="0" kern="1200">
            <a:latin typeface="Times New Roman" panose="02020603050405020304" pitchFamily="18" charset="0"/>
            <a:cs typeface="Times New Roman" panose="02020603050405020304" pitchFamily="18" charset="0"/>
          </a:endParaRPr>
        </a:p>
      </dsp:txBody>
      <dsp:txXfrm>
        <a:off x="352725" y="5071372"/>
        <a:ext cx="1401212" cy="1185523"/>
      </dsp:txXfrm>
    </dsp:sp>
    <dsp:sp modelId="{DCB63B5E-01A1-4605-A525-F78034EE1D65}">
      <dsp:nvSpPr>
        <dsp:cNvPr id="0" name=""/>
        <dsp:cNvSpPr/>
      </dsp:nvSpPr>
      <dsp:spPr>
        <a:xfrm>
          <a:off x="1697889" y="1206997"/>
          <a:ext cx="1401212" cy="700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rgbClr val="EE0000"/>
              </a:solidFill>
              <a:latin typeface="Times New Roman" panose="02020603050405020304" pitchFamily="18" charset="0"/>
              <a:cs typeface="Times New Roman" panose="02020603050405020304" pitchFamily="18" charset="0"/>
            </a:rPr>
            <a:t>Recent Elective PCI </a:t>
          </a:r>
        </a:p>
        <a:p>
          <a:pPr marL="0" lvl="0" indent="0" algn="ctr" defTabSz="355600">
            <a:lnSpc>
              <a:spcPct val="90000"/>
            </a:lnSpc>
            <a:spcBef>
              <a:spcPct val="0"/>
            </a:spcBef>
            <a:spcAft>
              <a:spcPct val="35000"/>
            </a:spcAft>
            <a:buNone/>
          </a:pPr>
          <a:r>
            <a:rPr lang="en-US" sz="800" b="0" kern="1200">
              <a:latin typeface="Times New Roman" panose="02020603050405020304" pitchFamily="18" charset="0"/>
              <a:cs typeface="Times New Roman" panose="02020603050405020304" pitchFamily="18" charset="0"/>
            </a:rPr>
            <a:t>(0-12 months after stent placement) [2]</a:t>
          </a:r>
          <a:endParaRPr lang="en-US" sz="800" b="0" kern="1200" baseline="30000">
            <a:latin typeface="Times New Roman" panose="02020603050405020304" pitchFamily="18" charset="0"/>
            <a:cs typeface="Times New Roman" panose="02020603050405020304" pitchFamily="18" charset="0"/>
          </a:endParaRPr>
        </a:p>
      </dsp:txBody>
      <dsp:txXfrm>
        <a:off x="1697889" y="1206997"/>
        <a:ext cx="1401212" cy="700606"/>
      </dsp:txXfrm>
    </dsp:sp>
    <dsp:sp modelId="{4A292C6A-D55F-40A2-86D6-77C08D717DC4}">
      <dsp:nvSpPr>
        <dsp:cNvPr id="0" name=""/>
        <dsp:cNvSpPr/>
      </dsp:nvSpPr>
      <dsp:spPr>
        <a:xfrm>
          <a:off x="2048192" y="2201857"/>
          <a:ext cx="1401212" cy="1150093"/>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Symbol" panose="05050102010706020507" pitchFamily="18" charset="2"/>
            <a:buNone/>
          </a:pPr>
          <a:r>
            <a:rPr lang="en-US" sz="800" b="1" i="1" kern="1200">
              <a:latin typeface="Times New Roman" panose="02020603050405020304" pitchFamily="18" charset="0"/>
              <a:cs typeface="Times New Roman" panose="02020603050405020304" pitchFamily="18" charset="0"/>
            </a:rPr>
            <a:t>Up to 1 month post PCI</a:t>
          </a:r>
          <a:r>
            <a:rPr lang="en-US" sz="800" kern="1200">
              <a:latin typeface="Times New Roman" panose="02020603050405020304" pitchFamily="18" charset="0"/>
              <a:cs typeface="Times New Roman" panose="02020603050405020304" pitchFamily="18" charset="0"/>
            </a:rPr>
            <a:t>: AC + P2Y12i + ASA continued until time of discharge from hospital or a few days longer, generally up to 1 week; use for up to 30 days is reasonable if patient is at high thrombotic risk and low bleeding risk </a:t>
          </a:r>
          <a:endParaRPr lang="en-US" sz="800" b="0" kern="1200">
            <a:latin typeface="Times New Roman" panose="02020603050405020304" pitchFamily="18" charset="0"/>
            <a:cs typeface="Times New Roman" panose="02020603050405020304" pitchFamily="18" charset="0"/>
          </a:endParaRPr>
        </a:p>
      </dsp:txBody>
      <dsp:txXfrm>
        <a:off x="2048192" y="2201857"/>
        <a:ext cx="1401212" cy="1150093"/>
      </dsp:txXfrm>
    </dsp:sp>
    <dsp:sp modelId="{FFEC97AD-1095-41F1-AD09-3D5454073EC7}">
      <dsp:nvSpPr>
        <dsp:cNvPr id="0" name=""/>
        <dsp:cNvSpPr/>
      </dsp:nvSpPr>
      <dsp:spPr>
        <a:xfrm>
          <a:off x="2048192" y="3646206"/>
          <a:ext cx="1401212" cy="1191149"/>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Symbol" panose="05050102010706020507" pitchFamily="18" charset="2"/>
            <a:buNone/>
          </a:pPr>
          <a:r>
            <a:rPr lang="en-US" sz="800" b="1" i="1" kern="1200">
              <a:latin typeface="Times New Roman" panose="02020603050405020304" pitchFamily="18" charset="0"/>
              <a:cs typeface="Times New Roman" panose="02020603050405020304" pitchFamily="18" charset="0"/>
            </a:rPr>
            <a:t>For 6 months (1 month if BMS) post PCI</a:t>
          </a:r>
          <a:r>
            <a:rPr lang="en-US" sz="800" kern="1200">
              <a:latin typeface="Times New Roman" panose="02020603050405020304" pitchFamily="18" charset="0"/>
              <a:cs typeface="Times New Roman" panose="02020603050405020304" pitchFamily="18" charset="0"/>
            </a:rPr>
            <a:t>: AC + P2Y12i. If bleeding risk is high, discontinuation of P2Y12i at 3 months may be reasonable after weighing relative risks of stent thrombosis vs bleeding risk</a:t>
          </a:r>
          <a:endParaRPr lang="en-US" sz="800" b="0" kern="1200">
            <a:latin typeface="Times New Roman" panose="02020603050405020304" pitchFamily="18" charset="0"/>
            <a:cs typeface="Times New Roman" panose="02020603050405020304" pitchFamily="18" charset="0"/>
          </a:endParaRPr>
        </a:p>
      </dsp:txBody>
      <dsp:txXfrm>
        <a:off x="2048192" y="3646206"/>
        <a:ext cx="1401212" cy="1191149"/>
      </dsp:txXfrm>
    </dsp:sp>
    <dsp:sp modelId="{B009C9E5-404B-4E24-A2E9-C62D39B47C0B}">
      <dsp:nvSpPr>
        <dsp:cNvPr id="0" name=""/>
        <dsp:cNvSpPr/>
      </dsp:nvSpPr>
      <dsp:spPr>
        <a:xfrm>
          <a:off x="2048192" y="5131610"/>
          <a:ext cx="1401212" cy="700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Symbol" panose="05050102010706020507" pitchFamily="18" charset="2"/>
            <a:buNone/>
          </a:pPr>
          <a:r>
            <a:rPr lang="en-US" sz="800" b="1" i="1" kern="1200">
              <a:latin typeface="Times New Roman" panose="02020603050405020304" pitchFamily="18" charset="0"/>
              <a:cs typeface="Times New Roman" panose="02020603050405020304" pitchFamily="18" charset="0"/>
            </a:rPr>
            <a:t>For 6 (1 if BMS) to 12 months post PCI</a:t>
          </a:r>
          <a:r>
            <a:rPr lang="en-US" sz="800" kern="1200">
              <a:latin typeface="Times New Roman" panose="02020603050405020304" pitchFamily="18" charset="0"/>
              <a:cs typeface="Times New Roman" panose="02020603050405020304" pitchFamily="18" charset="0"/>
            </a:rPr>
            <a:t>: AC + SAPT (P2Y12i or ASA) </a:t>
          </a:r>
          <a:endParaRPr lang="en-US" sz="800" b="0" kern="1200">
            <a:latin typeface="Times New Roman" panose="02020603050405020304" pitchFamily="18" charset="0"/>
            <a:cs typeface="Times New Roman" panose="02020603050405020304" pitchFamily="18" charset="0"/>
          </a:endParaRPr>
        </a:p>
      </dsp:txBody>
      <dsp:txXfrm>
        <a:off x="2048192" y="5131610"/>
        <a:ext cx="1401212" cy="700606"/>
      </dsp:txXfrm>
    </dsp:sp>
    <dsp:sp modelId="{1F7C8B21-6454-4D2D-A3D6-2141D42F9A3B}">
      <dsp:nvSpPr>
        <dsp:cNvPr id="0" name=""/>
        <dsp:cNvSpPr/>
      </dsp:nvSpPr>
      <dsp:spPr>
        <a:xfrm>
          <a:off x="2048192" y="6126470"/>
          <a:ext cx="1401212" cy="1001992"/>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1" kern="1200">
              <a:latin typeface="Times New Roman" panose="02020603050405020304" pitchFamily="18" charset="0"/>
              <a:cs typeface="Times New Roman" panose="02020603050405020304" pitchFamily="18" charset="0"/>
            </a:rPr>
            <a:t>12 months post PCI</a:t>
          </a:r>
          <a:r>
            <a:rPr lang="en-US" sz="800" kern="1200">
              <a:latin typeface="Times New Roman" panose="02020603050405020304" pitchFamily="18" charset="0"/>
              <a:cs typeface="Times New Roman" panose="02020603050405020304" pitchFamily="18" charset="0"/>
            </a:rPr>
            <a:t>: AC monotherapy. If thrombotic/ischemic risk is high and bleeding risk is low, continuation of AC + SAPT beyond 12 months may be reasonable in select patients</a:t>
          </a:r>
          <a:endParaRPr lang="en-US" sz="800" b="0" kern="1200">
            <a:latin typeface="Times New Roman" panose="02020603050405020304" pitchFamily="18" charset="0"/>
            <a:cs typeface="Times New Roman" panose="02020603050405020304" pitchFamily="18" charset="0"/>
          </a:endParaRPr>
        </a:p>
      </dsp:txBody>
      <dsp:txXfrm>
        <a:off x="2048192" y="6126470"/>
        <a:ext cx="1401212" cy="1001992"/>
      </dsp:txXfrm>
    </dsp:sp>
    <dsp:sp modelId="{A8A41A9A-7AD5-478C-889E-38E09CD276D7}">
      <dsp:nvSpPr>
        <dsp:cNvPr id="0" name=""/>
        <dsp:cNvSpPr/>
      </dsp:nvSpPr>
      <dsp:spPr>
        <a:xfrm>
          <a:off x="3393355" y="1206997"/>
          <a:ext cx="1401212" cy="700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rgbClr val="EE0000"/>
              </a:solidFill>
              <a:latin typeface="Times New Roman" panose="02020603050405020304" pitchFamily="18" charset="0"/>
              <a:cs typeface="Times New Roman" panose="02020603050405020304" pitchFamily="18" charset="0"/>
            </a:rPr>
            <a:t>CCD</a:t>
          </a:r>
          <a:r>
            <a:rPr lang="en-US" sz="800" b="0" kern="1200">
              <a:latin typeface="Times New Roman" panose="02020603050405020304" pitchFamily="18" charset="0"/>
              <a:cs typeface="Times New Roman" panose="02020603050405020304" pitchFamily="18" charset="0"/>
            </a:rPr>
            <a:t> (&gt; 12 months after ACS or PCI or no history of ACS/PCI) [2]</a:t>
          </a:r>
          <a:endParaRPr lang="en-US" sz="800" b="0" kern="1200" baseline="30000">
            <a:latin typeface="Times New Roman" panose="02020603050405020304" pitchFamily="18" charset="0"/>
            <a:cs typeface="Times New Roman" panose="02020603050405020304" pitchFamily="18" charset="0"/>
          </a:endParaRPr>
        </a:p>
      </dsp:txBody>
      <dsp:txXfrm>
        <a:off x="3393355" y="1206997"/>
        <a:ext cx="1401212" cy="700606"/>
      </dsp:txXfrm>
    </dsp:sp>
    <dsp:sp modelId="{60729BF5-6E5E-4083-8469-7B3BE778D16A}">
      <dsp:nvSpPr>
        <dsp:cNvPr id="0" name=""/>
        <dsp:cNvSpPr/>
      </dsp:nvSpPr>
      <dsp:spPr>
        <a:xfrm>
          <a:off x="3743658" y="2201857"/>
          <a:ext cx="1401212" cy="1125271"/>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kern="1200">
              <a:latin typeface="Times New Roman" panose="02020603050405020304" pitchFamily="18" charset="0"/>
              <a:cs typeface="Times New Roman" panose="02020603050405020304" pitchFamily="18" charset="0"/>
            </a:rPr>
            <a:t>AC monotherapy. If thrombotic/ischemic risk is high and bleeding risk is low, continuation of AC + SAPT beyond 12 months post ACS/PCI may be reasonable in select patients</a:t>
          </a:r>
          <a:endParaRPr lang="en-US" sz="800" b="0" kern="1200">
            <a:latin typeface="Times New Roman" panose="02020603050405020304" pitchFamily="18" charset="0"/>
            <a:cs typeface="Times New Roman" panose="02020603050405020304" pitchFamily="18" charset="0"/>
          </a:endParaRPr>
        </a:p>
      </dsp:txBody>
      <dsp:txXfrm>
        <a:off x="3743658" y="2201857"/>
        <a:ext cx="1401212" cy="1125271"/>
      </dsp:txXfrm>
    </dsp:sp>
    <dsp:sp modelId="{DD5C80EF-0A20-405F-83B4-C8CA5E6D5155}">
      <dsp:nvSpPr>
        <dsp:cNvPr id="0" name=""/>
        <dsp:cNvSpPr/>
      </dsp:nvSpPr>
      <dsp:spPr>
        <a:xfrm>
          <a:off x="5088822" y="1206997"/>
          <a:ext cx="1401212" cy="700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kern="1200">
              <a:solidFill>
                <a:srgbClr val="EE0000"/>
              </a:solidFill>
              <a:latin typeface="Times New Roman" panose="02020603050405020304" pitchFamily="18" charset="0"/>
              <a:cs typeface="Times New Roman" panose="02020603050405020304" pitchFamily="18" charset="0"/>
            </a:rPr>
            <a:t>CCD s/p CABG and no history of ACS </a:t>
          </a:r>
          <a:r>
            <a:rPr lang="en-US" sz="800" b="0" kern="1200">
              <a:solidFill>
                <a:sysClr val="windowText" lastClr="000000"/>
              </a:solidFill>
              <a:latin typeface="Times New Roman" panose="02020603050405020304" pitchFamily="18" charset="0"/>
              <a:cs typeface="Times New Roman" panose="02020603050405020304" pitchFamily="18" charset="0"/>
            </a:rPr>
            <a:t>[2]</a:t>
          </a:r>
        </a:p>
      </dsp:txBody>
      <dsp:txXfrm>
        <a:off x="5088822" y="1206997"/>
        <a:ext cx="1401212" cy="700606"/>
      </dsp:txXfrm>
    </dsp:sp>
    <dsp:sp modelId="{BC286356-568D-4AFF-AA18-99A7A5C5F806}">
      <dsp:nvSpPr>
        <dsp:cNvPr id="0" name=""/>
        <dsp:cNvSpPr/>
      </dsp:nvSpPr>
      <dsp:spPr>
        <a:xfrm>
          <a:off x="5439125" y="2201857"/>
          <a:ext cx="1401212" cy="700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Font typeface="Symbol" panose="05050102010706020507" pitchFamily="18" charset="2"/>
            <a:buNone/>
          </a:pPr>
          <a:r>
            <a:rPr lang="en-US" sz="800" b="1" i="1" kern="1200">
              <a:latin typeface="Times New Roman" panose="02020603050405020304" pitchFamily="18" charset="0"/>
              <a:cs typeface="Times New Roman" panose="02020603050405020304" pitchFamily="18" charset="0"/>
            </a:rPr>
            <a:t>If &lt;12 months from CABG</a:t>
          </a:r>
          <a:r>
            <a:rPr lang="en-US" sz="800" kern="1200">
              <a:latin typeface="Times New Roman" panose="02020603050405020304" pitchFamily="18" charset="0"/>
              <a:cs typeface="Times New Roman" panose="02020603050405020304" pitchFamily="18" charset="0"/>
            </a:rPr>
            <a:t>: AC + ASA &lt;100mg/day </a:t>
          </a:r>
          <a:endParaRPr lang="en-US" sz="800" b="0" kern="1200">
            <a:latin typeface="Times New Roman" panose="02020603050405020304" pitchFamily="18" charset="0"/>
            <a:cs typeface="Times New Roman" panose="02020603050405020304" pitchFamily="18" charset="0"/>
          </a:endParaRPr>
        </a:p>
      </dsp:txBody>
      <dsp:txXfrm>
        <a:off x="5439125" y="2201857"/>
        <a:ext cx="1401212" cy="700606"/>
      </dsp:txXfrm>
    </dsp:sp>
    <dsp:sp modelId="{9AE532EF-033C-484C-8BE3-51C6C3488C16}">
      <dsp:nvSpPr>
        <dsp:cNvPr id="0" name=""/>
        <dsp:cNvSpPr/>
      </dsp:nvSpPr>
      <dsp:spPr>
        <a:xfrm>
          <a:off x="5439125" y="3196718"/>
          <a:ext cx="1401212" cy="70060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US" sz="800" b="1" i="1" kern="1200">
              <a:latin typeface="Times New Roman" panose="02020603050405020304" pitchFamily="18" charset="0"/>
              <a:cs typeface="Times New Roman" panose="02020603050405020304" pitchFamily="18" charset="0"/>
            </a:rPr>
            <a:t>If &gt;12 months from CABG</a:t>
          </a:r>
          <a:r>
            <a:rPr lang="en-US" sz="800" kern="1200">
              <a:latin typeface="Times New Roman" panose="02020603050405020304" pitchFamily="18" charset="0"/>
              <a:cs typeface="Times New Roman" panose="02020603050405020304" pitchFamily="18" charset="0"/>
            </a:rPr>
            <a:t>: AC monotherapy </a:t>
          </a:r>
          <a:endParaRPr lang="en-US" sz="800" b="0" kern="1200">
            <a:latin typeface="Times New Roman" panose="02020603050405020304" pitchFamily="18" charset="0"/>
            <a:cs typeface="Times New Roman" panose="02020603050405020304" pitchFamily="18" charset="0"/>
          </a:endParaRPr>
        </a:p>
      </dsp:txBody>
      <dsp:txXfrm>
        <a:off x="5439125" y="3196718"/>
        <a:ext cx="1401212" cy="70060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42B681-B126-4DA6-99FB-7046B3BC377B}">
      <dsp:nvSpPr>
        <dsp:cNvPr id="0" name=""/>
        <dsp:cNvSpPr/>
      </dsp:nvSpPr>
      <dsp:spPr>
        <a:xfrm>
          <a:off x="3575854" y="1472566"/>
          <a:ext cx="182333" cy="1422197"/>
        </a:xfrm>
        <a:custGeom>
          <a:avLst/>
          <a:gdLst/>
          <a:ahLst/>
          <a:cxnLst/>
          <a:rect l="0" t="0" r="0" b="0"/>
          <a:pathLst>
            <a:path>
              <a:moveTo>
                <a:pt x="0" y="0"/>
              </a:moveTo>
              <a:lnTo>
                <a:pt x="0" y="1422197"/>
              </a:lnTo>
              <a:lnTo>
                <a:pt x="182333" y="142219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0BCE19A-C5AC-4FB8-BCB2-B249866182F1}">
      <dsp:nvSpPr>
        <dsp:cNvPr id="0" name=""/>
        <dsp:cNvSpPr/>
      </dsp:nvSpPr>
      <dsp:spPr>
        <a:xfrm>
          <a:off x="3575854" y="1472566"/>
          <a:ext cx="182333" cy="559154"/>
        </a:xfrm>
        <a:custGeom>
          <a:avLst/>
          <a:gdLst/>
          <a:ahLst/>
          <a:cxnLst/>
          <a:rect l="0" t="0" r="0" b="0"/>
          <a:pathLst>
            <a:path>
              <a:moveTo>
                <a:pt x="0" y="0"/>
              </a:moveTo>
              <a:lnTo>
                <a:pt x="0" y="559154"/>
              </a:lnTo>
              <a:lnTo>
                <a:pt x="182333" y="55915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10E8B4-4236-4608-9F27-5328999D7463}">
      <dsp:nvSpPr>
        <dsp:cNvPr id="0" name=""/>
        <dsp:cNvSpPr/>
      </dsp:nvSpPr>
      <dsp:spPr>
        <a:xfrm>
          <a:off x="2591255" y="609523"/>
          <a:ext cx="1470819" cy="255266"/>
        </a:xfrm>
        <a:custGeom>
          <a:avLst/>
          <a:gdLst/>
          <a:ahLst/>
          <a:cxnLst/>
          <a:rect l="0" t="0" r="0" b="0"/>
          <a:pathLst>
            <a:path>
              <a:moveTo>
                <a:pt x="0" y="0"/>
              </a:moveTo>
              <a:lnTo>
                <a:pt x="0" y="127633"/>
              </a:lnTo>
              <a:lnTo>
                <a:pt x="1470819" y="127633"/>
              </a:lnTo>
              <a:lnTo>
                <a:pt x="1470819" y="25526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F2276A-BB15-4174-8B81-CAF3452279B8}">
      <dsp:nvSpPr>
        <dsp:cNvPr id="0" name=""/>
        <dsp:cNvSpPr/>
      </dsp:nvSpPr>
      <dsp:spPr>
        <a:xfrm>
          <a:off x="2105034" y="1472566"/>
          <a:ext cx="182333" cy="559154"/>
        </a:xfrm>
        <a:custGeom>
          <a:avLst/>
          <a:gdLst/>
          <a:ahLst/>
          <a:cxnLst/>
          <a:rect l="0" t="0" r="0" b="0"/>
          <a:pathLst>
            <a:path>
              <a:moveTo>
                <a:pt x="0" y="0"/>
              </a:moveTo>
              <a:lnTo>
                <a:pt x="0" y="559154"/>
              </a:lnTo>
              <a:lnTo>
                <a:pt x="182333" y="55915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E1CDD1-BB79-470D-8D96-2A98FB53FA83}">
      <dsp:nvSpPr>
        <dsp:cNvPr id="0" name=""/>
        <dsp:cNvSpPr/>
      </dsp:nvSpPr>
      <dsp:spPr>
        <a:xfrm>
          <a:off x="2545535" y="609523"/>
          <a:ext cx="91440" cy="255266"/>
        </a:xfrm>
        <a:custGeom>
          <a:avLst/>
          <a:gdLst/>
          <a:ahLst/>
          <a:cxnLst/>
          <a:rect l="0" t="0" r="0" b="0"/>
          <a:pathLst>
            <a:path>
              <a:moveTo>
                <a:pt x="45720" y="0"/>
              </a:moveTo>
              <a:lnTo>
                <a:pt x="45720" y="25526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A70D2E-067C-4A7E-9480-4BE6A01BA51E}">
      <dsp:nvSpPr>
        <dsp:cNvPr id="0" name=""/>
        <dsp:cNvSpPr/>
      </dsp:nvSpPr>
      <dsp:spPr>
        <a:xfrm>
          <a:off x="634214" y="1472566"/>
          <a:ext cx="182333" cy="559154"/>
        </a:xfrm>
        <a:custGeom>
          <a:avLst/>
          <a:gdLst/>
          <a:ahLst/>
          <a:cxnLst/>
          <a:rect l="0" t="0" r="0" b="0"/>
          <a:pathLst>
            <a:path>
              <a:moveTo>
                <a:pt x="0" y="0"/>
              </a:moveTo>
              <a:lnTo>
                <a:pt x="0" y="559154"/>
              </a:lnTo>
              <a:lnTo>
                <a:pt x="182333" y="55915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033EAAC-54A5-4680-8E6C-A0C0B28A10D3}">
      <dsp:nvSpPr>
        <dsp:cNvPr id="0" name=""/>
        <dsp:cNvSpPr/>
      </dsp:nvSpPr>
      <dsp:spPr>
        <a:xfrm>
          <a:off x="1120435" y="609523"/>
          <a:ext cx="1470819" cy="255266"/>
        </a:xfrm>
        <a:custGeom>
          <a:avLst/>
          <a:gdLst/>
          <a:ahLst/>
          <a:cxnLst/>
          <a:rect l="0" t="0" r="0" b="0"/>
          <a:pathLst>
            <a:path>
              <a:moveTo>
                <a:pt x="1470819" y="0"/>
              </a:moveTo>
              <a:lnTo>
                <a:pt x="1470819" y="127633"/>
              </a:lnTo>
              <a:lnTo>
                <a:pt x="0" y="127633"/>
              </a:lnTo>
              <a:lnTo>
                <a:pt x="0" y="25526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3FEF704-807D-4E73-B045-323C2A750768}">
      <dsp:nvSpPr>
        <dsp:cNvPr id="0" name=""/>
        <dsp:cNvSpPr/>
      </dsp:nvSpPr>
      <dsp:spPr>
        <a:xfrm>
          <a:off x="1983478" y="1746"/>
          <a:ext cx="1215553" cy="6077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History of Cerebrovascular Disease</a:t>
          </a:r>
        </a:p>
      </dsp:txBody>
      <dsp:txXfrm>
        <a:off x="1983478" y="1746"/>
        <a:ext cx="1215553" cy="607776"/>
      </dsp:txXfrm>
    </dsp:sp>
    <dsp:sp modelId="{EB8BC331-17B3-402C-B80B-56FED03A1367}">
      <dsp:nvSpPr>
        <dsp:cNvPr id="0" name=""/>
        <dsp:cNvSpPr/>
      </dsp:nvSpPr>
      <dsp:spPr>
        <a:xfrm>
          <a:off x="512658" y="864790"/>
          <a:ext cx="1215553" cy="6077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rgbClr val="EE0000"/>
              </a:solidFill>
              <a:latin typeface="Times New Roman" panose="02020603050405020304" pitchFamily="18" charset="0"/>
              <a:cs typeface="Times New Roman" panose="02020603050405020304" pitchFamily="18" charset="0"/>
            </a:rPr>
            <a:t>History of CVA/TIA </a:t>
          </a:r>
          <a:r>
            <a:rPr lang="en-US" sz="900" b="0" kern="1200">
              <a:solidFill>
                <a:sysClr val="windowText" lastClr="000000"/>
              </a:solidFill>
              <a:latin typeface="Times New Roman" panose="02020603050405020304" pitchFamily="18" charset="0"/>
              <a:cs typeface="Times New Roman" panose="02020603050405020304" pitchFamily="18" charset="0"/>
            </a:rPr>
            <a:t>[2]</a:t>
          </a:r>
          <a:r>
            <a:rPr lang="en-US" sz="900" b="1" kern="1200">
              <a:solidFill>
                <a:srgbClr val="EE0000"/>
              </a:solidFill>
              <a:latin typeface="Times New Roman" panose="02020603050405020304" pitchFamily="18" charset="0"/>
              <a:cs typeface="Times New Roman" panose="02020603050405020304" pitchFamily="18" charset="0"/>
            </a:rPr>
            <a:t> </a:t>
          </a:r>
        </a:p>
      </dsp:txBody>
      <dsp:txXfrm>
        <a:off x="512658" y="864790"/>
        <a:ext cx="1215553" cy="607776"/>
      </dsp:txXfrm>
    </dsp:sp>
    <dsp:sp modelId="{255350E4-F74D-48DA-83F7-36D476CB64E4}">
      <dsp:nvSpPr>
        <dsp:cNvPr id="0" name=""/>
        <dsp:cNvSpPr/>
      </dsp:nvSpPr>
      <dsp:spPr>
        <a:xfrm>
          <a:off x="816547" y="1727833"/>
          <a:ext cx="1215553" cy="6077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Font typeface="Symbol" panose="05050102010706020507" pitchFamily="18" charset="2"/>
            <a:buNone/>
          </a:pPr>
          <a:r>
            <a:rPr lang="en-US" sz="900" kern="1200">
              <a:latin typeface="Times New Roman" panose="02020603050405020304" pitchFamily="18" charset="0"/>
              <a:cs typeface="Times New Roman" panose="02020603050405020304" pitchFamily="18" charset="0"/>
            </a:rPr>
            <a:t>AC monotherapy </a:t>
          </a:r>
        </a:p>
      </dsp:txBody>
      <dsp:txXfrm>
        <a:off x="816547" y="1727833"/>
        <a:ext cx="1215553" cy="607776"/>
      </dsp:txXfrm>
    </dsp:sp>
    <dsp:sp modelId="{1255F6B5-9FE2-464B-8007-A85F06F2ED85}">
      <dsp:nvSpPr>
        <dsp:cNvPr id="0" name=""/>
        <dsp:cNvSpPr/>
      </dsp:nvSpPr>
      <dsp:spPr>
        <a:xfrm>
          <a:off x="1983478" y="864790"/>
          <a:ext cx="1215553" cy="6077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rgbClr val="EE0000"/>
              </a:solidFill>
              <a:latin typeface="Times New Roman" panose="02020603050405020304" pitchFamily="18" charset="0"/>
              <a:cs typeface="Times New Roman" panose="02020603050405020304" pitchFamily="18" charset="0"/>
            </a:rPr>
            <a:t>History of carotid endarterectomy </a:t>
          </a:r>
          <a:r>
            <a:rPr lang="en-US" sz="900" b="0" kern="1200">
              <a:solidFill>
                <a:sysClr val="windowText" lastClr="000000"/>
              </a:solidFill>
              <a:latin typeface="Times New Roman" panose="02020603050405020304" pitchFamily="18" charset="0"/>
              <a:cs typeface="Times New Roman" panose="02020603050405020304" pitchFamily="18" charset="0"/>
            </a:rPr>
            <a:t>[2]</a:t>
          </a:r>
          <a:endParaRPr lang="en-US" sz="900" b="1" kern="1200">
            <a:solidFill>
              <a:srgbClr val="EE0000"/>
            </a:solidFill>
            <a:latin typeface="Times New Roman" panose="02020603050405020304" pitchFamily="18" charset="0"/>
            <a:cs typeface="Times New Roman" panose="02020603050405020304" pitchFamily="18" charset="0"/>
          </a:endParaRPr>
        </a:p>
      </dsp:txBody>
      <dsp:txXfrm>
        <a:off x="1983478" y="864790"/>
        <a:ext cx="1215553" cy="607776"/>
      </dsp:txXfrm>
    </dsp:sp>
    <dsp:sp modelId="{0AED7B3D-9B41-4D94-B170-610E3D1B2C39}">
      <dsp:nvSpPr>
        <dsp:cNvPr id="0" name=""/>
        <dsp:cNvSpPr/>
      </dsp:nvSpPr>
      <dsp:spPr>
        <a:xfrm>
          <a:off x="2287367" y="1727833"/>
          <a:ext cx="1215553" cy="6077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Font typeface="Symbol" panose="05050102010706020507" pitchFamily="18" charset="2"/>
            <a:buNone/>
          </a:pPr>
          <a:r>
            <a:rPr lang="en-US" sz="900" kern="1200">
              <a:latin typeface="Times New Roman" panose="02020603050405020304" pitchFamily="18" charset="0"/>
              <a:cs typeface="Times New Roman" panose="02020603050405020304" pitchFamily="18" charset="0"/>
            </a:rPr>
            <a:t>AC monotherapy </a:t>
          </a:r>
        </a:p>
      </dsp:txBody>
      <dsp:txXfrm>
        <a:off x="2287367" y="1727833"/>
        <a:ext cx="1215553" cy="607776"/>
      </dsp:txXfrm>
    </dsp:sp>
    <dsp:sp modelId="{040AADF9-3DB6-4096-9F74-56AB500D6CAC}">
      <dsp:nvSpPr>
        <dsp:cNvPr id="0" name=""/>
        <dsp:cNvSpPr/>
      </dsp:nvSpPr>
      <dsp:spPr>
        <a:xfrm>
          <a:off x="3454298" y="864790"/>
          <a:ext cx="1215553" cy="6077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rgbClr val="EE0000"/>
              </a:solidFill>
              <a:latin typeface="Times New Roman" panose="02020603050405020304" pitchFamily="18" charset="0"/>
              <a:cs typeface="Times New Roman" panose="02020603050405020304" pitchFamily="18" charset="0"/>
            </a:rPr>
            <a:t>History of carotid stenting </a:t>
          </a:r>
          <a:r>
            <a:rPr lang="en-US" sz="900" b="0" kern="1200">
              <a:solidFill>
                <a:sysClr val="windowText" lastClr="000000"/>
              </a:solidFill>
              <a:latin typeface="Times New Roman" panose="02020603050405020304" pitchFamily="18" charset="0"/>
              <a:cs typeface="Times New Roman" panose="02020603050405020304" pitchFamily="18" charset="0"/>
            </a:rPr>
            <a:t>[2]</a:t>
          </a:r>
          <a:endParaRPr lang="en-US" sz="900" b="1" kern="1200">
            <a:solidFill>
              <a:srgbClr val="EE0000"/>
            </a:solidFill>
            <a:latin typeface="Times New Roman" panose="02020603050405020304" pitchFamily="18" charset="0"/>
            <a:cs typeface="Times New Roman" panose="02020603050405020304" pitchFamily="18" charset="0"/>
          </a:endParaRPr>
        </a:p>
      </dsp:txBody>
      <dsp:txXfrm>
        <a:off x="3454298" y="864790"/>
        <a:ext cx="1215553" cy="607776"/>
      </dsp:txXfrm>
    </dsp:sp>
    <dsp:sp modelId="{084A7079-BED9-422E-9AC2-3CA0CE47FA99}">
      <dsp:nvSpPr>
        <dsp:cNvPr id="0" name=""/>
        <dsp:cNvSpPr/>
      </dsp:nvSpPr>
      <dsp:spPr>
        <a:xfrm>
          <a:off x="3758187" y="1727833"/>
          <a:ext cx="1215553" cy="6077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latin typeface="Times New Roman" panose="02020603050405020304" pitchFamily="18" charset="0"/>
              <a:cs typeface="Times New Roman" panose="02020603050405020304" pitchFamily="18" charset="0"/>
            </a:rPr>
            <a:t>1-3 months (or for standard duration of DAPT) post stenting</a:t>
          </a:r>
          <a:r>
            <a:rPr lang="en-US" sz="900" kern="1200">
              <a:latin typeface="Times New Roman" panose="02020603050405020304" pitchFamily="18" charset="0"/>
              <a:cs typeface="Times New Roman" panose="02020603050405020304" pitchFamily="18" charset="0"/>
            </a:rPr>
            <a:t>: AC + P2Y12i </a:t>
          </a:r>
          <a:r>
            <a:rPr lang="en-US" sz="900" b="1" kern="1200">
              <a:latin typeface="Times New Roman" panose="02020603050405020304" pitchFamily="18" charset="0"/>
              <a:cs typeface="Times New Roman" panose="02020603050405020304" pitchFamily="18" charset="0"/>
            </a:rPr>
            <a:t> </a:t>
          </a:r>
          <a:endParaRPr lang="en-US" sz="900" kern="1200">
            <a:latin typeface="Times New Roman" panose="02020603050405020304" pitchFamily="18" charset="0"/>
            <a:cs typeface="Times New Roman" panose="02020603050405020304" pitchFamily="18" charset="0"/>
          </a:endParaRPr>
        </a:p>
      </dsp:txBody>
      <dsp:txXfrm>
        <a:off x="3758187" y="1727833"/>
        <a:ext cx="1215553" cy="607776"/>
      </dsp:txXfrm>
    </dsp:sp>
    <dsp:sp modelId="{49370E6A-07C2-4EDF-B962-41EE91DB9281}">
      <dsp:nvSpPr>
        <dsp:cNvPr id="0" name=""/>
        <dsp:cNvSpPr/>
      </dsp:nvSpPr>
      <dsp:spPr>
        <a:xfrm>
          <a:off x="3758187" y="2590876"/>
          <a:ext cx="1215553" cy="6077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latin typeface="Times New Roman" panose="02020603050405020304" pitchFamily="18" charset="0"/>
              <a:cs typeface="Times New Roman" panose="02020603050405020304" pitchFamily="18" charset="0"/>
            </a:rPr>
            <a:t>&gt; 3 months (or after standard duration of DAPT has ended) post stenting: </a:t>
          </a:r>
          <a:r>
            <a:rPr lang="en-US" sz="900" kern="1200">
              <a:latin typeface="Times New Roman" panose="02020603050405020304" pitchFamily="18" charset="0"/>
              <a:cs typeface="Times New Roman" panose="02020603050405020304" pitchFamily="18" charset="0"/>
            </a:rPr>
            <a:t>AC monotherapy </a:t>
          </a:r>
        </a:p>
      </dsp:txBody>
      <dsp:txXfrm>
        <a:off x="3758187" y="2590876"/>
        <a:ext cx="1215553" cy="60777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439AE1-1929-45F6-979F-DB2608E3E653}">
      <dsp:nvSpPr>
        <dsp:cNvPr id="0" name=""/>
        <dsp:cNvSpPr/>
      </dsp:nvSpPr>
      <dsp:spPr>
        <a:xfrm>
          <a:off x="2916470" y="1472566"/>
          <a:ext cx="213697" cy="1422197"/>
        </a:xfrm>
        <a:custGeom>
          <a:avLst/>
          <a:gdLst/>
          <a:ahLst/>
          <a:cxnLst/>
          <a:rect l="0" t="0" r="0" b="0"/>
          <a:pathLst>
            <a:path>
              <a:moveTo>
                <a:pt x="0" y="0"/>
              </a:moveTo>
              <a:lnTo>
                <a:pt x="0" y="1422197"/>
              </a:lnTo>
              <a:lnTo>
                <a:pt x="213697" y="1422197"/>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1499D64-D117-4312-A964-4806BCEFD227}">
      <dsp:nvSpPr>
        <dsp:cNvPr id="0" name=""/>
        <dsp:cNvSpPr/>
      </dsp:nvSpPr>
      <dsp:spPr>
        <a:xfrm>
          <a:off x="2916470" y="1472566"/>
          <a:ext cx="213697" cy="559154"/>
        </a:xfrm>
        <a:custGeom>
          <a:avLst/>
          <a:gdLst/>
          <a:ahLst/>
          <a:cxnLst/>
          <a:rect l="0" t="0" r="0" b="0"/>
          <a:pathLst>
            <a:path>
              <a:moveTo>
                <a:pt x="0" y="0"/>
              </a:moveTo>
              <a:lnTo>
                <a:pt x="0" y="559154"/>
              </a:lnTo>
              <a:lnTo>
                <a:pt x="213697" y="55915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758087-681C-44EF-95DA-78F8001C6988}">
      <dsp:nvSpPr>
        <dsp:cNvPr id="0" name=""/>
        <dsp:cNvSpPr/>
      </dsp:nvSpPr>
      <dsp:spPr>
        <a:xfrm>
          <a:off x="2669668" y="609523"/>
          <a:ext cx="816663" cy="255266"/>
        </a:xfrm>
        <a:custGeom>
          <a:avLst/>
          <a:gdLst/>
          <a:ahLst/>
          <a:cxnLst/>
          <a:rect l="0" t="0" r="0" b="0"/>
          <a:pathLst>
            <a:path>
              <a:moveTo>
                <a:pt x="0" y="0"/>
              </a:moveTo>
              <a:lnTo>
                <a:pt x="0" y="127633"/>
              </a:lnTo>
              <a:lnTo>
                <a:pt x="816663" y="127633"/>
              </a:lnTo>
              <a:lnTo>
                <a:pt x="816663" y="25526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A8BEE2-AEA9-444D-B446-7393AA09E85A}">
      <dsp:nvSpPr>
        <dsp:cNvPr id="0" name=""/>
        <dsp:cNvSpPr/>
      </dsp:nvSpPr>
      <dsp:spPr>
        <a:xfrm>
          <a:off x="1278483" y="1472566"/>
          <a:ext cx="206709" cy="559154"/>
        </a:xfrm>
        <a:custGeom>
          <a:avLst/>
          <a:gdLst/>
          <a:ahLst/>
          <a:cxnLst/>
          <a:rect l="0" t="0" r="0" b="0"/>
          <a:pathLst>
            <a:path>
              <a:moveTo>
                <a:pt x="0" y="0"/>
              </a:moveTo>
              <a:lnTo>
                <a:pt x="0" y="559154"/>
              </a:lnTo>
              <a:lnTo>
                <a:pt x="206709" y="559154"/>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1575485-2221-4CE6-8282-A2327E424D43}">
      <dsp:nvSpPr>
        <dsp:cNvPr id="0" name=""/>
        <dsp:cNvSpPr/>
      </dsp:nvSpPr>
      <dsp:spPr>
        <a:xfrm>
          <a:off x="1829708" y="609523"/>
          <a:ext cx="839959" cy="255266"/>
        </a:xfrm>
        <a:custGeom>
          <a:avLst/>
          <a:gdLst/>
          <a:ahLst/>
          <a:cxnLst/>
          <a:rect l="0" t="0" r="0" b="0"/>
          <a:pathLst>
            <a:path>
              <a:moveTo>
                <a:pt x="839959" y="0"/>
              </a:moveTo>
              <a:lnTo>
                <a:pt x="839959" y="127633"/>
              </a:lnTo>
              <a:lnTo>
                <a:pt x="0" y="127633"/>
              </a:lnTo>
              <a:lnTo>
                <a:pt x="0" y="255266"/>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696F2FE-C1F3-4B4C-BB98-41ADB4874CFC}">
      <dsp:nvSpPr>
        <dsp:cNvPr id="0" name=""/>
        <dsp:cNvSpPr/>
      </dsp:nvSpPr>
      <dsp:spPr>
        <a:xfrm>
          <a:off x="2061891" y="1746"/>
          <a:ext cx="1215553" cy="6077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latin typeface="Times New Roman" panose="02020603050405020304" pitchFamily="18" charset="0"/>
              <a:cs typeface="Times New Roman" panose="02020603050405020304" pitchFamily="18" charset="0"/>
            </a:rPr>
            <a:t>Peripheral Artery Disease</a:t>
          </a:r>
          <a:endParaRPr lang="en-US" sz="900" kern="1200">
            <a:latin typeface="Times New Roman" panose="02020603050405020304" pitchFamily="18" charset="0"/>
            <a:cs typeface="Times New Roman" panose="02020603050405020304" pitchFamily="18" charset="0"/>
          </a:endParaRPr>
        </a:p>
      </dsp:txBody>
      <dsp:txXfrm>
        <a:off x="2061891" y="1746"/>
        <a:ext cx="1215553" cy="607776"/>
      </dsp:txXfrm>
    </dsp:sp>
    <dsp:sp modelId="{E43FC889-C81D-4C96-8D0E-C4B92FB6C390}">
      <dsp:nvSpPr>
        <dsp:cNvPr id="0" name=""/>
        <dsp:cNvSpPr/>
      </dsp:nvSpPr>
      <dsp:spPr>
        <a:xfrm>
          <a:off x="1140677" y="864790"/>
          <a:ext cx="1378061" cy="6077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rgbClr val="EE0000"/>
              </a:solidFill>
              <a:latin typeface="Times New Roman" panose="02020603050405020304" pitchFamily="18" charset="0"/>
              <a:cs typeface="Times New Roman" panose="02020603050405020304" pitchFamily="18" charset="0"/>
            </a:rPr>
            <a:t>No prior intervention or surgical repair </a:t>
          </a:r>
          <a:r>
            <a:rPr lang="en-US" sz="900" b="0" kern="1200">
              <a:solidFill>
                <a:sysClr val="windowText" lastClr="000000"/>
              </a:solidFill>
              <a:latin typeface="Times New Roman" panose="02020603050405020304" pitchFamily="18" charset="0"/>
              <a:cs typeface="Times New Roman" panose="02020603050405020304" pitchFamily="18" charset="0"/>
            </a:rPr>
            <a:t>[2]</a:t>
          </a:r>
          <a:endParaRPr lang="en-US" sz="900" kern="1200">
            <a:solidFill>
              <a:srgbClr val="EE0000"/>
            </a:solidFill>
            <a:latin typeface="Times New Roman" panose="02020603050405020304" pitchFamily="18" charset="0"/>
            <a:cs typeface="Times New Roman" panose="02020603050405020304" pitchFamily="18" charset="0"/>
          </a:endParaRPr>
        </a:p>
      </dsp:txBody>
      <dsp:txXfrm>
        <a:off x="1140677" y="864790"/>
        <a:ext cx="1378061" cy="607776"/>
      </dsp:txXfrm>
    </dsp:sp>
    <dsp:sp modelId="{FDB51134-796D-46D6-87B6-F1F17C25422C}">
      <dsp:nvSpPr>
        <dsp:cNvPr id="0" name=""/>
        <dsp:cNvSpPr/>
      </dsp:nvSpPr>
      <dsp:spPr>
        <a:xfrm>
          <a:off x="1485193" y="1727833"/>
          <a:ext cx="1215553" cy="6077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Font typeface="Symbol" panose="05050102010706020507" pitchFamily="18" charset="2"/>
            <a:buNone/>
          </a:pPr>
          <a:r>
            <a:rPr lang="en-US" sz="900" kern="1200">
              <a:latin typeface="Times New Roman" panose="02020603050405020304" pitchFamily="18" charset="0"/>
              <a:cs typeface="Times New Roman" panose="02020603050405020304" pitchFamily="18" charset="0"/>
            </a:rPr>
            <a:t>AC monotherapy </a:t>
          </a:r>
        </a:p>
      </dsp:txBody>
      <dsp:txXfrm>
        <a:off x="1485193" y="1727833"/>
        <a:ext cx="1215553" cy="607776"/>
      </dsp:txXfrm>
    </dsp:sp>
    <dsp:sp modelId="{211773B7-F8FA-4D1D-8FA8-454AA3D94FE5}">
      <dsp:nvSpPr>
        <dsp:cNvPr id="0" name=""/>
        <dsp:cNvSpPr/>
      </dsp:nvSpPr>
      <dsp:spPr>
        <a:xfrm>
          <a:off x="2774005" y="864790"/>
          <a:ext cx="1424653" cy="6077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kern="1200">
              <a:solidFill>
                <a:srgbClr val="EE0000"/>
              </a:solidFill>
              <a:latin typeface="Times New Roman" panose="02020603050405020304" pitchFamily="18" charset="0"/>
              <a:cs typeface="Times New Roman" panose="02020603050405020304" pitchFamily="18" charset="0"/>
            </a:rPr>
            <a:t>History of endovascular intervention/stenting </a:t>
          </a:r>
          <a:r>
            <a:rPr lang="en-US" sz="900" b="0" kern="1200">
              <a:solidFill>
                <a:sysClr val="windowText" lastClr="000000"/>
              </a:solidFill>
              <a:latin typeface="Times New Roman" panose="02020603050405020304" pitchFamily="18" charset="0"/>
              <a:cs typeface="Times New Roman" panose="02020603050405020304" pitchFamily="18" charset="0"/>
            </a:rPr>
            <a:t>[2]</a:t>
          </a:r>
          <a:endParaRPr lang="en-US" sz="900" kern="1200">
            <a:solidFill>
              <a:srgbClr val="EE0000"/>
            </a:solidFill>
            <a:latin typeface="Times New Roman" panose="02020603050405020304" pitchFamily="18" charset="0"/>
            <a:cs typeface="Times New Roman" panose="02020603050405020304" pitchFamily="18" charset="0"/>
          </a:endParaRPr>
        </a:p>
      </dsp:txBody>
      <dsp:txXfrm>
        <a:off x="2774005" y="864790"/>
        <a:ext cx="1424653" cy="607776"/>
      </dsp:txXfrm>
    </dsp:sp>
    <dsp:sp modelId="{AB8F936E-4CB4-4CA1-A77B-B4950CC405D1}">
      <dsp:nvSpPr>
        <dsp:cNvPr id="0" name=""/>
        <dsp:cNvSpPr/>
      </dsp:nvSpPr>
      <dsp:spPr>
        <a:xfrm>
          <a:off x="3130168" y="1727833"/>
          <a:ext cx="1215553" cy="6077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Font typeface="Symbol" panose="05050102010706020507" pitchFamily="18" charset="2"/>
            <a:buNone/>
          </a:pPr>
          <a:r>
            <a:rPr lang="en-US" sz="900" b="1" i="1" kern="1200">
              <a:latin typeface="Times New Roman" panose="02020603050405020304" pitchFamily="18" charset="0"/>
              <a:cs typeface="Times New Roman" panose="02020603050405020304" pitchFamily="18" charset="0"/>
            </a:rPr>
            <a:t>1-3 months (or for standard duration of DAPT) post stenting</a:t>
          </a:r>
          <a:r>
            <a:rPr lang="en-US" sz="900" kern="1200">
              <a:latin typeface="Times New Roman" panose="02020603050405020304" pitchFamily="18" charset="0"/>
              <a:cs typeface="Times New Roman" panose="02020603050405020304" pitchFamily="18" charset="0"/>
            </a:rPr>
            <a:t>: AC + P2Y12i </a:t>
          </a:r>
        </a:p>
      </dsp:txBody>
      <dsp:txXfrm>
        <a:off x="3130168" y="1727833"/>
        <a:ext cx="1215553" cy="607776"/>
      </dsp:txXfrm>
    </dsp:sp>
    <dsp:sp modelId="{70111A4B-8885-4DAD-80CD-B2A849CFC4FC}">
      <dsp:nvSpPr>
        <dsp:cNvPr id="0" name=""/>
        <dsp:cNvSpPr/>
      </dsp:nvSpPr>
      <dsp:spPr>
        <a:xfrm>
          <a:off x="3130168" y="2590876"/>
          <a:ext cx="1215553" cy="607776"/>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US" sz="900" b="1" i="1" kern="1200">
              <a:latin typeface="Times New Roman" panose="02020603050405020304" pitchFamily="18" charset="0"/>
              <a:cs typeface="Times New Roman" panose="02020603050405020304" pitchFamily="18" charset="0"/>
            </a:rPr>
            <a:t>&gt; 3 months (or after standard duration of DAPT has ended) post stenting: </a:t>
          </a:r>
          <a:r>
            <a:rPr lang="en-US" sz="900" kern="1200">
              <a:latin typeface="Times New Roman" panose="02020603050405020304" pitchFamily="18" charset="0"/>
              <a:cs typeface="Times New Roman" panose="02020603050405020304" pitchFamily="18" charset="0"/>
            </a:rPr>
            <a:t>AC monotherapy </a:t>
          </a:r>
        </a:p>
      </dsp:txBody>
      <dsp:txXfrm>
        <a:off x="3130168" y="2590876"/>
        <a:ext cx="1215553" cy="607776"/>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94651-19A6-43A7-84B7-B62BB14EA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10</Pages>
  <Words>1997</Words>
  <Characters>11387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Chau Hoang</dc:creator>
  <cp:keywords/>
  <dc:description/>
  <cp:lastModifiedBy>Chau Hoang</cp:lastModifiedBy>
  <cp:revision>5</cp:revision>
  <dcterms:created xsi:type="dcterms:W3CDTF">2026-03-14T20:30:00Z</dcterms:created>
  <dcterms:modified xsi:type="dcterms:W3CDTF">2026-03-25T01:07:00Z</dcterms:modified>
</cp:coreProperties>
</file>