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832D0" w14:textId="12A0B272" w:rsidR="000542A6" w:rsidRPr="008E7A74" w:rsidRDefault="000542A6" w:rsidP="000542A6">
      <w:pPr>
        <w:spacing w:line="480" w:lineRule="auto"/>
        <w:jc w:val="center"/>
        <w:rPr>
          <w:rFonts w:ascii="Times New Roman" w:hAnsi="Times New Roman" w:cs="Times New Roman"/>
          <w:b/>
          <w:bCs/>
          <w:sz w:val="20"/>
          <w:szCs w:val="20"/>
          <w:lang w:val="en-US"/>
        </w:rPr>
      </w:pPr>
      <w:r w:rsidRPr="008E7A74">
        <w:rPr>
          <w:rFonts w:ascii="Times New Roman" w:hAnsi="Times New Roman" w:cs="Times New Roman"/>
          <w:b/>
          <w:bCs/>
          <w:sz w:val="20"/>
          <w:szCs w:val="20"/>
          <w:lang w:val="en-US"/>
        </w:rPr>
        <w:t xml:space="preserve">The quality of LED light alters the biometrics, bioactive compounds, mineral composition, and anatomy of </w:t>
      </w:r>
      <w:r w:rsidRPr="008E7A74">
        <w:rPr>
          <w:rFonts w:ascii="Times New Roman" w:hAnsi="Times New Roman" w:cs="Times New Roman"/>
          <w:b/>
          <w:bCs/>
          <w:i/>
          <w:iCs/>
          <w:sz w:val="20"/>
          <w:szCs w:val="20"/>
          <w:lang w:val="en-US"/>
        </w:rPr>
        <w:t>in vitro</w:t>
      </w:r>
      <w:r w:rsidR="003864D8" w:rsidRPr="008E7A74">
        <w:rPr>
          <w:rFonts w:ascii="Times New Roman" w:hAnsi="Times New Roman" w:cs="Times New Roman"/>
          <w:b/>
          <w:bCs/>
          <w:sz w:val="20"/>
          <w:szCs w:val="20"/>
          <w:lang w:val="en-US"/>
        </w:rPr>
        <w:t xml:space="preserve"> micropropagated pitaya</w:t>
      </w:r>
    </w:p>
    <w:p w14:paraId="6C6366C0" w14:textId="733FEA30" w:rsidR="002A4120" w:rsidRPr="008E7A74" w:rsidRDefault="002A4120" w:rsidP="002A4120">
      <w:pPr>
        <w:spacing w:line="480" w:lineRule="auto"/>
        <w:jc w:val="both"/>
        <w:rPr>
          <w:rFonts w:ascii="Times New Roman" w:hAnsi="Times New Roman" w:cs="Times New Roman"/>
          <w:b/>
          <w:bCs/>
          <w:sz w:val="20"/>
          <w:szCs w:val="20"/>
        </w:rPr>
      </w:pPr>
      <w:r w:rsidRPr="008E7A74">
        <w:rPr>
          <w:rFonts w:ascii="Times New Roman" w:hAnsi="Times New Roman" w:cs="Times New Roman"/>
          <w:b/>
          <w:bCs/>
          <w:sz w:val="20"/>
          <w:szCs w:val="20"/>
        </w:rPr>
        <w:t>Evens Clairvil</w:t>
      </w:r>
      <w:r w:rsidRPr="008E7A74">
        <w:rPr>
          <w:rFonts w:ascii="Times New Roman" w:hAnsi="Times New Roman" w:cs="Times New Roman"/>
          <w:b/>
          <w:bCs/>
          <w:sz w:val="20"/>
          <w:szCs w:val="20"/>
          <w:vertAlign w:val="superscript"/>
        </w:rPr>
        <w:t xml:space="preserve">* </w:t>
      </w:r>
    </w:p>
    <w:p w14:paraId="3C69C5DE" w14:textId="6ECBA1B3" w:rsidR="002A4120" w:rsidRPr="007A1A3A" w:rsidRDefault="003864D8" w:rsidP="002A4120">
      <w:pPr>
        <w:spacing w:line="480" w:lineRule="auto"/>
        <w:jc w:val="both"/>
        <w:rPr>
          <w:rFonts w:ascii="Times New Roman" w:hAnsi="Times New Roman" w:cs="Times New Roman"/>
          <w:color w:val="4472C4" w:themeColor="accent1"/>
          <w:sz w:val="20"/>
          <w:szCs w:val="20"/>
          <w:lang w:val="en-US"/>
        </w:rPr>
      </w:pPr>
      <w:r w:rsidRPr="008E7A74">
        <w:rPr>
          <w:rFonts w:ascii="Times New Roman" w:hAnsi="Times New Roman" w:cs="Times New Roman"/>
          <w:sz w:val="20"/>
          <w:szCs w:val="20"/>
        </w:rPr>
        <w:t>Departamento de Biologia</w:t>
      </w:r>
      <w:r w:rsidR="002A4120" w:rsidRPr="008E7A74">
        <w:rPr>
          <w:rFonts w:ascii="Times New Roman" w:hAnsi="Times New Roman" w:cs="Times New Roman"/>
          <w:sz w:val="20"/>
          <w:szCs w:val="20"/>
        </w:rPr>
        <w:t xml:space="preserve">, </w:t>
      </w:r>
      <w:r w:rsidRPr="008E7A74">
        <w:rPr>
          <w:rFonts w:ascii="Times New Roman" w:hAnsi="Times New Roman" w:cs="Times New Roman"/>
          <w:sz w:val="20"/>
          <w:szCs w:val="20"/>
        </w:rPr>
        <w:t>Universidade Federal de Lavras</w:t>
      </w:r>
      <w:r w:rsidR="002A4120" w:rsidRPr="008E7A74">
        <w:rPr>
          <w:rFonts w:ascii="Times New Roman" w:hAnsi="Times New Roman" w:cs="Times New Roman"/>
          <w:sz w:val="20"/>
          <w:szCs w:val="20"/>
        </w:rPr>
        <w:t xml:space="preserve">, Lavras, Minas Gerais, Brazil. </w:t>
      </w:r>
      <w:r w:rsidR="002A4120" w:rsidRPr="008E7A74">
        <w:rPr>
          <w:rFonts w:ascii="Times New Roman" w:hAnsi="Times New Roman" w:cs="Times New Roman"/>
          <w:sz w:val="20"/>
          <w:szCs w:val="20"/>
          <w:lang w:val="en-US"/>
        </w:rPr>
        <w:t>CEP: 3720</w:t>
      </w:r>
      <w:r w:rsidR="000A5934">
        <w:rPr>
          <w:rFonts w:ascii="Times New Roman" w:hAnsi="Times New Roman" w:cs="Times New Roman"/>
          <w:sz w:val="20"/>
          <w:szCs w:val="20"/>
          <w:lang w:val="en-US"/>
        </w:rPr>
        <w:t>3</w:t>
      </w:r>
      <w:r w:rsidR="002A4120" w:rsidRPr="008E7A74">
        <w:rPr>
          <w:rFonts w:ascii="Times New Roman" w:hAnsi="Times New Roman" w:cs="Times New Roman"/>
          <w:sz w:val="20"/>
          <w:szCs w:val="20"/>
          <w:lang w:val="en-US"/>
        </w:rPr>
        <w:t>-2</w:t>
      </w:r>
      <w:r w:rsidR="000A5934">
        <w:rPr>
          <w:rFonts w:ascii="Times New Roman" w:hAnsi="Times New Roman" w:cs="Times New Roman"/>
          <w:sz w:val="20"/>
          <w:szCs w:val="20"/>
          <w:lang w:val="en-US"/>
        </w:rPr>
        <w:t>02</w:t>
      </w:r>
      <w:r w:rsidR="00DC67DA" w:rsidRPr="008E7A74">
        <w:rPr>
          <w:rStyle w:val="Hyperlink"/>
          <w:rFonts w:ascii="Times New Roman" w:hAnsi="Times New Roman" w:cs="Times New Roman"/>
          <w:color w:val="auto"/>
          <w:sz w:val="20"/>
          <w:szCs w:val="20"/>
          <w:u w:val="none"/>
          <w:lang w:val="en-US"/>
        </w:rPr>
        <w:t>.</w:t>
      </w:r>
      <w:r w:rsidR="000A5934">
        <w:rPr>
          <w:rStyle w:val="Hyperlink"/>
          <w:rFonts w:ascii="Times New Roman" w:hAnsi="Times New Roman" w:cs="Times New Roman"/>
          <w:color w:val="auto"/>
          <w:sz w:val="20"/>
          <w:szCs w:val="20"/>
          <w:u w:val="none"/>
          <w:lang w:val="en-US"/>
        </w:rPr>
        <w:t xml:space="preserve"> </w:t>
      </w:r>
      <w:r w:rsidR="002A4120" w:rsidRPr="008E7A74">
        <w:rPr>
          <w:rFonts w:ascii="Times New Roman" w:hAnsi="Times New Roman" w:cs="Times New Roman"/>
          <w:sz w:val="20"/>
          <w:szCs w:val="20"/>
          <w:lang w:val="en-US"/>
        </w:rPr>
        <w:t xml:space="preserve">ORCID: </w:t>
      </w:r>
      <w:hyperlink r:id="rId7" w:tgtFrame="_blank" w:history="1">
        <w:r w:rsidR="002A4120" w:rsidRPr="007A1A3A">
          <w:rPr>
            <w:rStyle w:val="Hyperlink"/>
            <w:rFonts w:ascii="Times New Roman" w:hAnsi="Times New Roman" w:cs="Times New Roman"/>
            <w:color w:val="4472C4" w:themeColor="accent1"/>
            <w:sz w:val="20"/>
            <w:szCs w:val="20"/>
            <w:lang w:val="en-US"/>
          </w:rPr>
          <w:t>https://orcid.org/0000-0002-0607-5236</w:t>
        </w:r>
      </w:hyperlink>
      <w:r w:rsidR="002A4120" w:rsidRPr="007A1A3A">
        <w:rPr>
          <w:rFonts w:ascii="Times New Roman" w:hAnsi="Times New Roman" w:cs="Times New Roman"/>
          <w:color w:val="4472C4" w:themeColor="accent1"/>
          <w:sz w:val="20"/>
          <w:szCs w:val="20"/>
          <w:lang w:val="en-US"/>
        </w:rPr>
        <w:t xml:space="preserve"> </w:t>
      </w:r>
    </w:p>
    <w:p w14:paraId="6605A0B3" w14:textId="6889DCD7" w:rsidR="00DC67DA" w:rsidRPr="008E7A74" w:rsidRDefault="00DC67DA" w:rsidP="002A4120">
      <w:pPr>
        <w:spacing w:line="480" w:lineRule="auto"/>
        <w:jc w:val="both"/>
        <w:rPr>
          <w:rFonts w:ascii="Times New Roman" w:hAnsi="Times New Roman" w:cs="Times New Roman"/>
          <w:sz w:val="20"/>
          <w:szCs w:val="20"/>
          <w:lang w:val="en-US"/>
        </w:rPr>
      </w:pPr>
      <w:r w:rsidRPr="008E7A74">
        <w:rPr>
          <w:rFonts w:ascii="Times New Roman" w:hAnsi="Times New Roman" w:cs="Times New Roman"/>
          <w:sz w:val="20"/>
          <w:szCs w:val="20"/>
          <w:lang w:val="en-GB"/>
        </w:rPr>
        <w:t>*Corresponding author.</w:t>
      </w:r>
      <w:r w:rsidRPr="008E7A74">
        <w:rPr>
          <w:rFonts w:ascii="Times New Roman" w:hAnsi="Times New Roman" w:cs="Times New Roman"/>
          <w:sz w:val="20"/>
          <w:szCs w:val="20"/>
          <w:lang w:val="en-US"/>
        </w:rPr>
        <w:t xml:space="preserve"> E-mail: </w:t>
      </w:r>
      <w:hyperlink r:id="rId8" w:history="1">
        <w:r w:rsidRPr="007A1A3A">
          <w:rPr>
            <w:rStyle w:val="Hyperlink"/>
            <w:rFonts w:ascii="Times New Roman" w:hAnsi="Times New Roman" w:cs="Times New Roman"/>
            <w:color w:val="4472C4" w:themeColor="accent1"/>
            <w:sz w:val="20"/>
            <w:szCs w:val="20"/>
            <w:lang w:val="en-US"/>
          </w:rPr>
          <w:t>clairvilevens1@gmail.com</w:t>
        </w:r>
      </w:hyperlink>
      <w:r w:rsidRPr="007A1A3A">
        <w:rPr>
          <w:rFonts w:ascii="Times New Roman" w:hAnsi="Times New Roman" w:cs="Times New Roman"/>
          <w:color w:val="4472C4" w:themeColor="accent1"/>
          <w:sz w:val="20"/>
          <w:szCs w:val="20"/>
          <w:lang w:val="en-US"/>
        </w:rPr>
        <w:t xml:space="preserve"> </w:t>
      </w:r>
    </w:p>
    <w:p w14:paraId="40D8A1B3" w14:textId="77777777" w:rsidR="002A4120" w:rsidRPr="008E7A74" w:rsidRDefault="002A4120" w:rsidP="002A4120">
      <w:pPr>
        <w:spacing w:line="480" w:lineRule="auto"/>
        <w:jc w:val="both"/>
        <w:rPr>
          <w:rFonts w:ascii="Times New Roman" w:hAnsi="Times New Roman" w:cs="Times New Roman"/>
          <w:b/>
          <w:bCs/>
          <w:sz w:val="20"/>
          <w:szCs w:val="20"/>
        </w:rPr>
      </w:pPr>
      <w:r w:rsidRPr="008E7A74">
        <w:rPr>
          <w:rFonts w:ascii="Times New Roman" w:hAnsi="Times New Roman" w:cs="Times New Roman"/>
          <w:b/>
          <w:bCs/>
          <w:sz w:val="20"/>
          <w:szCs w:val="20"/>
        </w:rPr>
        <w:t>Marcelo de Almeida Guimarães</w:t>
      </w:r>
    </w:p>
    <w:p w14:paraId="51C037E1" w14:textId="715BAE04" w:rsidR="002A4120" w:rsidRPr="008E7A74" w:rsidRDefault="003864D8" w:rsidP="002A4120">
      <w:pPr>
        <w:spacing w:line="480" w:lineRule="auto"/>
        <w:jc w:val="both"/>
        <w:rPr>
          <w:rFonts w:ascii="Times New Roman" w:hAnsi="Times New Roman" w:cs="Times New Roman"/>
          <w:sz w:val="20"/>
          <w:szCs w:val="20"/>
        </w:rPr>
      </w:pPr>
      <w:r w:rsidRPr="008E7A74">
        <w:rPr>
          <w:rFonts w:ascii="Times New Roman" w:hAnsi="Times New Roman" w:cs="Times New Roman"/>
          <w:sz w:val="20"/>
          <w:szCs w:val="20"/>
        </w:rPr>
        <w:t>Departamento de Fitotecnia</w:t>
      </w:r>
      <w:r w:rsidR="002A4120" w:rsidRPr="008E7A74">
        <w:rPr>
          <w:rFonts w:ascii="Times New Roman" w:hAnsi="Times New Roman" w:cs="Times New Roman"/>
          <w:sz w:val="20"/>
          <w:szCs w:val="20"/>
        </w:rPr>
        <w:t xml:space="preserve">, </w:t>
      </w:r>
      <w:r w:rsidRPr="008E7A74">
        <w:rPr>
          <w:rFonts w:ascii="Times New Roman" w:hAnsi="Times New Roman" w:cs="Times New Roman"/>
          <w:sz w:val="20"/>
          <w:szCs w:val="20"/>
        </w:rPr>
        <w:t>Universidade Federal do Ceará</w:t>
      </w:r>
      <w:r w:rsidR="002A4120" w:rsidRPr="008E7A74">
        <w:rPr>
          <w:rFonts w:ascii="Times New Roman" w:hAnsi="Times New Roman" w:cs="Times New Roman"/>
          <w:sz w:val="20"/>
          <w:szCs w:val="20"/>
        </w:rPr>
        <w:t xml:space="preserve">, Fortaleza, Ceará, Brazil. ORCID: </w:t>
      </w:r>
      <w:r w:rsidR="002A4120" w:rsidRPr="007A1A3A">
        <w:rPr>
          <w:color w:val="4472C4" w:themeColor="accent1"/>
        </w:rPr>
        <w:fldChar w:fldCharType="begin"/>
      </w:r>
      <w:r w:rsidR="002A4120" w:rsidRPr="007A1A3A">
        <w:rPr>
          <w:color w:val="4472C4" w:themeColor="accent1"/>
        </w:rPr>
        <w:instrText>HYPERLINK "https://orcid.org/0000-0002-5329-022X"</w:instrText>
      </w:r>
      <w:r w:rsidR="002A4120" w:rsidRPr="007A1A3A">
        <w:rPr>
          <w:color w:val="4472C4" w:themeColor="accent1"/>
        </w:rPr>
      </w:r>
      <w:r w:rsidR="002A4120" w:rsidRPr="007A1A3A">
        <w:rPr>
          <w:color w:val="4472C4" w:themeColor="accent1"/>
        </w:rPr>
        <w:fldChar w:fldCharType="separate"/>
      </w:r>
      <w:r w:rsidR="002A4120" w:rsidRPr="007A1A3A">
        <w:rPr>
          <w:rStyle w:val="Hyperlink"/>
          <w:rFonts w:ascii="Times New Roman" w:hAnsi="Times New Roman" w:cs="Times New Roman"/>
          <w:color w:val="4472C4" w:themeColor="accent1"/>
          <w:sz w:val="20"/>
          <w:szCs w:val="20"/>
        </w:rPr>
        <w:t>https://orcid.org/0000-0002-5329-022X</w:t>
      </w:r>
      <w:r w:rsidR="002A4120" w:rsidRPr="007A1A3A">
        <w:rPr>
          <w:color w:val="4472C4" w:themeColor="accent1"/>
        </w:rPr>
        <w:fldChar w:fldCharType="end"/>
      </w:r>
      <w:r w:rsidR="005C3701" w:rsidRPr="007A1A3A">
        <w:rPr>
          <w:rFonts w:ascii="Times New Roman" w:hAnsi="Times New Roman" w:cs="Times New Roman"/>
          <w:color w:val="4472C4" w:themeColor="accent1"/>
          <w:sz w:val="20"/>
          <w:szCs w:val="20"/>
        </w:rPr>
        <w:t xml:space="preserve"> </w:t>
      </w:r>
      <w:r w:rsidR="002A4120" w:rsidRPr="007A1A3A">
        <w:rPr>
          <w:rFonts w:ascii="Times New Roman" w:hAnsi="Times New Roman" w:cs="Times New Roman"/>
          <w:color w:val="4472C4" w:themeColor="accent1"/>
          <w:sz w:val="20"/>
          <w:szCs w:val="20"/>
        </w:rPr>
        <w:t xml:space="preserve"> </w:t>
      </w:r>
    </w:p>
    <w:p w14:paraId="5C1592BD" w14:textId="2FD18335" w:rsidR="00DE5734" w:rsidRPr="008E7A74" w:rsidRDefault="00051AE9" w:rsidP="00DE5734">
      <w:pPr>
        <w:spacing w:line="480" w:lineRule="auto"/>
        <w:jc w:val="both"/>
        <w:rPr>
          <w:rFonts w:ascii="Times New Roman" w:hAnsi="Times New Roman" w:cs="Times New Roman"/>
          <w:b/>
          <w:bCs/>
          <w:sz w:val="20"/>
          <w:szCs w:val="20"/>
        </w:rPr>
      </w:pPr>
      <w:r w:rsidRPr="008E7A74">
        <w:rPr>
          <w:rFonts w:ascii="Times New Roman" w:hAnsi="Times New Roman" w:cs="Times New Roman"/>
          <w:b/>
          <w:bCs/>
          <w:sz w:val="20"/>
          <w:szCs w:val="20"/>
        </w:rPr>
        <w:t xml:space="preserve">Luana de Jesus </w:t>
      </w:r>
      <w:r w:rsidR="00DE5734" w:rsidRPr="008E7A74">
        <w:rPr>
          <w:rFonts w:ascii="Times New Roman" w:hAnsi="Times New Roman" w:cs="Times New Roman"/>
          <w:b/>
          <w:bCs/>
          <w:sz w:val="20"/>
          <w:szCs w:val="20"/>
        </w:rPr>
        <w:t xml:space="preserve">Sartori </w:t>
      </w:r>
    </w:p>
    <w:p w14:paraId="349E1604" w14:textId="50A897B4" w:rsidR="009E3B6C" w:rsidRPr="008E7A74" w:rsidRDefault="003864D8" w:rsidP="002A4120">
      <w:pPr>
        <w:spacing w:line="480" w:lineRule="auto"/>
        <w:jc w:val="both"/>
        <w:rPr>
          <w:rFonts w:ascii="Times New Roman" w:hAnsi="Times New Roman" w:cs="Times New Roman"/>
          <w:sz w:val="20"/>
          <w:szCs w:val="20"/>
          <w:u w:val="single"/>
        </w:rPr>
      </w:pPr>
      <w:r w:rsidRPr="008E7A74">
        <w:rPr>
          <w:rFonts w:ascii="Times New Roman" w:hAnsi="Times New Roman" w:cs="Times New Roman"/>
          <w:sz w:val="20"/>
          <w:szCs w:val="20"/>
        </w:rPr>
        <w:t>Departamento de Biologia, Universidade Federal de Lavras</w:t>
      </w:r>
      <w:r w:rsidR="00DE5734" w:rsidRPr="008E7A74">
        <w:rPr>
          <w:rFonts w:ascii="Times New Roman" w:hAnsi="Times New Roman" w:cs="Times New Roman"/>
          <w:sz w:val="20"/>
          <w:szCs w:val="20"/>
        </w:rPr>
        <w:t xml:space="preserve">, Lavras, Minas Gerais, Brazil. ORCID: </w:t>
      </w:r>
      <w:r w:rsidR="003B3526" w:rsidRPr="007A1A3A">
        <w:rPr>
          <w:color w:val="4472C4" w:themeColor="accent1"/>
        </w:rPr>
        <w:fldChar w:fldCharType="begin"/>
      </w:r>
      <w:r w:rsidR="003B3526" w:rsidRPr="007A1A3A">
        <w:rPr>
          <w:color w:val="4472C4" w:themeColor="accent1"/>
        </w:rPr>
        <w:instrText>HYPERLINK "https://orcid.org/0000-0003-0764-977X"</w:instrText>
      </w:r>
      <w:r w:rsidR="003B3526" w:rsidRPr="007A1A3A">
        <w:rPr>
          <w:color w:val="4472C4" w:themeColor="accent1"/>
        </w:rPr>
      </w:r>
      <w:r w:rsidR="003B3526" w:rsidRPr="007A1A3A">
        <w:rPr>
          <w:color w:val="4472C4" w:themeColor="accent1"/>
        </w:rPr>
        <w:fldChar w:fldCharType="separate"/>
      </w:r>
      <w:r w:rsidR="003B3526" w:rsidRPr="007A1A3A">
        <w:rPr>
          <w:rStyle w:val="Hyperlink"/>
          <w:rFonts w:ascii="Times New Roman" w:hAnsi="Times New Roman" w:cs="Times New Roman"/>
          <w:color w:val="4472C4" w:themeColor="accent1"/>
          <w:sz w:val="20"/>
          <w:szCs w:val="20"/>
        </w:rPr>
        <w:t>https://orcid.org/0000-0003-0764-977X</w:t>
      </w:r>
      <w:r w:rsidR="003B3526" w:rsidRPr="007A1A3A">
        <w:rPr>
          <w:color w:val="4472C4" w:themeColor="accent1"/>
        </w:rPr>
        <w:fldChar w:fldCharType="end"/>
      </w:r>
      <w:r w:rsidR="003B3526" w:rsidRPr="007A1A3A">
        <w:rPr>
          <w:rFonts w:ascii="Times New Roman" w:hAnsi="Times New Roman" w:cs="Times New Roman"/>
          <w:color w:val="4472C4" w:themeColor="accent1"/>
          <w:sz w:val="20"/>
          <w:szCs w:val="20"/>
        </w:rPr>
        <w:t xml:space="preserve"> </w:t>
      </w:r>
    </w:p>
    <w:p w14:paraId="562C8323" w14:textId="77777777" w:rsidR="002A4120" w:rsidRPr="008E7A74" w:rsidRDefault="002A4120" w:rsidP="002A4120">
      <w:pPr>
        <w:spacing w:line="480" w:lineRule="auto"/>
        <w:jc w:val="both"/>
        <w:rPr>
          <w:rFonts w:ascii="Times New Roman" w:hAnsi="Times New Roman" w:cs="Times New Roman"/>
          <w:b/>
          <w:bCs/>
          <w:sz w:val="20"/>
          <w:szCs w:val="20"/>
        </w:rPr>
      </w:pPr>
      <w:r w:rsidRPr="008E7A74">
        <w:rPr>
          <w:rFonts w:ascii="Times New Roman" w:hAnsi="Times New Roman" w:cs="Times New Roman"/>
          <w:b/>
          <w:bCs/>
          <w:sz w:val="20"/>
          <w:szCs w:val="20"/>
        </w:rPr>
        <w:t>Filipe Almendagna Rodrigues</w:t>
      </w:r>
    </w:p>
    <w:p w14:paraId="04AFABBD" w14:textId="5D731BE9" w:rsidR="002A4120" w:rsidRPr="007A1A3A" w:rsidRDefault="003864D8" w:rsidP="002A4120">
      <w:pPr>
        <w:spacing w:line="480" w:lineRule="auto"/>
        <w:jc w:val="both"/>
        <w:rPr>
          <w:rFonts w:ascii="Times New Roman" w:hAnsi="Times New Roman" w:cs="Times New Roman"/>
          <w:color w:val="4472C4" w:themeColor="accent1"/>
          <w:sz w:val="20"/>
          <w:szCs w:val="20"/>
        </w:rPr>
      </w:pPr>
      <w:r w:rsidRPr="008E7A74">
        <w:rPr>
          <w:rFonts w:ascii="Times New Roman" w:hAnsi="Times New Roman" w:cs="Times New Roman"/>
          <w:sz w:val="20"/>
          <w:szCs w:val="20"/>
        </w:rPr>
        <w:t>Departamento de Agricultura</w:t>
      </w:r>
      <w:r w:rsidR="002A4120" w:rsidRPr="008E7A74">
        <w:rPr>
          <w:rFonts w:ascii="Times New Roman" w:hAnsi="Times New Roman" w:cs="Times New Roman"/>
          <w:sz w:val="20"/>
          <w:szCs w:val="20"/>
        </w:rPr>
        <w:t xml:space="preserve">, </w:t>
      </w:r>
      <w:r w:rsidRPr="008E7A74">
        <w:rPr>
          <w:rFonts w:ascii="Times New Roman" w:hAnsi="Times New Roman" w:cs="Times New Roman"/>
          <w:sz w:val="20"/>
          <w:szCs w:val="20"/>
        </w:rPr>
        <w:t>Universidade Federal de Lavras</w:t>
      </w:r>
      <w:r w:rsidR="002A4120" w:rsidRPr="008E7A74">
        <w:rPr>
          <w:rFonts w:ascii="Times New Roman" w:hAnsi="Times New Roman" w:cs="Times New Roman"/>
          <w:sz w:val="20"/>
          <w:szCs w:val="20"/>
        </w:rPr>
        <w:t xml:space="preserve">, Lavras, Minas Gerais, Brazil. ORCID: </w:t>
      </w:r>
      <w:r w:rsidR="002A4120" w:rsidRPr="007A1A3A">
        <w:rPr>
          <w:color w:val="4472C4" w:themeColor="accent1"/>
        </w:rPr>
        <w:fldChar w:fldCharType="begin"/>
      </w:r>
      <w:r w:rsidR="002A4120" w:rsidRPr="007A1A3A">
        <w:rPr>
          <w:color w:val="4472C4" w:themeColor="accent1"/>
        </w:rPr>
        <w:instrText>HYPERLINK "https://orcid.org/0000-0003-2433-4374"</w:instrText>
      </w:r>
      <w:r w:rsidR="002A4120" w:rsidRPr="007A1A3A">
        <w:rPr>
          <w:color w:val="4472C4" w:themeColor="accent1"/>
        </w:rPr>
      </w:r>
      <w:r w:rsidR="002A4120" w:rsidRPr="007A1A3A">
        <w:rPr>
          <w:color w:val="4472C4" w:themeColor="accent1"/>
        </w:rPr>
        <w:fldChar w:fldCharType="separate"/>
      </w:r>
      <w:r w:rsidR="002A4120" w:rsidRPr="007A1A3A">
        <w:rPr>
          <w:rStyle w:val="Hyperlink"/>
          <w:rFonts w:ascii="Times New Roman" w:hAnsi="Times New Roman" w:cs="Times New Roman"/>
          <w:color w:val="4472C4" w:themeColor="accent1"/>
          <w:sz w:val="20"/>
          <w:szCs w:val="20"/>
        </w:rPr>
        <w:t>https://orcid.org/0000-0003-2433-4374</w:t>
      </w:r>
      <w:r w:rsidR="002A4120" w:rsidRPr="007A1A3A">
        <w:rPr>
          <w:color w:val="4472C4" w:themeColor="accent1"/>
        </w:rPr>
        <w:fldChar w:fldCharType="end"/>
      </w:r>
    </w:p>
    <w:p w14:paraId="3F040E62" w14:textId="1B0F8C70" w:rsidR="00F2250E" w:rsidRPr="008E7A74" w:rsidRDefault="00F2250E" w:rsidP="002A4120">
      <w:pPr>
        <w:spacing w:line="480" w:lineRule="auto"/>
        <w:jc w:val="both"/>
        <w:rPr>
          <w:rFonts w:ascii="Times New Roman" w:hAnsi="Times New Roman" w:cs="Times New Roman"/>
          <w:b/>
          <w:bCs/>
          <w:sz w:val="20"/>
          <w:szCs w:val="20"/>
        </w:rPr>
      </w:pPr>
      <w:r w:rsidRPr="008E7A74">
        <w:rPr>
          <w:rFonts w:ascii="Times New Roman" w:hAnsi="Times New Roman" w:cs="Times New Roman"/>
          <w:b/>
          <w:bCs/>
          <w:sz w:val="20"/>
          <w:szCs w:val="20"/>
        </w:rPr>
        <w:t xml:space="preserve">José Fábio Ferreira </w:t>
      </w:r>
      <w:r w:rsidR="00426A97" w:rsidRPr="008E7A74">
        <w:rPr>
          <w:rFonts w:ascii="Times New Roman" w:hAnsi="Times New Roman" w:cs="Times New Roman"/>
          <w:b/>
          <w:bCs/>
          <w:sz w:val="20"/>
          <w:szCs w:val="20"/>
        </w:rPr>
        <w:t xml:space="preserve">de </w:t>
      </w:r>
      <w:r w:rsidR="00F57EB2" w:rsidRPr="008E7A74">
        <w:rPr>
          <w:rFonts w:ascii="Times New Roman" w:hAnsi="Times New Roman" w:cs="Times New Roman"/>
          <w:b/>
          <w:bCs/>
          <w:sz w:val="20"/>
          <w:szCs w:val="20"/>
        </w:rPr>
        <w:t>Souza</w:t>
      </w:r>
    </w:p>
    <w:p w14:paraId="0517FA09" w14:textId="325AB2D9" w:rsidR="00F57EB2" w:rsidRPr="008E7A74" w:rsidRDefault="003864D8" w:rsidP="002A4120">
      <w:pPr>
        <w:spacing w:line="480" w:lineRule="auto"/>
        <w:jc w:val="both"/>
        <w:rPr>
          <w:rFonts w:ascii="Times New Roman" w:hAnsi="Times New Roman" w:cs="Times New Roman"/>
          <w:sz w:val="20"/>
          <w:szCs w:val="20"/>
        </w:rPr>
      </w:pPr>
      <w:r w:rsidRPr="008E7A74">
        <w:rPr>
          <w:rFonts w:ascii="Times New Roman" w:hAnsi="Times New Roman" w:cs="Times New Roman"/>
          <w:sz w:val="20"/>
          <w:szCs w:val="20"/>
        </w:rPr>
        <w:t>Departamento de Fitopatologia</w:t>
      </w:r>
      <w:r w:rsidR="00DC1014" w:rsidRPr="008E7A74">
        <w:rPr>
          <w:rFonts w:ascii="Times New Roman" w:hAnsi="Times New Roman" w:cs="Times New Roman"/>
          <w:sz w:val="20"/>
          <w:szCs w:val="20"/>
        </w:rPr>
        <w:t xml:space="preserve">, </w:t>
      </w:r>
      <w:r w:rsidRPr="008E7A74">
        <w:rPr>
          <w:rFonts w:ascii="Times New Roman" w:hAnsi="Times New Roman" w:cs="Times New Roman"/>
          <w:sz w:val="20"/>
          <w:szCs w:val="20"/>
        </w:rPr>
        <w:t>Universidade Federal de Lavras</w:t>
      </w:r>
      <w:r w:rsidR="00DC1014" w:rsidRPr="008E7A74">
        <w:rPr>
          <w:rFonts w:ascii="Times New Roman" w:hAnsi="Times New Roman" w:cs="Times New Roman"/>
          <w:sz w:val="20"/>
          <w:szCs w:val="20"/>
        </w:rPr>
        <w:t xml:space="preserve">, Lavras, Minas Gerais, Brazil. ORCID: </w:t>
      </w:r>
      <w:r w:rsidR="00A43F18" w:rsidRPr="007A1A3A">
        <w:rPr>
          <w:color w:val="4472C4" w:themeColor="accent1"/>
        </w:rPr>
        <w:fldChar w:fldCharType="begin"/>
      </w:r>
      <w:r w:rsidR="00A43F18" w:rsidRPr="007A1A3A">
        <w:rPr>
          <w:color w:val="4472C4" w:themeColor="accent1"/>
        </w:rPr>
        <w:instrText>HYPERLINK "https://orcid.org/0009-0002-7913-7781"</w:instrText>
      </w:r>
      <w:r w:rsidR="00A43F18" w:rsidRPr="007A1A3A">
        <w:rPr>
          <w:color w:val="4472C4" w:themeColor="accent1"/>
        </w:rPr>
      </w:r>
      <w:r w:rsidR="00A43F18" w:rsidRPr="007A1A3A">
        <w:rPr>
          <w:color w:val="4472C4" w:themeColor="accent1"/>
        </w:rPr>
        <w:fldChar w:fldCharType="separate"/>
      </w:r>
      <w:r w:rsidR="00A43F18" w:rsidRPr="007A1A3A">
        <w:rPr>
          <w:rStyle w:val="Hyperlink"/>
          <w:rFonts w:ascii="Times New Roman" w:hAnsi="Times New Roman" w:cs="Times New Roman"/>
          <w:color w:val="4472C4" w:themeColor="accent1"/>
          <w:sz w:val="20"/>
          <w:szCs w:val="20"/>
        </w:rPr>
        <w:t>https://orcid.org/0009-0002-7913-7781</w:t>
      </w:r>
      <w:r w:rsidR="00A43F18" w:rsidRPr="007A1A3A">
        <w:rPr>
          <w:color w:val="4472C4" w:themeColor="accent1"/>
        </w:rPr>
        <w:fldChar w:fldCharType="end"/>
      </w:r>
      <w:r w:rsidR="00A43F18" w:rsidRPr="007A1A3A">
        <w:rPr>
          <w:rFonts w:ascii="Times New Roman" w:hAnsi="Times New Roman" w:cs="Times New Roman"/>
          <w:color w:val="4472C4" w:themeColor="accent1"/>
          <w:sz w:val="20"/>
          <w:szCs w:val="20"/>
        </w:rPr>
        <w:t xml:space="preserve"> </w:t>
      </w:r>
    </w:p>
    <w:p w14:paraId="72BF3180" w14:textId="15D2F3A5" w:rsidR="005B3C3E" w:rsidRPr="008E7A74" w:rsidRDefault="005B3C3E" w:rsidP="002A4120">
      <w:pPr>
        <w:spacing w:line="480" w:lineRule="auto"/>
        <w:jc w:val="both"/>
        <w:rPr>
          <w:rFonts w:ascii="Times New Roman" w:hAnsi="Times New Roman" w:cs="Times New Roman"/>
          <w:b/>
          <w:bCs/>
          <w:sz w:val="20"/>
          <w:szCs w:val="20"/>
        </w:rPr>
      </w:pPr>
      <w:r w:rsidRPr="008E7A74">
        <w:rPr>
          <w:rFonts w:ascii="Times New Roman" w:hAnsi="Times New Roman" w:cs="Times New Roman"/>
          <w:b/>
          <w:bCs/>
          <w:sz w:val="20"/>
          <w:szCs w:val="20"/>
        </w:rPr>
        <w:t>Eduardo Alves</w:t>
      </w:r>
    </w:p>
    <w:p w14:paraId="333E9ACB" w14:textId="6159B1D6" w:rsidR="005B3C3E" w:rsidRPr="008E7A74" w:rsidRDefault="003864D8" w:rsidP="002A4120">
      <w:pPr>
        <w:spacing w:line="480" w:lineRule="auto"/>
        <w:jc w:val="both"/>
        <w:rPr>
          <w:rStyle w:val="Hyperlink"/>
          <w:rFonts w:ascii="Times New Roman" w:hAnsi="Times New Roman" w:cs="Times New Roman"/>
          <w:color w:val="auto"/>
          <w:sz w:val="20"/>
          <w:szCs w:val="20"/>
          <w:u w:val="none"/>
        </w:rPr>
      </w:pPr>
      <w:r w:rsidRPr="008E7A74">
        <w:rPr>
          <w:rFonts w:ascii="Times New Roman" w:hAnsi="Times New Roman" w:cs="Times New Roman"/>
          <w:sz w:val="20"/>
          <w:szCs w:val="20"/>
        </w:rPr>
        <w:t>Departamento de Fitopatologia, Universidade Federal de Lavras</w:t>
      </w:r>
      <w:r w:rsidR="005B3C3E" w:rsidRPr="008E7A74">
        <w:rPr>
          <w:rFonts w:ascii="Times New Roman" w:hAnsi="Times New Roman" w:cs="Times New Roman"/>
          <w:sz w:val="20"/>
          <w:szCs w:val="20"/>
        </w:rPr>
        <w:t xml:space="preserve">, Lavras, Minas Gerais, Brazil. ORCID: </w:t>
      </w:r>
      <w:r w:rsidR="008E2D53" w:rsidRPr="007A1A3A">
        <w:rPr>
          <w:color w:val="4472C4" w:themeColor="accent1"/>
        </w:rPr>
        <w:fldChar w:fldCharType="begin"/>
      </w:r>
      <w:r w:rsidR="008E2D53" w:rsidRPr="007A1A3A">
        <w:rPr>
          <w:color w:val="4472C4" w:themeColor="accent1"/>
        </w:rPr>
        <w:instrText>HYPERLINK "https://orcid.org/0000-0003-3185-9291"</w:instrText>
      </w:r>
      <w:r w:rsidR="008E2D53" w:rsidRPr="007A1A3A">
        <w:rPr>
          <w:color w:val="4472C4" w:themeColor="accent1"/>
        </w:rPr>
      </w:r>
      <w:r w:rsidR="008E2D53" w:rsidRPr="007A1A3A">
        <w:rPr>
          <w:color w:val="4472C4" w:themeColor="accent1"/>
        </w:rPr>
        <w:fldChar w:fldCharType="separate"/>
      </w:r>
      <w:r w:rsidR="008E2D53" w:rsidRPr="007A1A3A">
        <w:rPr>
          <w:rStyle w:val="Hyperlink"/>
          <w:rFonts w:ascii="Times New Roman" w:hAnsi="Times New Roman" w:cs="Times New Roman"/>
          <w:color w:val="4472C4" w:themeColor="accent1"/>
          <w:sz w:val="20"/>
          <w:szCs w:val="20"/>
        </w:rPr>
        <w:t>https://orcid.org/0000-0003-3185-9291</w:t>
      </w:r>
      <w:r w:rsidR="008E2D53" w:rsidRPr="007A1A3A">
        <w:rPr>
          <w:color w:val="4472C4" w:themeColor="accent1"/>
        </w:rPr>
        <w:fldChar w:fldCharType="end"/>
      </w:r>
      <w:r w:rsidR="008E2D53" w:rsidRPr="007A1A3A">
        <w:rPr>
          <w:rFonts w:ascii="Times New Roman" w:hAnsi="Times New Roman" w:cs="Times New Roman"/>
          <w:color w:val="4472C4" w:themeColor="accent1"/>
          <w:sz w:val="20"/>
          <w:szCs w:val="20"/>
        </w:rPr>
        <w:t xml:space="preserve"> </w:t>
      </w:r>
    </w:p>
    <w:p w14:paraId="625C12DA" w14:textId="19A8A98F" w:rsidR="002A4120" w:rsidRPr="008E7A74" w:rsidRDefault="002A4120" w:rsidP="002A4120">
      <w:pPr>
        <w:spacing w:line="480" w:lineRule="auto"/>
        <w:jc w:val="both"/>
        <w:rPr>
          <w:rFonts w:ascii="Times New Roman" w:hAnsi="Times New Roman" w:cs="Times New Roman"/>
          <w:b/>
          <w:bCs/>
          <w:sz w:val="20"/>
          <w:szCs w:val="20"/>
        </w:rPr>
      </w:pPr>
      <w:r w:rsidRPr="008E7A74">
        <w:rPr>
          <w:rFonts w:ascii="Times New Roman" w:hAnsi="Times New Roman" w:cs="Times New Roman"/>
          <w:b/>
          <w:bCs/>
          <w:sz w:val="20"/>
          <w:szCs w:val="20"/>
        </w:rPr>
        <w:t>Joyce Dória</w:t>
      </w:r>
    </w:p>
    <w:p w14:paraId="2D127AB4" w14:textId="314B2498" w:rsidR="002A4120" w:rsidRPr="008E7A74" w:rsidRDefault="003864D8" w:rsidP="009E3B6C">
      <w:pPr>
        <w:spacing w:line="480" w:lineRule="auto"/>
        <w:jc w:val="both"/>
        <w:rPr>
          <w:rFonts w:ascii="Times New Roman" w:hAnsi="Times New Roman" w:cs="Times New Roman"/>
          <w:sz w:val="20"/>
          <w:szCs w:val="20"/>
        </w:rPr>
      </w:pPr>
      <w:r w:rsidRPr="008E7A74">
        <w:rPr>
          <w:rFonts w:ascii="Times New Roman" w:hAnsi="Times New Roman" w:cs="Times New Roman"/>
          <w:sz w:val="20"/>
          <w:szCs w:val="20"/>
        </w:rPr>
        <w:t>Departamento de Agricultura, Universidade Federal de Lavras</w:t>
      </w:r>
      <w:r w:rsidR="002A4120" w:rsidRPr="008E7A74">
        <w:rPr>
          <w:rFonts w:ascii="Times New Roman" w:hAnsi="Times New Roman" w:cs="Times New Roman"/>
          <w:sz w:val="20"/>
          <w:szCs w:val="20"/>
        </w:rPr>
        <w:t xml:space="preserve">, Lavras, Minas Gerais, Brazil. ORCID: </w:t>
      </w:r>
      <w:r w:rsidR="002A4120" w:rsidRPr="007A1A3A">
        <w:rPr>
          <w:color w:val="4472C4" w:themeColor="accent1"/>
        </w:rPr>
        <w:fldChar w:fldCharType="begin"/>
      </w:r>
      <w:r w:rsidR="002A4120" w:rsidRPr="007A1A3A">
        <w:rPr>
          <w:color w:val="4472C4" w:themeColor="accent1"/>
        </w:rPr>
        <w:instrText>HYPERLINK "https://orcid.org/0000-0002-7727-5016"</w:instrText>
      </w:r>
      <w:r w:rsidR="002A4120" w:rsidRPr="007A1A3A">
        <w:rPr>
          <w:color w:val="4472C4" w:themeColor="accent1"/>
        </w:rPr>
      </w:r>
      <w:r w:rsidR="002A4120" w:rsidRPr="007A1A3A">
        <w:rPr>
          <w:color w:val="4472C4" w:themeColor="accent1"/>
        </w:rPr>
        <w:fldChar w:fldCharType="separate"/>
      </w:r>
      <w:r w:rsidR="002A4120" w:rsidRPr="007A1A3A">
        <w:rPr>
          <w:rStyle w:val="Hyperlink"/>
          <w:rFonts w:ascii="Times New Roman" w:hAnsi="Times New Roman" w:cs="Times New Roman"/>
          <w:color w:val="4472C4" w:themeColor="accent1"/>
          <w:sz w:val="20"/>
          <w:szCs w:val="20"/>
        </w:rPr>
        <w:t>https://orcid.org/0000-0002-7727-5016</w:t>
      </w:r>
      <w:r w:rsidR="002A4120" w:rsidRPr="007A1A3A">
        <w:rPr>
          <w:color w:val="4472C4" w:themeColor="accent1"/>
        </w:rPr>
        <w:fldChar w:fldCharType="end"/>
      </w:r>
    </w:p>
    <w:p w14:paraId="38FA1173" w14:textId="77777777" w:rsidR="002A4120" w:rsidRPr="008E7A74" w:rsidRDefault="002A4120" w:rsidP="002A4120">
      <w:pPr>
        <w:spacing w:line="480" w:lineRule="auto"/>
        <w:rPr>
          <w:rFonts w:ascii="Times New Roman" w:hAnsi="Times New Roman" w:cs="Times New Roman"/>
          <w:b/>
          <w:bCs/>
          <w:sz w:val="20"/>
          <w:szCs w:val="20"/>
        </w:rPr>
      </w:pPr>
      <w:r w:rsidRPr="008E7A74">
        <w:rPr>
          <w:rFonts w:ascii="Times New Roman" w:hAnsi="Times New Roman" w:cs="Times New Roman"/>
          <w:b/>
          <w:bCs/>
          <w:sz w:val="20"/>
          <w:szCs w:val="20"/>
        </w:rPr>
        <w:lastRenderedPageBreak/>
        <w:t>Moacir Pasqual</w:t>
      </w:r>
    </w:p>
    <w:p w14:paraId="6D338432" w14:textId="49C79A24" w:rsidR="002A4120" w:rsidRPr="008E7A74" w:rsidRDefault="003864D8" w:rsidP="002A4120">
      <w:pPr>
        <w:spacing w:line="480" w:lineRule="auto"/>
        <w:jc w:val="both"/>
        <w:rPr>
          <w:rFonts w:ascii="Times New Roman" w:hAnsi="Times New Roman" w:cs="Times New Roman"/>
          <w:sz w:val="20"/>
          <w:szCs w:val="20"/>
          <w:lang w:val="en-GB"/>
        </w:rPr>
      </w:pPr>
      <w:r w:rsidRPr="008E7A74">
        <w:rPr>
          <w:rFonts w:ascii="Times New Roman" w:hAnsi="Times New Roman" w:cs="Times New Roman"/>
          <w:sz w:val="20"/>
          <w:szCs w:val="20"/>
        </w:rPr>
        <w:t>Departamento de Agricultura, Universidade Federal de Lavras</w:t>
      </w:r>
      <w:r w:rsidR="002A4120" w:rsidRPr="008E7A74">
        <w:rPr>
          <w:rFonts w:ascii="Times New Roman" w:hAnsi="Times New Roman" w:cs="Times New Roman"/>
          <w:sz w:val="20"/>
          <w:szCs w:val="20"/>
        </w:rPr>
        <w:t xml:space="preserve">, Lavras, Minas Gerais, Brazil. </w:t>
      </w:r>
      <w:r w:rsidR="002A4120" w:rsidRPr="008E7A74">
        <w:rPr>
          <w:rFonts w:ascii="Times New Roman" w:hAnsi="Times New Roman" w:cs="Times New Roman"/>
          <w:sz w:val="20"/>
          <w:szCs w:val="20"/>
          <w:lang w:val="en-US"/>
        </w:rPr>
        <w:t xml:space="preserve">ORCID: </w:t>
      </w:r>
      <w:hyperlink r:id="rId9" w:history="1">
        <w:r w:rsidR="002A4120" w:rsidRPr="007A1A3A">
          <w:rPr>
            <w:rStyle w:val="Hyperlink"/>
            <w:rFonts w:ascii="Times New Roman" w:hAnsi="Times New Roman" w:cs="Times New Roman"/>
            <w:color w:val="4472C4" w:themeColor="accent1"/>
            <w:sz w:val="20"/>
            <w:szCs w:val="20"/>
            <w:lang w:val="en-US"/>
          </w:rPr>
          <w:t>https://orcid.org/0000-0001-5612-9186</w:t>
        </w:r>
      </w:hyperlink>
    </w:p>
    <w:p w14:paraId="51A4EC42" w14:textId="77777777" w:rsidR="00077E99" w:rsidRPr="005B083B" w:rsidRDefault="00077E99" w:rsidP="00B33AA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
          <w:bCs/>
          <w:sz w:val="20"/>
          <w:szCs w:val="20"/>
          <w:lang w:val="en-US"/>
        </w:rPr>
      </w:pPr>
      <w:r w:rsidRPr="005B083B">
        <w:rPr>
          <w:rFonts w:ascii="Times New Roman" w:hAnsi="Times New Roman" w:cs="Times New Roman"/>
          <w:b/>
          <w:bCs/>
          <w:sz w:val="20"/>
          <w:szCs w:val="20"/>
          <w:lang w:val="en-US"/>
        </w:rPr>
        <w:t>ABSTRACT</w:t>
      </w:r>
    </w:p>
    <w:p w14:paraId="03CD9B00" w14:textId="134CE985" w:rsidR="00C62B6D" w:rsidRPr="00C62B6D" w:rsidRDefault="00C62B6D" w:rsidP="00C62B6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Cs/>
          <w:sz w:val="20"/>
          <w:szCs w:val="20"/>
          <w:highlight w:val="yellow"/>
          <w:lang w:val="en-US"/>
        </w:rPr>
      </w:pPr>
      <w:r w:rsidRPr="00C62B6D">
        <w:rPr>
          <w:rFonts w:ascii="Times New Roman" w:hAnsi="Times New Roman" w:cs="Times New Roman"/>
          <w:bCs/>
          <w:sz w:val="20"/>
          <w:szCs w:val="20"/>
          <w:highlight w:val="yellow"/>
          <w:lang w:val="en-US"/>
        </w:rPr>
        <w:t xml:space="preserve">Light quality is a key environmental factor regulating plant physiology, acting both as an energy source for photosynthesis and as a signal controlling growth and development through photoreceptors. This study evaluated the effects of different LED light qualities (white, blue, purple, and red) on the biometric, physiological, biochemical, elemental, and anatomical characteristics of cladodes of </w:t>
      </w:r>
      <w:r w:rsidRPr="00C62B6D">
        <w:rPr>
          <w:rFonts w:ascii="Times New Roman" w:hAnsi="Times New Roman" w:cs="Times New Roman"/>
          <w:bCs/>
          <w:i/>
          <w:iCs/>
          <w:sz w:val="20"/>
          <w:szCs w:val="20"/>
          <w:highlight w:val="yellow"/>
          <w:lang w:val="en-US"/>
        </w:rPr>
        <w:t>Selenicereus undatus</w:t>
      </w:r>
      <w:r w:rsidRPr="00C62B6D">
        <w:rPr>
          <w:rFonts w:ascii="Times New Roman" w:hAnsi="Times New Roman" w:cs="Times New Roman"/>
          <w:bCs/>
          <w:sz w:val="20"/>
          <w:szCs w:val="20"/>
          <w:highlight w:val="yellow"/>
          <w:lang w:val="en-US"/>
        </w:rPr>
        <w:t xml:space="preserve"> (Haw.) D.R. Hunt and </w:t>
      </w:r>
      <w:r w:rsidRPr="00C62B6D">
        <w:rPr>
          <w:rFonts w:ascii="Times New Roman" w:hAnsi="Times New Roman" w:cs="Times New Roman"/>
          <w:bCs/>
          <w:i/>
          <w:iCs/>
          <w:sz w:val="20"/>
          <w:szCs w:val="20"/>
          <w:highlight w:val="yellow"/>
          <w:lang w:val="en-US"/>
        </w:rPr>
        <w:t xml:space="preserve">Hylocereus </w:t>
      </w:r>
      <w:proofErr w:type="spellStart"/>
      <w:r w:rsidRPr="00C62B6D">
        <w:rPr>
          <w:rFonts w:ascii="Times New Roman" w:hAnsi="Times New Roman" w:cs="Times New Roman"/>
          <w:bCs/>
          <w:i/>
          <w:iCs/>
          <w:sz w:val="20"/>
          <w:szCs w:val="20"/>
          <w:highlight w:val="yellow"/>
          <w:lang w:val="en-US"/>
        </w:rPr>
        <w:t>polyrhizus</w:t>
      </w:r>
      <w:proofErr w:type="spellEnd"/>
      <w:r w:rsidRPr="00C62B6D">
        <w:rPr>
          <w:rFonts w:ascii="Times New Roman" w:hAnsi="Times New Roman" w:cs="Times New Roman"/>
          <w:bCs/>
          <w:sz w:val="20"/>
          <w:szCs w:val="20"/>
          <w:highlight w:val="yellow"/>
          <w:lang w:val="en-US"/>
        </w:rPr>
        <w:t xml:space="preserve"> (Salm-Dyck) R. Bauer (Cactaceae) micropropagated </w:t>
      </w:r>
      <w:r w:rsidRPr="00C62B6D">
        <w:rPr>
          <w:rFonts w:ascii="Times New Roman" w:hAnsi="Times New Roman" w:cs="Times New Roman"/>
          <w:bCs/>
          <w:i/>
          <w:iCs/>
          <w:sz w:val="20"/>
          <w:szCs w:val="20"/>
          <w:highlight w:val="yellow"/>
          <w:lang w:val="en-US"/>
        </w:rPr>
        <w:t>in vitro</w:t>
      </w:r>
      <w:r w:rsidRPr="00C62B6D">
        <w:rPr>
          <w:rFonts w:ascii="Times New Roman" w:hAnsi="Times New Roman" w:cs="Times New Roman"/>
          <w:bCs/>
          <w:sz w:val="20"/>
          <w:szCs w:val="20"/>
          <w:highlight w:val="yellow"/>
          <w:lang w:val="en-US"/>
        </w:rPr>
        <w:t xml:space="preserve"> and cultured on MS medium for 65 days. Growth parameters, photosynthetic pigments, bioactive compounds, mineral composition, and anatomical traits were assessed.</w:t>
      </w:r>
      <w:r>
        <w:rPr>
          <w:rFonts w:ascii="Times New Roman" w:hAnsi="Times New Roman" w:cs="Times New Roman"/>
          <w:bCs/>
          <w:sz w:val="20"/>
          <w:szCs w:val="20"/>
          <w:highlight w:val="yellow"/>
          <w:lang w:val="en-US"/>
        </w:rPr>
        <w:t xml:space="preserve"> </w:t>
      </w:r>
      <w:r w:rsidRPr="00C62B6D">
        <w:rPr>
          <w:rFonts w:ascii="Times New Roman" w:hAnsi="Times New Roman" w:cs="Times New Roman"/>
          <w:bCs/>
          <w:i/>
          <w:iCs/>
          <w:sz w:val="20"/>
          <w:szCs w:val="20"/>
          <w:highlight w:val="yellow"/>
          <w:lang w:val="en-US"/>
        </w:rPr>
        <w:t>Selenicereus undatus</w:t>
      </w:r>
      <w:r w:rsidRPr="00C62B6D">
        <w:rPr>
          <w:rFonts w:ascii="Times New Roman" w:hAnsi="Times New Roman" w:cs="Times New Roman"/>
          <w:bCs/>
          <w:sz w:val="20"/>
          <w:szCs w:val="20"/>
          <w:highlight w:val="yellow"/>
          <w:lang w:val="en-US"/>
        </w:rPr>
        <w:t xml:space="preserve"> showed greater biometric performance, with higher cladode diameter, shoot length, and biomass accumulation, particularly under purple and red light. In contrast, </w:t>
      </w:r>
      <w:r w:rsidRPr="00C62B6D">
        <w:rPr>
          <w:rFonts w:ascii="Times New Roman" w:hAnsi="Times New Roman" w:cs="Times New Roman"/>
          <w:bCs/>
          <w:i/>
          <w:iCs/>
          <w:sz w:val="20"/>
          <w:szCs w:val="20"/>
          <w:highlight w:val="yellow"/>
          <w:lang w:val="en-US"/>
        </w:rPr>
        <w:t xml:space="preserve">H. </w:t>
      </w:r>
      <w:proofErr w:type="spellStart"/>
      <w:r w:rsidRPr="00C62B6D">
        <w:rPr>
          <w:rFonts w:ascii="Times New Roman" w:hAnsi="Times New Roman" w:cs="Times New Roman"/>
          <w:bCs/>
          <w:i/>
          <w:iCs/>
          <w:sz w:val="20"/>
          <w:szCs w:val="20"/>
          <w:highlight w:val="yellow"/>
          <w:lang w:val="en-US"/>
        </w:rPr>
        <w:t>polyrhizus</w:t>
      </w:r>
      <w:proofErr w:type="spellEnd"/>
      <w:r w:rsidRPr="00C62B6D">
        <w:rPr>
          <w:rFonts w:ascii="Times New Roman" w:hAnsi="Times New Roman" w:cs="Times New Roman"/>
          <w:bCs/>
          <w:sz w:val="20"/>
          <w:szCs w:val="20"/>
          <w:highlight w:val="yellow"/>
          <w:lang w:val="en-US"/>
        </w:rPr>
        <w:t xml:space="preserve"> exhibited </w:t>
      </w:r>
      <w:r w:rsidRPr="0058723E">
        <w:rPr>
          <w:rFonts w:ascii="Times New Roman" w:hAnsi="Times New Roman" w:cs="Times New Roman"/>
          <w:bCs/>
          <w:sz w:val="20"/>
          <w:szCs w:val="20"/>
          <w:highlight w:val="yellow"/>
          <w:lang w:val="en-US"/>
        </w:rPr>
        <w:t xml:space="preserve">higher accumulation of photosynthetic pigments, especially under white light. Raman spectral analysis indicated treatment-dependent variation in carotenoid-related profiles in </w:t>
      </w:r>
      <w:r w:rsidRPr="0058723E">
        <w:rPr>
          <w:rFonts w:ascii="Times New Roman" w:hAnsi="Times New Roman" w:cs="Times New Roman"/>
          <w:bCs/>
          <w:i/>
          <w:iCs/>
          <w:sz w:val="20"/>
          <w:szCs w:val="20"/>
          <w:highlight w:val="yellow"/>
          <w:lang w:val="en-US"/>
        </w:rPr>
        <w:t>S. undatus</w:t>
      </w:r>
      <w:r w:rsidRPr="0058723E">
        <w:rPr>
          <w:rFonts w:ascii="Times New Roman" w:hAnsi="Times New Roman" w:cs="Times New Roman"/>
          <w:bCs/>
          <w:sz w:val="20"/>
          <w:szCs w:val="20"/>
          <w:highlight w:val="yellow"/>
          <w:lang w:val="en-US"/>
        </w:rPr>
        <w:t xml:space="preserve">, whereas </w:t>
      </w:r>
      <w:r w:rsidRPr="0058723E">
        <w:rPr>
          <w:rFonts w:ascii="Times New Roman" w:hAnsi="Times New Roman" w:cs="Times New Roman"/>
          <w:bCs/>
          <w:i/>
          <w:iCs/>
          <w:sz w:val="20"/>
          <w:szCs w:val="20"/>
          <w:highlight w:val="yellow"/>
          <w:lang w:val="en-US"/>
        </w:rPr>
        <w:t xml:space="preserve">H. </w:t>
      </w:r>
      <w:proofErr w:type="spellStart"/>
      <w:r w:rsidRPr="0058723E">
        <w:rPr>
          <w:rFonts w:ascii="Times New Roman" w:hAnsi="Times New Roman" w:cs="Times New Roman"/>
          <w:bCs/>
          <w:i/>
          <w:iCs/>
          <w:sz w:val="20"/>
          <w:szCs w:val="20"/>
          <w:highlight w:val="yellow"/>
          <w:lang w:val="en-US"/>
        </w:rPr>
        <w:t>polyrhizus</w:t>
      </w:r>
      <w:proofErr w:type="spellEnd"/>
      <w:r w:rsidRPr="0058723E">
        <w:rPr>
          <w:rFonts w:ascii="Times New Roman" w:hAnsi="Times New Roman" w:cs="Times New Roman"/>
          <w:bCs/>
          <w:sz w:val="20"/>
          <w:szCs w:val="20"/>
          <w:highlight w:val="yellow"/>
          <w:lang w:val="en-US"/>
        </w:rPr>
        <w:t xml:space="preserve"> showed stronger responses under purple and white light. Elemental analysis </w:t>
      </w:r>
      <w:r w:rsidRPr="00C62B6D">
        <w:rPr>
          <w:rFonts w:ascii="Times New Roman" w:hAnsi="Times New Roman" w:cs="Times New Roman"/>
          <w:bCs/>
          <w:sz w:val="20"/>
          <w:szCs w:val="20"/>
          <w:highlight w:val="yellow"/>
          <w:lang w:val="en-US"/>
        </w:rPr>
        <w:t xml:space="preserve">identified potassium as the predominant element in both species; however, </w:t>
      </w:r>
      <w:r w:rsidRPr="00C62B6D">
        <w:rPr>
          <w:rFonts w:ascii="Times New Roman" w:hAnsi="Times New Roman" w:cs="Times New Roman"/>
          <w:bCs/>
          <w:i/>
          <w:iCs/>
          <w:sz w:val="20"/>
          <w:szCs w:val="20"/>
          <w:highlight w:val="yellow"/>
          <w:lang w:val="en-US"/>
        </w:rPr>
        <w:t>S. undatus</w:t>
      </w:r>
      <w:r w:rsidRPr="00C62B6D">
        <w:rPr>
          <w:rFonts w:ascii="Times New Roman" w:hAnsi="Times New Roman" w:cs="Times New Roman"/>
          <w:bCs/>
          <w:sz w:val="20"/>
          <w:szCs w:val="20"/>
          <w:highlight w:val="yellow"/>
          <w:lang w:val="en-US"/>
        </w:rPr>
        <w:t xml:space="preserve"> showed higher relative accumulation of Mg, P, Cl, and Zn, while </w:t>
      </w:r>
      <w:r w:rsidRPr="00C62B6D">
        <w:rPr>
          <w:rFonts w:ascii="Times New Roman" w:hAnsi="Times New Roman" w:cs="Times New Roman"/>
          <w:bCs/>
          <w:i/>
          <w:iCs/>
          <w:sz w:val="20"/>
          <w:szCs w:val="20"/>
          <w:highlight w:val="yellow"/>
          <w:lang w:val="en-US"/>
        </w:rPr>
        <w:t xml:space="preserve">H. </w:t>
      </w:r>
      <w:proofErr w:type="spellStart"/>
      <w:r w:rsidRPr="00C62B6D">
        <w:rPr>
          <w:rFonts w:ascii="Times New Roman" w:hAnsi="Times New Roman" w:cs="Times New Roman"/>
          <w:bCs/>
          <w:i/>
          <w:iCs/>
          <w:sz w:val="20"/>
          <w:szCs w:val="20"/>
          <w:highlight w:val="yellow"/>
          <w:lang w:val="en-US"/>
        </w:rPr>
        <w:t>polyrhizus</w:t>
      </w:r>
      <w:proofErr w:type="spellEnd"/>
      <w:r w:rsidRPr="00C62B6D">
        <w:rPr>
          <w:rFonts w:ascii="Times New Roman" w:hAnsi="Times New Roman" w:cs="Times New Roman"/>
          <w:bCs/>
          <w:sz w:val="20"/>
          <w:szCs w:val="20"/>
          <w:highlight w:val="yellow"/>
          <w:lang w:val="en-US"/>
        </w:rPr>
        <w:t xml:space="preserve"> exhibited higher levels of K, Ca, S, Fe, and Na. Principal component analysis revealed treatment-dependent variation in elemental profiles, with red light associated with higher relative Na and Cl, and blue light associated with higher relative Fe and Mn.</w:t>
      </w:r>
      <w:r>
        <w:rPr>
          <w:rFonts w:ascii="Times New Roman" w:hAnsi="Times New Roman" w:cs="Times New Roman"/>
          <w:bCs/>
          <w:sz w:val="20"/>
          <w:szCs w:val="20"/>
          <w:highlight w:val="yellow"/>
          <w:lang w:val="en-US"/>
        </w:rPr>
        <w:t xml:space="preserve"> </w:t>
      </w:r>
      <w:r w:rsidRPr="00C62B6D">
        <w:rPr>
          <w:rFonts w:ascii="Times New Roman" w:hAnsi="Times New Roman" w:cs="Times New Roman"/>
          <w:bCs/>
          <w:sz w:val="20"/>
          <w:szCs w:val="20"/>
          <w:highlight w:val="yellow"/>
          <w:lang w:val="en-US"/>
        </w:rPr>
        <w:t xml:space="preserve">Overall, purple and red light were associated with stronger growth responses in </w:t>
      </w:r>
      <w:r w:rsidRPr="00C62B6D">
        <w:rPr>
          <w:rFonts w:ascii="Times New Roman" w:hAnsi="Times New Roman" w:cs="Times New Roman"/>
          <w:bCs/>
          <w:i/>
          <w:iCs/>
          <w:sz w:val="20"/>
          <w:szCs w:val="20"/>
          <w:highlight w:val="yellow"/>
          <w:lang w:val="en-US"/>
        </w:rPr>
        <w:t>S. undatus</w:t>
      </w:r>
      <w:r w:rsidRPr="00C62B6D">
        <w:rPr>
          <w:rFonts w:ascii="Times New Roman" w:hAnsi="Times New Roman" w:cs="Times New Roman"/>
          <w:bCs/>
          <w:sz w:val="20"/>
          <w:szCs w:val="20"/>
          <w:highlight w:val="yellow"/>
          <w:lang w:val="en-US"/>
        </w:rPr>
        <w:t xml:space="preserve">, whereas white and blue light were more favorable for </w:t>
      </w:r>
      <w:r w:rsidRPr="00C62B6D">
        <w:rPr>
          <w:rFonts w:ascii="Times New Roman" w:hAnsi="Times New Roman" w:cs="Times New Roman"/>
          <w:bCs/>
          <w:i/>
          <w:iCs/>
          <w:sz w:val="20"/>
          <w:szCs w:val="20"/>
          <w:highlight w:val="yellow"/>
          <w:lang w:val="en-US"/>
        </w:rPr>
        <w:t xml:space="preserve">H. </w:t>
      </w:r>
      <w:proofErr w:type="spellStart"/>
      <w:r w:rsidRPr="00C62B6D">
        <w:rPr>
          <w:rFonts w:ascii="Times New Roman" w:hAnsi="Times New Roman" w:cs="Times New Roman"/>
          <w:bCs/>
          <w:i/>
          <w:iCs/>
          <w:sz w:val="20"/>
          <w:szCs w:val="20"/>
          <w:highlight w:val="yellow"/>
          <w:lang w:val="en-US"/>
        </w:rPr>
        <w:t>polyrhizus</w:t>
      </w:r>
      <w:proofErr w:type="spellEnd"/>
      <w:r w:rsidRPr="00C62B6D">
        <w:rPr>
          <w:rFonts w:ascii="Times New Roman" w:hAnsi="Times New Roman" w:cs="Times New Roman"/>
          <w:bCs/>
          <w:sz w:val="20"/>
          <w:szCs w:val="20"/>
          <w:highlight w:val="yellow"/>
          <w:lang w:val="en-US"/>
        </w:rPr>
        <w:t xml:space="preserve">. These findings highlight species-specific responses to LED light environments and provide a basis for optimizing </w:t>
      </w:r>
      <w:r w:rsidRPr="00C62B6D">
        <w:rPr>
          <w:rFonts w:ascii="Times New Roman" w:hAnsi="Times New Roman" w:cs="Times New Roman"/>
          <w:bCs/>
          <w:i/>
          <w:iCs/>
          <w:sz w:val="20"/>
          <w:szCs w:val="20"/>
          <w:highlight w:val="yellow"/>
          <w:lang w:val="en-US"/>
        </w:rPr>
        <w:t>in vitro</w:t>
      </w:r>
      <w:r w:rsidRPr="00C62B6D">
        <w:rPr>
          <w:rFonts w:ascii="Times New Roman" w:hAnsi="Times New Roman" w:cs="Times New Roman"/>
          <w:bCs/>
          <w:sz w:val="20"/>
          <w:szCs w:val="20"/>
          <w:highlight w:val="yellow"/>
          <w:lang w:val="en-US"/>
        </w:rPr>
        <w:t xml:space="preserve"> cultivation strategies for pitaya.</w:t>
      </w:r>
      <w:r>
        <w:rPr>
          <w:rFonts w:ascii="Times New Roman" w:hAnsi="Times New Roman" w:cs="Times New Roman"/>
          <w:bCs/>
          <w:sz w:val="20"/>
          <w:szCs w:val="20"/>
          <w:highlight w:val="yellow"/>
          <w:lang w:val="en-US"/>
        </w:rPr>
        <w:t xml:space="preserve"> </w:t>
      </w:r>
      <w:r w:rsidRPr="00C62B6D">
        <w:rPr>
          <w:rFonts w:ascii="Times New Roman" w:hAnsi="Times New Roman" w:cs="Times New Roman"/>
          <w:bCs/>
          <w:sz w:val="20"/>
          <w:szCs w:val="20"/>
          <w:highlight w:val="yellow"/>
          <w:lang w:val="en-US"/>
        </w:rPr>
        <w:t>Because light intensity was estimated using lux-based measurements and literature-derived conversion factors, PPFD values among treatments should be interpreted as approximate, and observed responses may reflect combined effects of spectral composition and estimated photon flux density.</w:t>
      </w:r>
    </w:p>
    <w:p w14:paraId="0F14DDD9" w14:textId="77777777" w:rsidR="005C7969" w:rsidRPr="005B083B" w:rsidRDefault="005C7969" w:rsidP="00B33AA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0"/>
          <w:szCs w:val="20"/>
          <w:lang w:val="en-US"/>
        </w:rPr>
      </w:pPr>
    </w:p>
    <w:p w14:paraId="5665CA70" w14:textId="47514C8A" w:rsidR="00DF3B44" w:rsidRPr="005B083B" w:rsidRDefault="00DF3B44" w:rsidP="00352A16">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hAnsi="Times New Roman" w:cs="Times New Roman"/>
          <w:sz w:val="20"/>
          <w:szCs w:val="20"/>
          <w:lang w:val="en-US"/>
        </w:rPr>
      </w:pPr>
      <w:r w:rsidRPr="005B083B">
        <w:rPr>
          <w:rFonts w:ascii="Times New Roman" w:hAnsi="Times New Roman" w:cs="Times New Roman"/>
          <w:b/>
          <w:bCs/>
          <w:sz w:val="20"/>
          <w:szCs w:val="20"/>
          <w:lang w:val="en-US"/>
        </w:rPr>
        <w:t xml:space="preserve">Keywords: </w:t>
      </w:r>
      <w:r w:rsidR="00761465" w:rsidRPr="005B083B">
        <w:rPr>
          <w:rFonts w:ascii="Times New Roman" w:hAnsi="Times New Roman" w:cs="Times New Roman"/>
          <w:i/>
          <w:iCs/>
          <w:sz w:val="20"/>
          <w:szCs w:val="20"/>
          <w:lang w:val="en-US"/>
        </w:rPr>
        <w:t xml:space="preserve">Hylocereus </w:t>
      </w:r>
      <w:proofErr w:type="spellStart"/>
      <w:r w:rsidR="00761465" w:rsidRPr="005B083B">
        <w:rPr>
          <w:rFonts w:ascii="Times New Roman" w:hAnsi="Times New Roman" w:cs="Times New Roman"/>
          <w:i/>
          <w:iCs/>
          <w:sz w:val="20"/>
          <w:szCs w:val="20"/>
          <w:lang w:val="en-US"/>
        </w:rPr>
        <w:t>polyrhizus</w:t>
      </w:r>
      <w:proofErr w:type="spellEnd"/>
      <w:r w:rsidR="00761465" w:rsidRPr="005B083B">
        <w:rPr>
          <w:rFonts w:ascii="Times New Roman" w:hAnsi="Times New Roman" w:cs="Times New Roman"/>
          <w:sz w:val="20"/>
          <w:szCs w:val="20"/>
          <w:lang w:val="en-US"/>
        </w:rPr>
        <w:t xml:space="preserve">; Photomorphogenesis; Plant tissue culture; </w:t>
      </w:r>
      <w:r w:rsidR="00761465" w:rsidRPr="005B083B">
        <w:rPr>
          <w:rFonts w:ascii="Times New Roman" w:hAnsi="Times New Roman" w:cs="Times New Roman"/>
          <w:i/>
          <w:iCs/>
          <w:sz w:val="20"/>
          <w:szCs w:val="20"/>
          <w:lang w:val="en-US"/>
        </w:rPr>
        <w:t>Selenicereus undatus</w:t>
      </w:r>
      <w:r w:rsidR="00761465" w:rsidRPr="005B083B">
        <w:rPr>
          <w:rFonts w:ascii="Times New Roman" w:hAnsi="Times New Roman" w:cs="Times New Roman"/>
          <w:sz w:val="20"/>
          <w:szCs w:val="20"/>
          <w:lang w:val="en-US"/>
        </w:rPr>
        <w:t>; Vascular anatomy.</w:t>
      </w:r>
    </w:p>
    <w:p w14:paraId="34B8BE0F" w14:textId="77777777" w:rsidR="00D443AD" w:rsidRPr="005B083B" w:rsidRDefault="00D443AD" w:rsidP="00352A16">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hAnsi="Times New Roman" w:cs="Times New Roman"/>
          <w:b/>
          <w:bCs/>
          <w:sz w:val="20"/>
          <w:szCs w:val="20"/>
          <w:lang w:val="en-US"/>
        </w:rPr>
      </w:pPr>
    </w:p>
    <w:p w14:paraId="62C0B77D" w14:textId="0DC6B857" w:rsidR="00CA26BD" w:rsidRPr="005B083B" w:rsidRDefault="00CA26BD" w:rsidP="00352A16">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hAnsi="Times New Roman" w:cs="Times New Roman"/>
          <w:sz w:val="20"/>
          <w:szCs w:val="20"/>
          <w:lang w:val="en-US"/>
        </w:rPr>
      </w:pPr>
      <w:r w:rsidRPr="005B083B">
        <w:rPr>
          <w:rFonts w:ascii="Times New Roman" w:hAnsi="Times New Roman" w:cs="Times New Roman"/>
          <w:b/>
          <w:bCs/>
          <w:sz w:val="20"/>
          <w:szCs w:val="20"/>
          <w:lang w:val="en-US"/>
        </w:rPr>
        <w:t>Key Message</w:t>
      </w:r>
      <w:r w:rsidRPr="005B083B">
        <w:rPr>
          <w:rFonts w:ascii="Times New Roman" w:hAnsi="Times New Roman" w:cs="Times New Roman"/>
          <w:sz w:val="20"/>
          <w:szCs w:val="20"/>
          <w:lang w:val="en-US"/>
        </w:rPr>
        <w:t xml:space="preserve">: </w:t>
      </w:r>
      <w:r w:rsidR="00281C41" w:rsidRPr="005B083B">
        <w:rPr>
          <w:rFonts w:ascii="Times New Roman" w:hAnsi="Times New Roman" w:cs="Times New Roman"/>
          <w:sz w:val="20"/>
          <w:szCs w:val="20"/>
          <w:lang w:val="en-US"/>
        </w:rPr>
        <w:t xml:space="preserve">LED light quality differentially modulates </w:t>
      </w:r>
      <w:r w:rsidR="00281C41" w:rsidRPr="005B083B">
        <w:rPr>
          <w:rFonts w:ascii="Times New Roman" w:hAnsi="Times New Roman" w:cs="Times New Roman"/>
          <w:i/>
          <w:iCs/>
          <w:sz w:val="20"/>
          <w:szCs w:val="20"/>
          <w:lang w:val="en-US"/>
        </w:rPr>
        <w:t>Selenicereus undatus</w:t>
      </w:r>
      <w:r w:rsidR="00281C41" w:rsidRPr="005B083B">
        <w:rPr>
          <w:rFonts w:ascii="Times New Roman" w:hAnsi="Times New Roman" w:cs="Times New Roman"/>
          <w:sz w:val="20"/>
          <w:szCs w:val="20"/>
          <w:lang w:val="en-US"/>
        </w:rPr>
        <w:t xml:space="preserve"> and </w:t>
      </w:r>
      <w:r w:rsidR="00281C41" w:rsidRPr="005B083B">
        <w:rPr>
          <w:rFonts w:ascii="Times New Roman" w:hAnsi="Times New Roman" w:cs="Times New Roman"/>
          <w:i/>
          <w:iCs/>
          <w:sz w:val="20"/>
          <w:szCs w:val="20"/>
          <w:lang w:val="en-US"/>
        </w:rPr>
        <w:t xml:space="preserve">Hylocereus </w:t>
      </w:r>
      <w:proofErr w:type="spellStart"/>
      <w:r w:rsidR="00281C41" w:rsidRPr="005B083B">
        <w:rPr>
          <w:rFonts w:ascii="Times New Roman" w:hAnsi="Times New Roman" w:cs="Times New Roman"/>
          <w:i/>
          <w:iCs/>
          <w:sz w:val="20"/>
          <w:szCs w:val="20"/>
          <w:lang w:val="en-US"/>
        </w:rPr>
        <w:t>polyrhizus</w:t>
      </w:r>
      <w:proofErr w:type="spellEnd"/>
      <w:r w:rsidR="00281C41" w:rsidRPr="005B083B">
        <w:rPr>
          <w:rFonts w:ascii="Times New Roman" w:hAnsi="Times New Roman" w:cs="Times New Roman"/>
          <w:sz w:val="20"/>
          <w:szCs w:val="20"/>
          <w:lang w:val="en-US"/>
        </w:rPr>
        <w:t xml:space="preserve"> physiology and anatomy, optimizing micropropagation according to species-specific responses for growth and pigmentation. </w:t>
      </w:r>
      <w:r w:rsidR="00D52A63" w:rsidRPr="005B083B">
        <w:rPr>
          <w:rFonts w:ascii="Times New Roman" w:hAnsi="Times New Roman" w:cs="Times New Roman"/>
          <w:sz w:val="20"/>
          <w:szCs w:val="20"/>
          <w:lang w:val="en-US"/>
        </w:rPr>
        <w:t xml:space="preserve"> </w:t>
      </w:r>
    </w:p>
    <w:p w14:paraId="5EDEA793" w14:textId="77777777" w:rsidR="007F6FCB" w:rsidRPr="005B083B" w:rsidRDefault="007F6FCB" w:rsidP="00352A16">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hAnsi="Times New Roman" w:cs="Times New Roman"/>
          <w:sz w:val="20"/>
          <w:szCs w:val="20"/>
          <w:lang w:val="en-US"/>
        </w:rPr>
      </w:pPr>
    </w:p>
    <w:p w14:paraId="2B194BAF" w14:textId="1FA42EF5" w:rsidR="00CA26BD" w:rsidRPr="005B083B" w:rsidRDefault="00045FD2" w:rsidP="00352A16">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hAnsi="Times New Roman" w:cs="Times New Roman"/>
          <w:sz w:val="20"/>
          <w:szCs w:val="20"/>
          <w:lang w:val="en-US"/>
        </w:rPr>
      </w:pPr>
      <w:r w:rsidRPr="005B083B">
        <w:rPr>
          <w:rFonts w:ascii="Times New Roman" w:hAnsi="Times New Roman" w:cs="Times New Roman"/>
          <w:b/>
          <w:bCs/>
          <w:sz w:val="20"/>
          <w:szCs w:val="20"/>
          <w:lang w:val="en-US"/>
        </w:rPr>
        <w:t>Abbreviations</w:t>
      </w:r>
      <w:r w:rsidRPr="005B083B">
        <w:rPr>
          <w:rFonts w:ascii="Times New Roman" w:hAnsi="Times New Roman" w:cs="Times New Roman"/>
          <w:sz w:val="20"/>
          <w:szCs w:val="20"/>
          <w:lang w:val="en-US"/>
        </w:rPr>
        <w:t xml:space="preserve">: </w:t>
      </w:r>
      <w:r w:rsidRPr="005B083B">
        <w:rPr>
          <w:rFonts w:ascii="Times New Roman" w:hAnsi="Times New Roman" w:cs="Times New Roman"/>
          <w:b/>
          <w:bCs/>
          <w:sz w:val="20"/>
          <w:szCs w:val="20"/>
          <w:lang w:val="en-US"/>
        </w:rPr>
        <w:t>PPFD</w:t>
      </w:r>
      <w:r w:rsidR="00A355DB" w:rsidRPr="005B083B">
        <w:rPr>
          <w:rFonts w:ascii="Times New Roman" w:hAnsi="Times New Roman" w:cs="Times New Roman"/>
          <w:sz w:val="20"/>
          <w:szCs w:val="20"/>
          <w:lang w:val="en-US"/>
        </w:rPr>
        <w:t>:</w:t>
      </w:r>
      <w:r w:rsidRPr="005B083B">
        <w:rPr>
          <w:rFonts w:ascii="Times New Roman" w:hAnsi="Times New Roman" w:cs="Times New Roman"/>
          <w:sz w:val="20"/>
          <w:szCs w:val="20"/>
          <w:lang w:val="en-US"/>
        </w:rPr>
        <w:t xml:space="preserve"> Photosynthetic </w:t>
      </w:r>
      <w:r w:rsidR="003738AF" w:rsidRPr="005B083B">
        <w:rPr>
          <w:rFonts w:ascii="Times New Roman" w:hAnsi="Times New Roman" w:cs="Times New Roman"/>
          <w:sz w:val="20"/>
          <w:szCs w:val="20"/>
          <w:lang w:val="en-US"/>
        </w:rPr>
        <w:t xml:space="preserve">  </w:t>
      </w:r>
      <w:r w:rsidRPr="005B083B">
        <w:rPr>
          <w:rFonts w:ascii="Times New Roman" w:hAnsi="Times New Roman" w:cs="Times New Roman"/>
          <w:sz w:val="20"/>
          <w:szCs w:val="20"/>
          <w:lang w:val="en-US"/>
        </w:rPr>
        <w:t>Photon Flux Density</w:t>
      </w:r>
      <w:r w:rsidR="00C63A0C" w:rsidRPr="005B083B">
        <w:rPr>
          <w:rFonts w:ascii="Times New Roman" w:hAnsi="Times New Roman" w:cs="Times New Roman"/>
          <w:sz w:val="20"/>
          <w:szCs w:val="20"/>
          <w:lang w:val="en-US"/>
        </w:rPr>
        <w:t>;</w:t>
      </w:r>
      <w:r w:rsidR="00A355DB" w:rsidRPr="005B083B">
        <w:rPr>
          <w:rFonts w:ascii="Times New Roman" w:hAnsi="Times New Roman" w:cs="Times New Roman"/>
          <w:sz w:val="20"/>
          <w:szCs w:val="20"/>
          <w:lang w:val="en-US"/>
        </w:rPr>
        <w:t xml:space="preserve"> </w:t>
      </w:r>
      <w:r w:rsidR="0017078F" w:rsidRPr="005B083B">
        <w:rPr>
          <w:rFonts w:ascii="Times New Roman" w:hAnsi="Times New Roman" w:cs="Times New Roman"/>
          <w:b/>
          <w:bCs/>
          <w:sz w:val="20"/>
          <w:szCs w:val="20"/>
          <w:lang w:val="en-US"/>
        </w:rPr>
        <w:t>LQ</w:t>
      </w:r>
      <w:r w:rsidR="0017078F" w:rsidRPr="005B083B">
        <w:rPr>
          <w:rFonts w:ascii="Times New Roman" w:hAnsi="Times New Roman" w:cs="Times New Roman"/>
          <w:sz w:val="20"/>
          <w:szCs w:val="20"/>
          <w:lang w:val="en-US"/>
        </w:rPr>
        <w:t xml:space="preserve">: </w:t>
      </w:r>
      <w:r w:rsidR="00A355DB" w:rsidRPr="005B083B">
        <w:rPr>
          <w:rFonts w:ascii="Times New Roman" w:hAnsi="Times New Roman" w:cs="Times New Roman"/>
          <w:sz w:val="20"/>
          <w:szCs w:val="20"/>
          <w:lang w:val="en-US"/>
        </w:rPr>
        <w:t>Light Qualities</w:t>
      </w:r>
      <w:r w:rsidR="0017078F" w:rsidRPr="005B083B">
        <w:rPr>
          <w:rFonts w:ascii="Times New Roman" w:hAnsi="Times New Roman" w:cs="Times New Roman"/>
          <w:sz w:val="20"/>
          <w:szCs w:val="20"/>
          <w:lang w:val="en-US"/>
        </w:rPr>
        <w:t xml:space="preserve">; </w:t>
      </w:r>
      <w:r w:rsidR="00122BAD" w:rsidRPr="005B083B">
        <w:rPr>
          <w:rFonts w:ascii="Times New Roman" w:hAnsi="Times New Roman" w:cs="Times New Roman"/>
          <w:b/>
          <w:bCs/>
          <w:sz w:val="20"/>
          <w:szCs w:val="20"/>
          <w:lang w:val="en-US"/>
        </w:rPr>
        <w:t>WL</w:t>
      </w:r>
      <w:r w:rsidR="00122BAD" w:rsidRPr="005B083B">
        <w:rPr>
          <w:rFonts w:ascii="Times New Roman" w:hAnsi="Times New Roman" w:cs="Times New Roman"/>
          <w:sz w:val="20"/>
          <w:szCs w:val="20"/>
          <w:lang w:val="en-US"/>
        </w:rPr>
        <w:t xml:space="preserve">: White Light; </w:t>
      </w:r>
      <w:r w:rsidR="00122BAD" w:rsidRPr="005B083B">
        <w:rPr>
          <w:rFonts w:ascii="Times New Roman" w:hAnsi="Times New Roman" w:cs="Times New Roman"/>
          <w:b/>
          <w:bCs/>
          <w:sz w:val="20"/>
          <w:szCs w:val="20"/>
          <w:lang w:val="en-US"/>
        </w:rPr>
        <w:t>BL</w:t>
      </w:r>
      <w:r w:rsidR="00122BAD" w:rsidRPr="005B083B">
        <w:rPr>
          <w:rFonts w:ascii="Times New Roman" w:hAnsi="Times New Roman" w:cs="Times New Roman"/>
          <w:sz w:val="20"/>
          <w:szCs w:val="20"/>
          <w:lang w:val="en-US"/>
        </w:rPr>
        <w:t xml:space="preserve">: Blue Light; </w:t>
      </w:r>
      <w:r w:rsidR="002C1BBD" w:rsidRPr="005B083B">
        <w:rPr>
          <w:rFonts w:ascii="Times New Roman" w:hAnsi="Times New Roman" w:cs="Times New Roman"/>
          <w:b/>
          <w:bCs/>
          <w:sz w:val="20"/>
          <w:szCs w:val="20"/>
          <w:lang w:val="en-US"/>
        </w:rPr>
        <w:t>PL</w:t>
      </w:r>
      <w:r w:rsidR="002C1BBD" w:rsidRPr="005B083B">
        <w:rPr>
          <w:rFonts w:ascii="Times New Roman" w:hAnsi="Times New Roman" w:cs="Times New Roman"/>
          <w:sz w:val="20"/>
          <w:szCs w:val="20"/>
          <w:lang w:val="en-US"/>
        </w:rPr>
        <w:t>: Purple Light;</w:t>
      </w:r>
      <w:r w:rsidR="00833064" w:rsidRPr="005B083B">
        <w:rPr>
          <w:rFonts w:ascii="Times New Roman" w:hAnsi="Times New Roman" w:cs="Times New Roman"/>
          <w:b/>
          <w:bCs/>
          <w:sz w:val="20"/>
          <w:szCs w:val="20"/>
          <w:lang w:val="en-US"/>
        </w:rPr>
        <w:t xml:space="preserve"> </w:t>
      </w:r>
      <w:r w:rsidR="00122BAD" w:rsidRPr="005B083B">
        <w:rPr>
          <w:rFonts w:ascii="Times New Roman" w:hAnsi="Times New Roman" w:cs="Times New Roman"/>
          <w:b/>
          <w:bCs/>
          <w:sz w:val="20"/>
          <w:szCs w:val="20"/>
          <w:lang w:val="en-US"/>
        </w:rPr>
        <w:t>RL</w:t>
      </w:r>
      <w:r w:rsidR="00122BAD" w:rsidRPr="005B083B">
        <w:rPr>
          <w:rFonts w:ascii="Times New Roman" w:hAnsi="Times New Roman" w:cs="Times New Roman"/>
          <w:sz w:val="20"/>
          <w:szCs w:val="20"/>
          <w:lang w:val="en-US"/>
        </w:rPr>
        <w:t xml:space="preserve">: Red Light; </w:t>
      </w:r>
      <w:r w:rsidR="007D6C47" w:rsidRPr="005B083B">
        <w:rPr>
          <w:rFonts w:ascii="Times New Roman" w:hAnsi="Times New Roman" w:cs="Times New Roman"/>
          <w:b/>
          <w:bCs/>
          <w:sz w:val="20"/>
          <w:szCs w:val="20"/>
          <w:lang w:val="en-US"/>
        </w:rPr>
        <w:t>CR</w:t>
      </w:r>
      <w:r w:rsidR="000E16C3" w:rsidRPr="005B083B">
        <w:rPr>
          <w:rFonts w:ascii="Times New Roman" w:hAnsi="Times New Roman" w:cs="Times New Roman"/>
          <w:sz w:val="20"/>
          <w:szCs w:val="20"/>
          <w:lang w:val="en-US"/>
        </w:rPr>
        <w:t xml:space="preserve">: Central </w:t>
      </w:r>
      <w:r w:rsidR="00A44A1B" w:rsidRPr="005B083B">
        <w:rPr>
          <w:rFonts w:ascii="Times New Roman" w:hAnsi="Times New Roman" w:cs="Times New Roman"/>
          <w:sz w:val="20"/>
          <w:szCs w:val="20"/>
          <w:lang w:val="en-US"/>
        </w:rPr>
        <w:t>R</w:t>
      </w:r>
      <w:r w:rsidR="000E16C3" w:rsidRPr="005B083B">
        <w:rPr>
          <w:rFonts w:ascii="Times New Roman" w:hAnsi="Times New Roman" w:cs="Times New Roman"/>
          <w:sz w:val="20"/>
          <w:szCs w:val="20"/>
          <w:lang w:val="en-US"/>
        </w:rPr>
        <w:t xml:space="preserve">ib; </w:t>
      </w:r>
      <w:r w:rsidR="000E16C3" w:rsidRPr="005B083B">
        <w:rPr>
          <w:rFonts w:ascii="Times New Roman" w:hAnsi="Times New Roman" w:cs="Times New Roman"/>
          <w:b/>
          <w:bCs/>
          <w:sz w:val="20"/>
          <w:szCs w:val="20"/>
          <w:lang w:val="en-US"/>
        </w:rPr>
        <w:t>R</w:t>
      </w:r>
      <w:r w:rsidR="00621448" w:rsidRPr="005B083B">
        <w:rPr>
          <w:rFonts w:ascii="Times New Roman" w:hAnsi="Times New Roman" w:cs="Times New Roman"/>
          <w:b/>
          <w:bCs/>
          <w:sz w:val="20"/>
          <w:szCs w:val="20"/>
          <w:lang w:val="en-US"/>
        </w:rPr>
        <w:t>M</w:t>
      </w:r>
      <w:r w:rsidR="000E16C3" w:rsidRPr="005B083B">
        <w:rPr>
          <w:rFonts w:ascii="Times New Roman" w:hAnsi="Times New Roman" w:cs="Times New Roman"/>
          <w:sz w:val="20"/>
          <w:szCs w:val="20"/>
          <w:lang w:val="en-US"/>
        </w:rPr>
        <w:t>: Rib Margins</w:t>
      </w:r>
      <w:r w:rsidR="007D6C47" w:rsidRPr="005B083B">
        <w:rPr>
          <w:rFonts w:ascii="Times New Roman" w:hAnsi="Times New Roman" w:cs="Times New Roman"/>
          <w:sz w:val="20"/>
          <w:szCs w:val="20"/>
          <w:lang w:val="en-US"/>
        </w:rPr>
        <w:t xml:space="preserve">; </w:t>
      </w:r>
      <w:r w:rsidR="007D6C47" w:rsidRPr="005B083B">
        <w:rPr>
          <w:rFonts w:ascii="Times New Roman" w:hAnsi="Times New Roman" w:cs="Times New Roman"/>
          <w:b/>
          <w:bCs/>
          <w:sz w:val="20"/>
          <w:szCs w:val="20"/>
          <w:lang w:val="en-US"/>
        </w:rPr>
        <w:t>CE</w:t>
      </w:r>
      <w:r w:rsidR="007D6C47" w:rsidRPr="005B083B">
        <w:rPr>
          <w:rFonts w:ascii="Times New Roman" w:hAnsi="Times New Roman" w:cs="Times New Roman"/>
          <w:sz w:val="20"/>
          <w:szCs w:val="20"/>
          <w:lang w:val="en-US"/>
        </w:rPr>
        <w:t>: Chemical Elements</w:t>
      </w:r>
      <w:r w:rsidR="00D9270A" w:rsidRPr="005B083B">
        <w:rPr>
          <w:rFonts w:ascii="Times New Roman" w:hAnsi="Times New Roman" w:cs="Times New Roman"/>
          <w:sz w:val="20"/>
          <w:szCs w:val="20"/>
          <w:lang w:val="en-US"/>
        </w:rPr>
        <w:t xml:space="preserve">; </w:t>
      </w:r>
      <w:r w:rsidR="007D6C47" w:rsidRPr="005B083B">
        <w:rPr>
          <w:rFonts w:ascii="Times New Roman" w:hAnsi="Times New Roman" w:cs="Times New Roman"/>
          <w:sz w:val="20"/>
          <w:szCs w:val="20"/>
          <w:lang w:val="en-US"/>
        </w:rPr>
        <w:t xml:space="preserve"> </w:t>
      </w:r>
      <w:r w:rsidR="000A39A2" w:rsidRPr="005B083B">
        <w:rPr>
          <w:rFonts w:ascii="Times New Roman" w:hAnsi="Times New Roman" w:cs="Times New Roman"/>
          <w:b/>
          <w:bCs/>
          <w:sz w:val="20"/>
          <w:szCs w:val="20"/>
          <w:lang w:val="en-US"/>
        </w:rPr>
        <w:t>Dm</w:t>
      </w:r>
      <w:r w:rsidR="000A39A2" w:rsidRPr="005B083B">
        <w:rPr>
          <w:rFonts w:ascii="Times New Roman" w:hAnsi="Times New Roman" w:cs="Times New Roman"/>
          <w:sz w:val="20"/>
          <w:szCs w:val="20"/>
          <w:lang w:val="en-US"/>
        </w:rPr>
        <w:t xml:space="preserve">: Mean </w:t>
      </w:r>
      <w:r w:rsidR="007D4D26" w:rsidRPr="005B083B">
        <w:rPr>
          <w:rFonts w:ascii="Times New Roman" w:hAnsi="Times New Roman" w:cs="Times New Roman"/>
          <w:sz w:val="20"/>
          <w:szCs w:val="20"/>
          <w:lang w:val="en-US"/>
        </w:rPr>
        <w:t>D</w:t>
      </w:r>
      <w:r w:rsidR="000A39A2" w:rsidRPr="005B083B">
        <w:rPr>
          <w:rFonts w:ascii="Times New Roman" w:hAnsi="Times New Roman" w:cs="Times New Roman"/>
          <w:sz w:val="20"/>
          <w:szCs w:val="20"/>
          <w:lang w:val="en-US"/>
        </w:rPr>
        <w:t xml:space="preserve">iameter; </w:t>
      </w:r>
      <w:r w:rsidR="001F7739" w:rsidRPr="005B083B">
        <w:rPr>
          <w:rFonts w:ascii="Times New Roman" w:hAnsi="Times New Roman" w:cs="Times New Roman"/>
          <w:b/>
          <w:bCs/>
          <w:sz w:val="20"/>
          <w:szCs w:val="20"/>
          <w:lang w:val="en-US"/>
        </w:rPr>
        <w:t>SL</w:t>
      </w:r>
      <w:r w:rsidR="00DA50EA" w:rsidRPr="005B083B">
        <w:rPr>
          <w:rFonts w:ascii="Times New Roman" w:hAnsi="Times New Roman" w:cs="Times New Roman"/>
          <w:sz w:val="20"/>
          <w:szCs w:val="20"/>
          <w:lang w:val="en-US"/>
        </w:rPr>
        <w:t xml:space="preserve">: </w:t>
      </w:r>
      <w:r w:rsidR="001F7739" w:rsidRPr="005B083B">
        <w:rPr>
          <w:rFonts w:ascii="Times New Roman" w:hAnsi="Times New Roman" w:cs="Times New Roman"/>
          <w:sz w:val="20"/>
          <w:szCs w:val="20"/>
          <w:lang w:val="en-US"/>
        </w:rPr>
        <w:t xml:space="preserve">Shoot </w:t>
      </w:r>
      <w:r w:rsidR="00BB0474" w:rsidRPr="005B083B">
        <w:rPr>
          <w:rFonts w:ascii="Times New Roman" w:hAnsi="Times New Roman" w:cs="Times New Roman"/>
          <w:sz w:val="20"/>
          <w:szCs w:val="20"/>
          <w:lang w:val="en-US"/>
        </w:rPr>
        <w:t>Length</w:t>
      </w:r>
      <w:r w:rsidR="000A39A2" w:rsidRPr="005B083B">
        <w:rPr>
          <w:rFonts w:ascii="Times New Roman" w:hAnsi="Times New Roman" w:cs="Times New Roman"/>
          <w:sz w:val="20"/>
          <w:szCs w:val="20"/>
          <w:lang w:val="en-US"/>
        </w:rPr>
        <w:t xml:space="preserve">; </w:t>
      </w:r>
      <w:r w:rsidR="00FE4F55" w:rsidRPr="005B083B">
        <w:rPr>
          <w:rFonts w:ascii="Times New Roman" w:hAnsi="Times New Roman" w:cs="Times New Roman"/>
          <w:b/>
          <w:bCs/>
          <w:sz w:val="20"/>
          <w:szCs w:val="20"/>
          <w:lang w:val="en-US"/>
        </w:rPr>
        <w:t>FM</w:t>
      </w:r>
      <w:r w:rsidR="001F7739" w:rsidRPr="005B083B">
        <w:rPr>
          <w:rFonts w:ascii="Times New Roman" w:hAnsi="Times New Roman" w:cs="Times New Roman"/>
          <w:b/>
          <w:bCs/>
          <w:sz w:val="20"/>
          <w:szCs w:val="20"/>
          <w:lang w:val="en-US"/>
        </w:rPr>
        <w:t>S</w:t>
      </w:r>
      <w:r w:rsidR="00DA50EA" w:rsidRPr="005B083B">
        <w:rPr>
          <w:rFonts w:ascii="Times New Roman" w:hAnsi="Times New Roman" w:cs="Times New Roman"/>
          <w:sz w:val="20"/>
          <w:szCs w:val="20"/>
          <w:lang w:val="en-US"/>
        </w:rPr>
        <w:t>:</w:t>
      </w:r>
      <w:r w:rsidR="00E56392" w:rsidRPr="005B083B">
        <w:rPr>
          <w:rFonts w:ascii="Times New Roman" w:hAnsi="Times New Roman" w:cs="Times New Roman"/>
          <w:sz w:val="20"/>
          <w:szCs w:val="20"/>
          <w:lang w:val="en-US"/>
        </w:rPr>
        <w:t xml:space="preserve"> Fresh Mass </w:t>
      </w:r>
      <w:r w:rsidR="001F7739" w:rsidRPr="005B083B">
        <w:rPr>
          <w:rFonts w:ascii="Times New Roman" w:hAnsi="Times New Roman" w:cs="Times New Roman"/>
          <w:sz w:val="20"/>
          <w:szCs w:val="20"/>
          <w:lang w:val="en-US"/>
        </w:rPr>
        <w:t>of Shoot</w:t>
      </w:r>
      <w:r w:rsidR="000A39A2" w:rsidRPr="005B083B">
        <w:rPr>
          <w:rFonts w:ascii="Times New Roman" w:hAnsi="Times New Roman" w:cs="Times New Roman"/>
          <w:sz w:val="20"/>
          <w:szCs w:val="20"/>
          <w:lang w:val="en-US"/>
        </w:rPr>
        <w:t>;</w:t>
      </w:r>
      <w:r w:rsidR="007C19F8" w:rsidRPr="005B083B">
        <w:rPr>
          <w:rFonts w:ascii="Times New Roman" w:hAnsi="Times New Roman" w:cs="Times New Roman"/>
          <w:sz w:val="20"/>
          <w:szCs w:val="20"/>
          <w:lang w:val="en-US"/>
        </w:rPr>
        <w:t xml:space="preserve"> </w:t>
      </w:r>
      <w:r w:rsidR="007E2392" w:rsidRPr="005B083B">
        <w:rPr>
          <w:rFonts w:ascii="Times New Roman" w:hAnsi="Times New Roman" w:cs="Times New Roman"/>
          <w:b/>
          <w:bCs/>
          <w:sz w:val="20"/>
          <w:szCs w:val="20"/>
          <w:lang w:val="en-US"/>
        </w:rPr>
        <w:t>SDM</w:t>
      </w:r>
      <w:r w:rsidR="007C19F8" w:rsidRPr="005B083B">
        <w:rPr>
          <w:rFonts w:ascii="Times New Roman" w:hAnsi="Times New Roman" w:cs="Times New Roman"/>
          <w:sz w:val="20"/>
          <w:szCs w:val="20"/>
          <w:lang w:val="en-US"/>
        </w:rPr>
        <w:t xml:space="preserve">: </w:t>
      </w:r>
      <w:r w:rsidR="007E2392" w:rsidRPr="005B083B">
        <w:rPr>
          <w:rFonts w:ascii="Times New Roman" w:hAnsi="Times New Roman" w:cs="Times New Roman"/>
          <w:sz w:val="20"/>
          <w:szCs w:val="20"/>
          <w:lang w:val="en-US"/>
        </w:rPr>
        <w:t>Shoot Dry Mass</w:t>
      </w:r>
      <w:r w:rsidR="000A39A2" w:rsidRPr="005B083B">
        <w:rPr>
          <w:rFonts w:ascii="Times New Roman" w:hAnsi="Times New Roman" w:cs="Times New Roman"/>
          <w:sz w:val="20"/>
          <w:szCs w:val="20"/>
          <w:lang w:val="en-US"/>
        </w:rPr>
        <w:t xml:space="preserve">; </w:t>
      </w:r>
      <w:r w:rsidR="007E2392" w:rsidRPr="005B083B">
        <w:rPr>
          <w:rFonts w:ascii="Times New Roman" w:hAnsi="Times New Roman" w:cs="Times New Roman"/>
          <w:b/>
          <w:bCs/>
          <w:sz w:val="20"/>
          <w:szCs w:val="20"/>
          <w:lang w:val="en-US"/>
        </w:rPr>
        <w:t>RFM</w:t>
      </w:r>
      <w:r w:rsidR="00767E19" w:rsidRPr="005B083B">
        <w:rPr>
          <w:rFonts w:ascii="Times New Roman" w:hAnsi="Times New Roman" w:cs="Times New Roman"/>
          <w:sz w:val="20"/>
          <w:szCs w:val="20"/>
          <w:lang w:val="en-US"/>
        </w:rPr>
        <w:t xml:space="preserve">: </w:t>
      </w:r>
      <w:r w:rsidR="007E2392" w:rsidRPr="005B083B">
        <w:rPr>
          <w:rFonts w:ascii="Times New Roman" w:hAnsi="Times New Roman" w:cs="Times New Roman"/>
          <w:sz w:val="20"/>
          <w:szCs w:val="20"/>
          <w:lang w:val="en-US"/>
        </w:rPr>
        <w:t>Root Fresh Mass</w:t>
      </w:r>
      <w:r w:rsidR="00767E19" w:rsidRPr="005B083B">
        <w:rPr>
          <w:rFonts w:ascii="Times New Roman" w:hAnsi="Times New Roman" w:cs="Times New Roman"/>
          <w:sz w:val="20"/>
          <w:szCs w:val="20"/>
          <w:lang w:val="en-US"/>
        </w:rPr>
        <w:t xml:space="preserve">; </w:t>
      </w:r>
      <w:r w:rsidR="007E2392" w:rsidRPr="005B083B">
        <w:rPr>
          <w:rFonts w:ascii="Times New Roman" w:hAnsi="Times New Roman" w:cs="Times New Roman"/>
          <w:b/>
          <w:bCs/>
          <w:sz w:val="20"/>
          <w:szCs w:val="20"/>
          <w:lang w:val="en-US"/>
        </w:rPr>
        <w:lastRenderedPageBreak/>
        <w:t>RDM</w:t>
      </w:r>
      <w:r w:rsidR="00767E19" w:rsidRPr="005B083B">
        <w:rPr>
          <w:rFonts w:ascii="Times New Roman" w:hAnsi="Times New Roman" w:cs="Times New Roman"/>
          <w:sz w:val="20"/>
          <w:szCs w:val="20"/>
          <w:lang w:val="en-US"/>
        </w:rPr>
        <w:t xml:space="preserve">: </w:t>
      </w:r>
      <w:r w:rsidR="007E2392" w:rsidRPr="005B083B">
        <w:rPr>
          <w:rFonts w:ascii="Times New Roman" w:hAnsi="Times New Roman" w:cs="Times New Roman"/>
          <w:sz w:val="20"/>
          <w:szCs w:val="20"/>
          <w:lang w:val="en-US"/>
        </w:rPr>
        <w:t xml:space="preserve">Root </w:t>
      </w:r>
      <w:r w:rsidR="00767E19" w:rsidRPr="005B083B">
        <w:rPr>
          <w:rFonts w:ascii="Times New Roman" w:hAnsi="Times New Roman" w:cs="Times New Roman"/>
          <w:sz w:val="20"/>
          <w:szCs w:val="20"/>
          <w:lang w:val="en-US"/>
        </w:rPr>
        <w:t>D</w:t>
      </w:r>
      <w:r w:rsidR="00BC4AE5" w:rsidRPr="005B083B">
        <w:rPr>
          <w:rFonts w:ascii="Times New Roman" w:hAnsi="Times New Roman" w:cs="Times New Roman"/>
          <w:sz w:val="20"/>
          <w:szCs w:val="20"/>
          <w:lang w:val="en-US"/>
        </w:rPr>
        <w:t xml:space="preserve">ry </w:t>
      </w:r>
      <w:r w:rsidR="00767E19" w:rsidRPr="005B083B">
        <w:rPr>
          <w:rFonts w:ascii="Times New Roman" w:hAnsi="Times New Roman" w:cs="Times New Roman"/>
          <w:sz w:val="20"/>
          <w:szCs w:val="20"/>
          <w:lang w:val="en-US"/>
        </w:rPr>
        <w:t>M</w:t>
      </w:r>
      <w:r w:rsidR="00BC4AE5" w:rsidRPr="005B083B">
        <w:rPr>
          <w:rFonts w:ascii="Times New Roman" w:hAnsi="Times New Roman" w:cs="Times New Roman"/>
          <w:sz w:val="20"/>
          <w:szCs w:val="20"/>
          <w:lang w:val="en-US"/>
        </w:rPr>
        <w:t>ass</w:t>
      </w:r>
      <w:r w:rsidR="000A39A2" w:rsidRPr="005B083B">
        <w:rPr>
          <w:rFonts w:ascii="Times New Roman" w:hAnsi="Times New Roman" w:cs="Times New Roman"/>
          <w:sz w:val="20"/>
          <w:szCs w:val="20"/>
          <w:lang w:val="en-US"/>
        </w:rPr>
        <w:t xml:space="preserve">; </w:t>
      </w:r>
      <w:r w:rsidR="00AB506A" w:rsidRPr="005B083B">
        <w:rPr>
          <w:rFonts w:ascii="Times New Roman" w:hAnsi="Times New Roman" w:cs="Times New Roman"/>
          <w:b/>
          <w:bCs/>
          <w:sz w:val="20"/>
          <w:szCs w:val="20"/>
          <w:lang w:val="en-US"/>
        </w:rPr>
        <w:t>P</w:t>
      </w:r>
      <w:r w:rsidR="00623D1F" w:rsidRPr="005B083B">
        <w:rPr>
          <w:rFonts w:ascii="Times New Roman" w:hAnsi="Times New Roman" w:cs="Times New Roman"/>
          <w:b/>
          <w:bCs/>
          <w:sz w:val="20"/>
          <w:szCs w:val="20"/>
          <w:lang w:val="en-US"/>
        </w:rPr>
        <w:t>P</w:t>
      </w:r>
      <w:r w:rsidR="00AB506A" w:rsidRPr="005B083B">
        <w:rPr>
          <w:rFonts w:ascii="Times New Roman" w:hAnsi="Times New Roman" w:cs="Times New Roman"/>
          <w:sz w:val="20"/>
          <w:szCs w:val="20"/>
          <w:lang w:val="en-US"/>
        </w:rPr>
        <w:t xml:space="preserve">: </w:t>
      </w:r>
      <w:r w:rsidR="00623D1F" w:rsidRPr="005B083B">
        <w:rPr>
          <w:rFonts w:ascii="Times New Roman" w:hAnsi="Times New Roman" w:cs="Times New Roman"/>
          <w:sz w:val="20"/>
          <w:szCs w:val="20"/>
          <w:lang w:val="en-US"/>
        </w:rPr>
        <w:t>P</w:t>
      </w:r>
      <w:r w:rsidR="000A39A2" w:rsidRPr="005B083B">
        <w:rPr>
          <w:rFonts w:ascii="Times New Roman" w:hAnsi="Times New Roman" w:cs="Times New Roman"/>
          <w:sz w:val="20"/>
          <w:szCs w:val="20"/>
          <w:lang w:val="en-US"/>
        </w:rPr>
        <w:t xml:space="preserve">hotosynthetic </w:t>
      </w:r>
      <w:r w:rsidR="00623D1F" w:rsidRPr="005B083B">
        <w:rPr>
          <w:rFonts w:ascii="Times New Roman" w:hAnsi="Times New Roman" w:cs="Times New Roman"/>
          <w:sz w:val="20"/>
          <w:szCs w:val="20"/>
          <w:lang w:val="en-US"/>
        </w:rPr>
        <w:t>P</w:t>
      </w:r>
      <w:r w:rsidR="000A39A2" w:rsidRPr="005B083B">
        <w:rPr>
          <w:rFonts w:ascii="Times New Roman" w:hAnsi="Times New Roman" w:cs="Times New Roman"/>
          <w:sz w:val="20"/>
          <w:szCs w:val="20"/>
          <w:lang w:val="en-US"/>
        </w:rPr>
        <w:t xml:space="preserve">igments; </w:t>
      </w:r>
      <w:proofErr w:type="spellStart"/>
      <w:r w:rsidR="00387451" w:rsidRPr="005B083B">
        <w:rPr>
          <w:rFonts w:ascii="Times New Roman" w:hAnsi="Times New Roman" w:cs="Times New Roman"/>
          <w:b/>
          <w:bCs/>
          <w:sz w:val="20"/>
          <w:szCs w:val="20"/>
          <w:lang w:val="en-US"/>
        </w:rPr>
        <w:t>Chl</w:t>
      </w:r>
      <w:proofErr w:type="spellEnd"/>
      <w:r w:rsidR="00387451" w:rsidRPr="005B083B">
        <w:rPr>
          <w:rFonts w:ascii="Times New Roman" w:hAnsi="Times New Roman" w:cs="Times New Roman"/>
          <w:b/>
          <w:bCs/>
          <w:sz w:val="20"/>
          <w:szCs w:val="20"/>
          <w:lang w:val="en-US"/>
        </w:rPr>
        <w:t xml:space="preserve"> a</w:t>
      </w:r>
      <w:r w:rsidR="00387451" w:rsidRPr="005B083B">
        <w:rPr>
          <w:rFonts w:ascii="Times New Roman" w:hAnsi="Times New Roman" w:cs="Times New Roman"/>
          <w:sz w:val="20"/>
          <w:szCs w:val="20"/>
          <w:lang w:val="en-US"/>
        </w:rPr>
        <w:t xml:space="preserve">: </w:t>
      </w:r>
      <w:r w:rsidR="00590CBC" w:rsidRPr="005B083B">
        <w:rPr>
          <w:rFonts w:ascii="Times New Roman" w:hAnsi="Times New Roman" w:cs="Times New Roman"/>
          <w:sz w:val="20"/>
          <w:szCs w:val="20"/>
          <w:lang w:val="en-US"/>
        </w:rPr>
        <w:t>C</w:t>
      </w:r>
      <w:r w:rsidR="000A39A2" w:rsidRPr="005B083B">
        <w:rPr>
          <w:rFonts w:ascii="Times New Roman" w:hAnsi="Times New Roman" w:cs="Times New Roman"/>
          <w:sz w:val="20"/>
          <w:szCs w:val="20"/>
          <w:lang w:val="en-US"/>
        </w:rPr>
        <w:t xml:space="preserve">hlorophyll </w:t>
      </w:r>
      <w:r w:rsidR="000A39A2" w:rsidRPr="005B083B">
        <w:rPr>
          <w:rFonts w:ascii="Times New Roman" w:hAnsi="Times New Roman" w:cs="Times New Roman"/>
          <w:i/>
          <w:iCs/>
          <w:sz w:val="20"/>
          <w:szCs w:val="20"/>
          <w:lang w:val="en-US"/>
        </w:rPr>
        <w:t>a</w:t>
      </w:r>
      <w:r w:rsidR="000A39A2" w:rsidRPr="005B083B">
        <w:rPr>
          <w:rFonts w:ascii="Times New Roman" w:hAnsi="Times New Roman" w:cs="Times New Roman"/>
          <w:sz w:val="20"/>
          <w:szCs w:val="20"/>
          <w:lang w:val="en-US"/>
        </w:rPr>
        <w:t xml:space="preserve">; </w:t>
      </w:r>
      <w:proofErr w:type="spellStart"/>
      <w:r w:rsidR="00590CBC" w:rsidRPr="005B083B">
        <w:rPr>
          <w:rFonts w:ascii="Times New Roman" w:hAnsi="Times New Roman" w:cs="Times New Roman"/>
          <w:b/>
          <w:bCs/>
          <w:sz w:val="20"/>
          <w:szCs w:val="20"/>
          <w:lang w:val="en-US"/>
        </w:rPr>
        <w:t>Chl</w:t>
      </w:r>
      <w:proofErr w:type="spellEnd"/>
      <w:r w:rsidR="00590CBC" w:rsidRPr="005B083B">
        <w:rPr>
          <w:rFonts w:ascii="Times New Roman" w:hAnsi="Times New Roman" w:cs="Times New Roman"/>
          <w:b/>
          <w:bCs/>
          <w:sz w:val="20"/>
          <w:szCs w:val="20"/>
          <w:lang w:val="en-US"/>
        </w:rPr>
        <w:t xml:space="preserve"> b</w:t>
      </w:r>
      <w:r w:rsidR="00590CBC" w:rsidRPr="005B083B">
        <w:rPr>
          <w:rFonts w:ascii="Times New Roman" w:hAnsi="Times New Roman" w:cs="Times New Roman"/>
          <w:sz w:val="20"/>
          <w:szCs w:val="20"/>
          <w:lang w:val="en-US"/>
        </w:rPr>
        <w:t>: C</w:t>
      </w:r>
      <w:r w:rsidR="000A39A2" w:rsidRPr="005B083B">
        <w:rPr>
          <w:rFonts w:ascii="Times New Roman" w:hAnsi="Times New Roman" w:cs="Times New Roman"/>
          <w:sz w:val="20"/>
          <w:szCs w:val="20"/>
          <w:lang w:val="en-US"/>
        </w:rPr>
        <w:t xml:space="preserve">hlorophyll </w:t>
      </w:r>
      <w:r w:rsidR="000A39A2" w:rsidRPr="005B083B">
        <w:rPr>
          <w:rFonts w:ascii="Times New Roman" w:hAnsi="Times New Roman" w:cs="Times New Roman"/>
          <w:i/>
          <w:iCs/>
          <w:sz w:val="20"/>
          <w:szCs w:val="20"/>
          <w:lang w:val="en-US"/>
        </w:rPr>
        <w:t>b</w:t>
      </w:r>
      <w:r w:rsidR="000A39A2" w:rsidRPr="005B083B">
        <w:rPr>
          <w:rFonts w:ascii="Times New Roman" w:hAnsi="Times New Roman" w:cs="Times New Roman"/>
          <w:sz w:val="20"/>
          <w:szCs w:val="20"/>
          <w:lang w:val="en-US"/>
        </w:rPr>
        <w:t xml:space="preserve">; </w:t>
      </w:r>
      <w:proofErr w:type="spellStart"/>
      <w:r w:rsidR="004E0B97" w:rsidRPr="005B083B">
        <w:rPr>
          <w:rFonts w:ascii="Times New Roman" w:hAnsi="Times New Roman" w:cs="Times New Roman"/>
          <w:b/>
          <w:bCs/>
          <w:sz w:val="20"/>
          <w:szCs w:val="20"/>
          <w:lang w:val="en-US"/>
        </w:rPr>
        <w:t>Chl</w:t>
      </w:r>
      <w:proofErr w:type="spellEnd"/>
      <w:r w:rsidR="004E0B97" w:rsidRPr="005B083B">
        <w:rPr>
          <w:rFonts w:ascii="Times New Roman" w:hAnsi="Times New Roman" w:cs="Times New Roman"/>
          <w:b/>
          <w:bCs/>
          <w:sz w:val="20"/>
          <w:szCs w:val="20"/>
          <w:lang w:val="en-US"/>
        </w:rPr>
        <w:t xml:space="preserve"> </w:t>
      </w:r>
      <w:proofErr w:type="spellStart"/>
      <w:r w:rsidR="004E0B97" w:rsidRPr="005B083B">
        <w:rPr>
          <w:rFonts w:ascii="Times New Roman" w:hAnsi="Times New Roman" w:cs="Times New Roman"/>
          <w:b/>
          <w:bCs/>
          <w:sz w:val="20"/>
          <w:szCs w:val="20"/>
          <w:lang w:val="en-US"/>
        </w:rPr>
        <w:t>a+b</w:t>
      </w:r>
      <w:proofErr w:type="spellEnd"/>
      <w:r w:rsidR="004E0B97" w:rsidRPr="005B083B">
        <w:rPr>
          <w:rFonts w:ascii="Times New Roman" w:hAnsi="Times New Roman" w:cs="Times New Roman"/>
          <w:sz w:val="20"/>
          <w:szCs w:val="20"/>
          <w:lang w:val="en-US"/>
        </w:rPr>
        <w:t xml:space="preserve">: </w:t>
      </w:r>
      <w:r w:rsidR="00590CBC" w:rsidRPr="005B083B">
        <w:rPr>
          <w:rFonts w:ascii="Times New Roman" w:hAnsi="Times New Roman" w:cs="Times New Roman"/>
          <w:sz w:val="20"/>
          <w:szCs w:val="20"/>
          <w:lang w:val="en-US"/>
        </w:rPr>
        <w:t>T</w:t>
      </w:r>
      <w:r w:rsidR="000A39A2" w:rsidRPr="005B083B">
        <w:rPr>
          <w:rFonts w:ascii="Times New Roman" w:hAnsi="Times New Roman" w:cs="Times New Roman"/>
          <w:sz w:val="20"/>
          <w:szCs w:val="20"/>
          <w:lang w:val="en-US"/>
        </w:rPr>
        <w:t xml:space="preserve">otal </w:t>
      </w:r>
      <w:r w:rsidR="00590CBC" w:rsidRPr="005B083B">
        <w:rPr>
          <w:rFonts w:ascii="Times New Roman" w:hAnsi="Times New Roman" w:cs="Times New Roman"/>
          <w:sz w:val="20"/>
          <w:szCs w:val="20"/>
          <w:lang w:val="en-US"/>
        </w:rPr>
        <w:t>C</w:t>
      </w:r>
      <w:r w:rsidR="000A39A2" w:rsidRPr="005B083B">
        <w:rPr>
          <w:rFonts w:ascii="Times New Roman" w:hAnsi="Times New Roman" w:cs="Times New Roman"/>
          <w:sz w:val="20"/>
          <w:szCs w:val="20"/>
          <w:lang w:val="en-US"/>
        </w:rPr>
        <w:t xml:space="preserve">hlorophylls; </w:t>
      </w:r>
      <w:r w:rsidR="004E0B97" w:rsidRPr="005B083B">
        <w:rPr>
          <w:rFonts w:ascii="Times New Roman" w:hAnsi="Times New Roman" w:cs="Times New Roman"/>
          <w:b/>
          <w:bCs/>
          <w:sz w:val="20"/>
          <w:szCs w:val="20"/>
          <w:lang w:val="en-US"/>
        </w:rPr>
        <w:t>Car</w:t>
      </w:r>
      <w:r w:rsidR="004E0B97" w:rsidRPr="005B083B">
        <w:rPr>
          <w:rFonts w:ascii="Times New Roman" w:hAnsi="Times New Roman" w:cs="Times New Roman"/>
          <w:sz w:val="20"/>
          <w:szCs w:val="20"/>
          <w:lang w:val="en-US"/>
        </w:rPr>
        <w:t xml:space="preserve">: </w:t>
      </w:r>
      <w:r w:rsidR="007432A2" w:rsidRPr="005B083B">
        <w:rPr>
          <w:rFonts w:ascii="Times New Roman" w:hAnsi="Times New Roman" w:cs="Times New Roman"/>
          <w:sz w:val="20"/>
          <w:szCs w:val="20"/>
          <w:lang w:val="en-US"/>
        </w:rPr>
        <w:t>C</w:t>
      </w:r>
      <w:r w:rsidR="000A39A2" w:rsidRPr="005B083B">
        <w:rPr>
          <w:rFonts w:ascii="Times New Roman" w:hAnsi="Times New Roman" w:cs="Times New Roman"/>
          <w:sz w:val="20"/>
          <w:szCs w:val="20"/>
          <w:lang w:val="en-US"/>
        </w:rPr>
        <w:t xml:space="preserve">arotenoids; </w:t>
      </w:r>
      <w:r w:rsidR="00EF1879" w:rsidRPr="005B083B">
        <w:rPr>
          <w:rFonts w:ascii="Times New Roman" w:hAnsi="Times New Roman" w:cs="Times New Roman"/>
          <w:b/>
          <w:bCs/>
          <w:sz w:val="20"/>
          <w:szCs w:val="20"/>
          <w:lang w:val="en-US"/>
        </w:rPr>
        <w:t>spp</w:t>
      </w:r>
      <w:r w:rsidR="004E0B97" w:rsidRPr="005B083B">
        <w:rPr>
          <w:rFonts w:ascii="Times New Roman" w:hAnsi="Times New Roman" w:cs="Times New Roman"/>
          <w:b/>
          <w:bCs/>
          <w:sz w:val="20"/>
          <w:szCs w:val="20"/>
          <w:lang w:val="en-US"/>
        </w:rPr>
        <w:t xml:space="preserve">.: </w:t>
      </w:r>
      <w:r w:rsidR="007432A2" w:rsidRPr="005B083B">
        <w:rPr>
          <w:rFonts w:ascii="Times New Roman" w:hAnsi="Times New Roman" w:cs="Times New Roman"/>
          <w:sz w:val="20"/>
          <w:szCs w:val="20"/>
          <w:lang w:val="en-US"/>
        </w:rPr>
        <w:t>S</w:t>
      </w:r>
      <w:r w:rsidR="000A39A2" w:rsidRPr="005B083B">
        <w:rPr>
          <w:rFonts w:ascii="Times New Roman" w:hAnsi="Times New Roman" w:cs="Times New Roman"/>
          <w:sz w:val="20"/>
          <w:szCs w:val="20"/>
          <w:lang w:val="en-US"/>
        </w:rPr>
        <w:t xml:space="preserve">pecies; </w:t>
      </w:r>
      <w:r w:rsidR="004E0B97" w:rsidRPr="005B083B">
        <w:rPr>
          <w:rFonts w:ascii="Times New Roman" w:hAnsi="Times New Roman" w:cs="Times New Roman"/>
          <w:b/>
          <w:bCs/>
          <w:sz w:val="20"/>
          <w:szCs w:val="20"/>
          <w:lang w:val="en-US"/>
        </w:rPr>
        <w:t>PCA</w:t>
      </w:r>
      <w:r w:rsidR="007432A2" w:rsidRPr="005B083B">
        <w:rPr>
          <w:rFonts w:ascii="Times New Roman" w:hAnsi="Times New Roman" w:cs="Times New Roman"/>
          <w:sz w:val="20"/>
          <w:szCs w:val="20"/>
          <w:lang w:val="en-US"/>
        </w:rPr>
        <w:t>: P</w:t>
      </w:r>
      <w:r w:rsidR="000A39A2" w:rsidRPr="005B083B">
        <w:rPr>
          <w:rFonts w:ascii="Times New Roman" w:hAnsi="Times New Roman" w:cs="Times New Roman"/>
          <w:sz w:val="20"/>
          <w:szCs w:val="20"/>
          <w:lang w:val="en-US"/>
        </w:rPr>
        <w:t xml:space="preserve">rincipal </w:t>
      </w:r>
      <w:r w:rsidR="007432A2" w:rsidRPr="005B083B">
        <w:rPr>
          <w:rFonts w:ascii="Times New Roman" w:hAnsi="Times New Roman" w:cs="Times New Roman"/>
          <w:sz w:val="20"/>
          <w:szCs w:val="20"/>
          <w:lang w:val="en-US"/>
        </w:rPr>
        <w:t>C</w:t>
      </w:r>
      <w:r w:rsidR="000A39A2" w:rsidRPr="005B083B">
        <w:rPr>
          <w:rFonts w:ascii="Times New Roman" w:hAnsi="Times New Roman" w:cs="Times New Roman"/>
          <w:sz w:val="20"/>
          <w:szCs w:val="20"/>
          <w:lang w:val="en-US"/>
        </w:rPr>
        <w:t xml:space="preserve">omponent </w:t>
      </w:r>
      <w:r w:rsidR="007432A2" w:rsidRPr="005B083B">
        <w:rPr>
          <w:rFonts w:ascii="Times New Roman" w:hAnsi="Times New Roman" w:cs="Times New Roman"/>
          <w:sz w:val="20"/>
          <w:szCs w:val="20"/>
          <w:lang w:val="en-US"/>
        </w:rPr>
        <w:t>A</w:t>
      </w:r>
      <w:r w:rsidR="000A39A2" w:rsidRPr="005B083B">
        <w:rPr>
          <w:rFonts w:ascii="Times New Roman" w:hAnsi="Times New Roman" w:cs="Times New Roman"/>
          <w:sz w:val="20"/>
          <w:szCs w:val="20"/>
          <w:lang w:val="en-US"/>
        </w:rPr>
        <w:t>nalysis.</w:t>
      </w:r>
      <w:r w:rsidR="0021097D" w:rsidRPr="005B083B">
        <w:rPr>
          <w:rFonts w:ascii="Times New Roman" w:hAnsi="Times New Roman" w:cs="Times New Roman"/>
          <w:sz w:val="20"/>
          <w:szCs w:val="20"/>
          <w:lang w:val="en-US"/>
        </w:rPr>
        <w:t xml:space="preserve"> </w:t>
      </w:r>
    </w:p>
    <w:p w14:paraId="18661F3D" w14:textId="77777777" w:rsidR="007F6FCB" w:rsidRPr="005B083B" w:rsidRDefault="007F6FCB" w:rsidP="00352A16">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ascii="Times New Roman" w:hAnsi="Times New Roman" w:cs="Times New Roman"/>
          <w:sz w:val="20"/>
          <w:szCs w:val="20"/>
          <w:lang w:val="en-US"/>
        </w:rPr>
      </w:pPr>
    </w:p>
    <w:p w14:paraId="7A16D541" w14:textId="77777777" w:rsidR="00B733A7" w:rsidRPr="005B083B" w:rsidRDefault="00B733A7" w:rsidP="001F773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
          <w:bCs/>
          <w:iCs/>
          <w:sz w:val="20"/>
          <w:szCs w:val="20"/>
          <w:lang w:val="en-US"/>
        </w:rPr>
      </w:pPr>
      <w:r w:rsidRPr="005B083B">
        <w:rPr>
          <w:rFonts w:ascii="Times New Roman" w:hAnsi="Times New Roman" w:cs="Times New Roman"/>
          <w:b/>
          <w:bCs/>
          <w:iCs/>
          <w:sz w:val="20"/>
          <w:szCs w:val="20"/>
          <w:lang w:val="en-US"/>
        </w:rPr>
        <w:t>INTRODUCTION</w:t>
      </w:r>
    </w:p>
    <w:p w14:paraId="6D239740" w14:textId="77777777" w:rsidR="00D30885" w:rsidRPr="005B083B" w:rsidRDefault="00B733A7" w:rsidP="00D3088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lang w:val="en-US"/>
        </w:rPr>
      </w:pPr>
      <w:r w:rsidRPr="005B083B">
        <w:rPr>
          <w:rFonts w:ascii="Times New Roman" w:hAnsi="Times New Roman" w:cs="Times New Roman"/>
          <w:sz w:val="20"/>
          <w:szCs w:val="20"/>
          <w:lang w:val="en-US"/>
        </w:rPr>
        <w:tab/>
      </w:r>
      <w:r w:rsidR="00D30885" w:rsidRPr="005B083B">
        <w:rPr>
          <w:rFonts w:ascii="Times New Roman" w:hAnsi="Times New Roman" w:cs="Times New Roman"/>
          <w:bCs/>
          <w:sz w:val="20"/>
          <w:szCs w:val="20"/>
          <w:lang w:val="en-US"/>
        </w:rPr>
        <w:t>The current scenario of large-scale plant production faces significant limitations imposed by regional and environmental constraints, hindering the commercial availability of high-value medicinal species (</w:t>
      </w:r>
      <w:proofErr w:type="spellStart"/>
      <w:r w:rsidR="00D30885" w:rsidRPr="005B083B">
        <w:rPr>
          <w:rFonts w:ascii="Times New Roman" w:hAnsi="Times New Roman" w:cs="Times New Roman"/>
          <w:bCs/>
          <w:sz w:val="20"/>
          <w:szCs w:val="20"/>
          <w:lang w:val="en-US"/>
        </w:rPr>
        <w:t>Anuruddi</w:t>
      </w:r>
      <w:proofErr w:type="spellEnd"/>
      <w:r w:rsidR="00D30885" w:rsidRPr="005B083B">
        <w:rPr>
          <w:rFonts w:ascii="Times New Roman" w:hAnsi="Times New Roman" w:cs="Times New Roman"/>
          <w:bCs/>
          <w:sz w:val="20"/>
          <w:szCs w:val="20"/>
          <w:lang w:val="en-US"/>
        </w:rPr>
        <w:t xml:space="preserve"> et al., 2023). Traditional cultivation, characterized by long development periods that can exceed three years, represents an additional barrier to the commercial availability of plants (Tian et al., 2021).</w:t>
      </w:r>
      <w:r w:rsidR="00D30885" w:rsidRPr="005B083B">
        <w:rPr>
          <w:rFonts w:ascii="Times New Roman" w:hAnsi="Times New Roman" w:cs="Times New Roman"/>
          <w:sz w:val="20"/>
          <w:szCs w:val="20"/>
          <w:lang w:val="en-US"/>
        </w:rPr>
        <w:t xml:space="preserve"> </w:t>
      </w:r>
      <w:r w:rsidR="00D30885" w:rsidRPr="005B083B">
        <w:rPr>
          <w:rFonts w:ascii="Times New Roman" w:hAnsi="Times New Roman" w:cs="Times New Roman"/>
          <w:bCs/>
          <w:sz w:val="20"/>
          <w:szCs w:val="20"/>
          <w:lang w:val="en-US"/>
        </w:rPr>
        <w:t xml:space="preserve">In this context, </w:t>
      </w:r>
      <w:r w:rsidR="00D30885" w:rsidRPr="005B083B">
        <w:rPr>
          <w:rFonts w:ascii="Times New Roman" w:hAnsi="Times New Roman" w:cs="Times New Roman"/>
          <w:bCs/>
          <w:i/>
          <w:iCs/>
          <w:sz w:val="20"/>
          <w:szCs w:val="20"/>
          <w:lang w:val="en-US"/>
        </w:rPr>
        <w:t>in vitro</w:t>
      </w:r>
      <w:r w:rsidR="00D30885" w:rsidRPr="005B083B">
        <w:rPr>
          <w:rFonts w:ascii="Times New Roman" w:hAnsi="Times New Roman" w:cs="Times New Roman"/>
          <w:bCs/>
          <w:sz w:val="20"/>
          <w:szCs w:val="20"/>
          <w:lang w:val="en-US"/>
        </w:rPr>
        <w:t xml:space="preserve"> cultivation techniques emerge as viable technological alternatives, providing rapid and consistent production of plant biomass, a particularly relevant aspect considering that more than 60% of anticancer drugs are derived from plants (Garcia-Oliveira et al., 2021; Wawrosch &amp; Zotchev, 2021; </w:t>
      </w:r>
      <w:proofErr w:type="spellStart"/>
      <w:r w:rsidR="00D30885" w:rsidRPr="005B083B">
        <w:rPr>
          <w:rFonts w:ascii="Times New Roman" w:hAnsi="Times New Roman" w:cs="Times New Roman"/>
          <w:bCs/>
          <w:sz w:val="20"/>
          <w:szCs w:val="20"/>
          <w:lang w:val="en-US"/>
        </w:rPr>
        <w:t>Sarropoulou</w:t>
      </w:r>
      <w:proofErr w:type="spellEnd"/>
      <w:r w:rsidR="00D30885" w:rsidRPr="005B083B">
        <w:rPr>
          <w:rFonts w:ascii="Times New Roman" w:hAnsi="Times New Roman" w:cs="Times New Roman"/>
          <w:bCs/>
          <w:sz w:val="20"/>
          <w:szCs w:val="20"/>
          <w:lang w:val="en-US"/>
        </w:rPr>
        <w:t xml:space="preserve"> et al., 2023).</w:t>
      </w:r>
    </w:p>
    <w:p w14:paraId="1E0356E2" w14:textId="25047A32" w:rsidR="008F1154" w:rsidRPr="008F1154" w:rsidRDefault="00D30885" w:rsidP="00D3088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993"/>
        <w:jc w:val="both"/>
        <w:rPr>
          <w:rFonts w:ascii="Times New Roman" w:hAnsi="Times New Roman" w:cs="Times New Roman"/>
          <w:bCs/>
          <w:sz w:val="20"/>
          <w:szCs w:val="20"/>
          <w:lang w:val="en-US"/>
        </w:rPr>
      </w:pPr>
      <w:r w:rsidRPr="005B083B">
        <w:rPr>
          <w:rFonts w:ascii="Times New Roman" w:hAnsi="Times New Roman" w:cs="Times New Roman"/>
          <w:bCs/>
          <w:sz w:val="20"/>
          <w:szCs w:val="20"/>
          <w:lang w:val="en-US"/>
        </w:rPr>
        <w:t xml:space="preserve">Among the species of high nutraceutical and pharmacological value, the pitaya species </w:t>
      </w:r>
      <w:r w:rsidRPr="005B083B">
        <w:rPr>
          <w:rFonts w:ascii="Times New Roman" w:hAnsi="Times New Roman" w:cs="Times New Roman"/>
          <w:bCs/>
          <w:i/>
          <w:iCs/>
          <w:sz w:val="20"/>
          <w:szCs w:val="20"/>
          <w:lang w:val="en-US"/>
        </w:rPr>
        <w:t>Selenicereus undatus</w:t>
      </w:r>
      <w:r w:rsidRPr="005B083B">
        <w:rPr>
          <w:rFonts w:ascii="Times New Roman" w:hAnsi="Times New Roman" w:cs="Times New Roman"/>
          <w:bCs/>
          <w:sz w:val="20"/>
          <w:szCs w:val="20"/>
          <w:lang w:val="en-US"/>
        </w:rPr>
        <w:t xml:space="preserve"> </w:t>
      </w:r>
      <w:r w:rsidRPr="005B083B">
        <w:rPr>
          <w:rFonts w:ascii="Times New Roman" w:hAnsi="Times New Roman" w:cs="Times New Roman"/>
          <w:sz w:val="20"/>
          <w:szCs w:val="20"/>
          <w:lang w:val="en-US"/>
        </w:rPr>
        <w:t>(Haw.) D.R.</w:t>
      </w:r>
      <w:r w:rsidR="00067FBC">
        <w:rPr>
          <w:rFonts w:ascii="Times New Roman" w:hAnsi="Times New Roman" w:cs="Times New Roman"/>
          <w:sz w:val="20"/>
          <w:szCs w:val="20"/>
          <w:lang w:val="en-US"/>
        </w:rPr>
        <w:t xml:space="preserve"> </w:t>
      </w:r>
      <w:r w:rsidRPr="005B083B">
        <w:rPr>
          <w:rFonts w:ascii="Times New Roman" w:hAnsi="Times New Roman" w:cs="Times New Roman"/>
          <w:sz w:val="20"/>
          <w:szCs w:val="20"/>
          <w:lang w:val="en-US"/>
        </w:rPr>
        <w:t xml:space="preserve">Hunt </w:t>
      </w:r>
      <w:r w:rsidRPr="005B083B">
        <w:rPr>
          <w:rFonts w:ascii="Times New Roman" w:hAnsi="Times New Roman" w:cs="Times New Roman"/>
          <w:bCs/>
          <w:sz w:val="20"/>
          <w:szCs w:val="20"/>
          <w:lang w:val="en-US"/>
        </w:rPr>
        <w:t xml:space="preserve">and </w:t>
      </w:r>
      <w:r w:rsidRPr="005B083B">
        <w:rPr>
          <w:rFonts w:ascii="Times New Roman" w:hAnsi="Times New Roman" w:cs="Times New Roman"/>
          <w:bCs/>
          <w:i/>
          <w:iCs/>
          <w:sz w:val="20"/>
          <w:szCs w:val="20"/>
          <w:lang w:val="en-US"/>
        </w:rPr>
        <w:t xml:space="preserve">Hylocereus </w:t>
      </w:r>
      <w:proofErr w:type="spellStart"/>
      <w:r w:rsidRPr="005B083B">
        <w:rPr>
          <w:rFonts w:ascii="Times New Roman" w:hAnsi="Times New Roman" w:cs="Times New Roman"/>
          <w:bCs/>
          <w:i/>
          <w:iCs/>
          <w:sz w:val="20"/>
          <w:szCs w:val="20"/>
          <w:lang w:val="en-US"/>
        </w:rPr>
        <w:t>polyrhizus</w:t>
      </w:r>
      <w:proofErr w:type="spellEnd"/>
      <w:r w:rsidRPr="005B083B">
        <w:rPr>
          <w:rFonts w:ascii="Times New Roman" w:hAnsi="Times New Roman" w:cs="Times New Roman"/>
          <w:bCs/>
          <w:sz w:val="20"/>
          <w:szCs w:val="20"/>
          <w:lang w:val="en-US"/>
        </w:rPr>
        <w:t xml:space="preserve"> </w:t>
      </w:r>
      <w:r w:rsidRPr="005B083B">
        <w:rPr>
          <w:rFonts w:ascii="Times New Roman" w:hAnsi="Times New Roman" w:cs="Times New Roman"/>
          <w:sz w:val="20"/>
          <w:szCs w:val="20"/>
          <w:lang w:val="en-US"/>
        </w:rPr>
        <w:t>(Salm-Dyck) R.</w:t>
      </w:r>
      <w:r w:rsidR="00067FBC">
        <w:rPr>
          <w:rFonts w:ascii="Times New Roman" w:hAnsi="Times New Roman" w:cs="Times New Roman"/>
          <w:sz w:val="20"/>
          <w:szCs w:val="20"/>
          <w:lang w:val="en-US"/>
        </w:rPr>
        <w:t xml:space="preserve"> </w:t>
      </w:r>
      <w:r w:rsidRPr="005B083B">
        <w:rPr>
          <w:rFonts w:ascii="Times New Roman" w:hAnsi="Times New Roman" w:cs="Times New Roman"/>
          <w:sz w:val="20"/>
          <w:szCs w:val="20"/>
          <w:lang w:val="en-US"/>
        </w:rPr>
        <w:t>Bauer (Cactaceae)</w:t>
      </w:r>
      <w:r w:rsidRPr="005B083B">
        <w:rPr>
          <w:rFonts w:ascii="Times New Roman" w:hAnsi="Times New Roman" w:cs="Times New Roman"/>
          <w:bCs/>
          <w:sz w:val="20"/>
          <w:szCs w:val="20"/>
          <w:lang w:val="en-US"/>
        </w:rPr>
        <w:t>, both threatened with extinction, possess important specific qualities that make them plants of global interest (</w:t>
      </w:r>
      <w:proofErr w:type="spellStart"/>
      <w:r w:rsidRPr="005B083B">
        <w:rPr>
          <w:rFonts w:ascii="Times New Roman" w:hAnsi="Times New Roman" w:cs="Times New Roman"/>
          <w:bCs/>
          <w:sz w:val="20"/>
          <w:szCs w:val="20"/>
          <w:lang w:val="en-US"/>
        </w:rPr>
        <w:t>Nishikito</w:t>
      </w:r>
      <w:proofErr w:type="spellEnd"/>
      <w:r w:rsidRPr="005B083B">
        <w:rPr>
          <w:rFonts w:ascii="Times New Roman" w:hAnsi="Times New Roman" w:cs="Times New Roman"/>
          <w:bCs/>
          <w:sz w:val="20"/>
          <w:szCs w:val="20"/>
          <w:lang w:val="en-US"/>
        </w:rPr>
        <w:t xml:space="preserve"> et al., 2023; Chen et al., 2024).</w:t>
      </w:r>
      <w:r w:rsidRPr="005B083B">
        <w:rPr>
          <w:rFonts w:ascii="Times New Roman" w:hAnsi="Times New Roman" w:cs="Times New Roman"/>
          <w:sz w:val="20"/>
          <w:szCs w:val="20"/>
          <w:lang w:val="en-US"/>
        </w:rPr>
        <w:t xml:space="preserve"> </w:t>
      </w:r>
      <w:r w:rsidR="008F1154" w:rsidRPr="008F1154">
        <w:rPr>
          <w:rFonts w:ascii="Times New Roman" w:hAnsi="Times New Roman" w:cs="Times New Roman"/>
          <w:bCs/>
          <w:i/>
          <w:iCs/>
          <w:sz w:val="20"/>
          <w:szCs w:val="20"/>
          <w:lang w:val="en-US"/>
        </w:rPr>
        <w:t xml:space="preserve">S. undatus </w:t>
      </w:r>
      <w:r w:rsidR="008F1154" w:rsidRPr="008F1154">
        <w:rPr>
          <w:rFonts w:ascii="Times New Roman" w:hAnsi="Times New Roman" w:cs="Times New Roman"/>
          <w:bCs/>
          <w:sz w:val="20"/>
          <w:szCs w:val="20"/>
          <w:lang w:val="en-US"/>
        </w:rPr>
        <w:t>is recognized for its high nutritional value and rich composition of bioactive phytochemicals with nutraceutical properties, whereas</w:t>
      </w:r>
      <w:r w:rsidR="008F1154" w:rsidRPr="008F1154">
        <w:rPr>
          <w:rFonts w:ascii="Times New Roman" w:hAnsi="Times New Roman" w:cs="Times New Roman"/>
          <w:bCs/>
          <w:i/>
          <w:iCs/>
          <w:sz w:val="20"/>
          <w:szCs w:val="20"/>
          <w:lang w:val="en-US"/>
        </w:rPr>
        <w:t xml:space="preserve"> H. </w:t>
      </w:r>
      <w:proofErr w:type="spellStart"/>
      <w:r w:rsidR="008F1154" w:rsidRPr="008F1154">
        <w:rPr>
          <w:rFonts w:ascii="Times New Roman" w:hAnsi="Times New Roman" w:cs="Times New Roman"/>
          <w:bCs/>
          <w:i/>
          <w:iCs/>
          <w:sz w:val="20"/>
          <w:szCs w:val="20"/>
          <w:lang w:val="en-US"/>
        </w:rPr>
        <w:t>polyrhizus</w:t>
      </w:r>
      <w:proofErr w:type="spellEnd"/>
      <w:r w:rsidR="008F1154" w:rsidRPr="008F1154">
        <w:rPr>
          <w:rFonts w:ascii="Times New Roman" w:hAnsi="Times New Roman" w:cs="Times New Roman"/>
          <w:bCs/>
          <w:i/>
          <w:iCs/>
          <w:sz w:val="20"/>
          <w:szCs w:val="20"/>
          <w:lang w:val="en-US"/>
        </w:rPr>
        <w:t xml:space="preserve"> </w:t>
      </w:r>
      <w:r w:rsidR="008F1154" w:rsidRPr="008F1154">
        <w:rPr>
          <w:rFonts w:ascii="Times New Roman" w:hAnsi="Times New Roman" w:cs="Times New Roman"/>
          <w:bCs/>
          <w:sz w:val="20"/>
          <w:szCs w:val="20"/>
          <w:lang w:val="en-US"/>
        </w:rPr>
        <w:t>stands out for its therapeutic potential in the prevention of diabetes, obesity, and cancer (Ravichandran et al., 2021; Yang et al., 2024). Considering that the traditional cultivation of these species from seeds requires up to three years to reach commercial maturity (Oo et al., 2023),</w:t>
      </w:r>
      <w:r w:rsidR="008F1154">
        <w:rPr>
          <w:rFonts w:ascii="Times New Roman" w:hAnsi="Times New Roman" w:cs="Times New Roman"/>
          <w:bCs/>
          <w:sz w:val="20"/>
          <w:szCs w:val="20"/>
          <w:lang w:val="en-US"/>
        </w:rPr>
        <w:t xml:space="preserve"> </w:t>
      </w:r>
      <w:r w:rsidR="008F1154" w:rsidRPr="008F1154">
        <w:rPr>
          <w:rFonts w:ascii="Times New Roman" w:hAnsi="Times New Roman" w:cs="Times New Roman"/>
          <w:bCs/>
          <w:sz w:val="20"/>
          <w:szCs w:val="20"/>
          <w:lang w:val="en-US"/>
        </w:rPr>
        <w:t>their</w:t>
      </w:r>
      <w:r w:rsidR="008F1154" w:rsidRPr="008F1154">
        <w:rPr>
          <w:rFonts w:ascii="Times New Roman" w:hAnsi="Times New Roman" w:cs="Times New Roman"/>
          <w:bCs/>
          <w:i/>
          <w:iCs/>
          <w:sz w:val="20"/>
          <w:szCs w:val="20"/>
          <w:lang w:val="en-US"/>
        </w:rPr>
        <w:t xml:space="preserve"> in vitro </w:t>
      </w:r>
      <w:r w:rsidR="008F1154" w:rsidRPr="008F1154">
        <w:rPr>
          <w:rFonts w:ascii="Times New Roman" w:hAnsi="Times New Roman" w:cs="Times New Roman"/>
          <w:bCs/>
          <w:sz w:val="20"/>
          <w:szCs w:val="20"/>
          <w:lang w:val="en-US"/>
        </w:rPr>
        <w:t>multiplication may represent an efficient biotechnological solution, with optimization potential through strategies based on light quality (Suman et al., 2017; Fan et al., 2022).</w:t>
      </w:r>
    </w:p>
    <w:p w14:paraId="6D4EFC21" w14:textId="17E096BC" w:rsidR="00D30885" w:rsidRPr="005B083B" w:rsidRDefault="00D30885" w:rsidP="00D3088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993"/>
        <w:jc w:val="both"/>
        <w:rPr>
          <w:rFonts w:ascii="Times New Roman" w:hAnsi="Times New Roman" w:cs="Times New Roman"/>
          <w:bCs/>
          <w:sz w:val="20"/>
          <w:szCs w:val="20"/>
          <w:lang w:val="en-US"/>
        </w:rPr>
      </w:pPr>
      <w:r w:rsidRPr="005B083B">
        <w:rPr>
          <w:rFonts w:ascii="Times New Roman" w:hAnsi="Times New Roman" w:cs="Times New Roman"/>
          <w:bCs/>
          <w:sz w:val="20"/>
          <w:szCs w:val="20"/>
          <w:lang w:val="en-US"/>
        </w:rPr>
        <w:t>Light radiation, or light quality, is one of the most decisive environmental factors in regulating plant physiology, performing complementary functions throughout the plant life cycle. Light acts as an energy source for carbon assimilation processes during photosynthesis and, simultaneously, plays a crucial signaling role in regulating growth and developmental mechanisms through the activation of specific photoreceptors (Paradiso &amp; Proietti, 2022).</w:t>
      </w:r>
      <w:r w:rsidRPr="005B083B">
        <w:rPr>
          <w:rFonts w:ascii="Times New Roman" w:hAnsi="Times New Roman" w:cs="Times New Roman"/>
          <w:sz w:val="20"/>
          <w:szCs w:val="20"/>
          <w:lang w:val="en-US"/>
        </w:rPr>
        <w:t xml:space="preserve"> </w:t>
      </w:r>
      <w:r w:rsidRPr="005B083B">
        <w:rPr>
          <w:rFonts w:ascii="Times New Roman" w:hAnsi="Times New Roman" w:cs="Times New Roman"/>
          <w:bCs/>
          <w:sz w:val="20"/>
          <w:szCs w:val="20"/>
          <w:lang w:val="en-US"/>
        </w:rPr>
        <w:t>This functional duality establishes light as a central modulator of both primary and secondary metabolism, directly influencing immediate morphogenic responses and the biosynthesis of specialized metabolites (Hashim et al., 2021).</w:t>
      </w:r>
    </w:p>
    <w:p w14:paraId="0A2B6E89" w14:textId="77777777" w:rsidR="00D30885" w:rsidRPr="005B083B" w:rsidRDefault="00D30885" w:rsidP="00D3088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993"/>
        <w:jc w:val="both"/>
        <w:rPr>
          <w:rFonts w:ascii="Times New Roman" w:hAnsi="Times New Roman" w:cs="Times New Roman"/>
          <w:bCs/>
          <w:sz w:val="20"/>
          <w:szCs w:val="20"/>
          <w:lang w:val="en-US"/>
        </w:rPr>
      </w:pPr>
      <w:r w:rsidRPr="005B083B">
        <w:rPr>
          <w:rFonts w:ascii="Times New Roman" w:hAnsi="Times New Roman" w:cs="Times New Roman"/>
          <w:bCs/>
          <w:sz w:val="20"/>
          <w:szCs w:val="20"/>
          <w:lang w:val="en-US"/>
        </w:rPr>
        <w:t xml:space="preserve">The implementation of Light-Emitting Diode (LED) technologies has revolutionized spectral quality control in cultivation systems. This technology enables the emission of wavelength ranges tailored to the specific physiological needs of plants, making it possible to induce targeted morphogenic responses (Dou et al., 2019; Hashim et al., 2021). In </w:t>
      </w:r>
      <w:r w:rsidRPr="005B083B">
        <w:rPr>
          <w:rFonts w:ascii="Times New Roman" w:hAnsi="Times New Roman" w:cs="Times New Roman"/>
          <w:bCs/>
          <w:i/>
          <w:iCs/>
          <w:sz w:val="20"/>
          <w:szCs w:val="20"/>
          <w:lang w:val="en-US"/>
        </w:rPr>
        <w:t>in vitro</w:t>
      </w:r>
      <w:r w:rsidRPr="005B083B">
        <w:rPr>
          <w:rFonts w:ascii="Times New Roman" w:hAnsi="Times New Roman" w:cs="Times New Roman"/>
          <w:bCs/>
          <w:sz w:val="20"/>
          <w:szCs w:val="20"/>
          <w:lang w:val="en-US"/>
        </w:rPr>
        <w:t xml:space="preserve"> cultivation environments, the modulation of light quality assumes great importance, since different spectra trigger specific metabolic activities, optimizing both vegetative growth and the production of bioactive compounds (Manivannan et al., 2021).</w:t>
      </w:r>
      <w:r w:rsidRPr="005B083B">
        <w:rPr>
          <w:rFonts w:ascii="Times New Roman" w:hAnsi="Times New Roman" w:cs="Times New Roman"/>
          <w:sz w:val="20"/>
          <w:szCs w:val="20"/>
          <w:lang w:val="en-US"/>
        </w:rPr>
        <w:t xml:space="preserve"> </w:t>
      </w:r>
      <w:r w:rsidRPr="005B083B">
        <w:rPr>
          <w:rFonts w:ascii="Times New Roman" w:hAnsi="Times New Roman" w:cs="Times New Roman"/>
          <w:bCs/>
          <w:sz w:val="20"/>
          <w:szCs w:val="20"/>
          <w:lang w:val="en-US"/>
        </w:rPr>
        <w:t xml:space="preserve">Scientific evidence indicates that strategic spectral combinations significantly enhance the </w:t>
      </w:r>
      <w:r w:rsidRPr="005B083B">
        <w:rPr>
          <w:rFonts w:ascii="Times New Roman" w:hAnsi="Times New Roman" w:cs="Times New Roman"/>
          <w:bCs/>
          <w:i/>
          <w:iCs/>
          <w:sz w:val="20"/>
          <w:szCs w:val="20"/>
          <w:lang w:val="en-US"/>
        </w:rPr>
        <w:t>in vitro</w:t>
      </w:r>
      <w:r w:rsidRPr="005B083B">
        <w:rPr>
          <w:rFonts w:ascii="Times New Roman" w:hAnsi="Times New Roman" w:cs="Times New Roman"/>
          <w:bCs/>
          <w:sz w:val="20"/>
          <w:szCs w:val="20"/>
          <w:lang w:val="en-US"/>
        </w:rPr>
        <w:t xml:space="preserve"> development of multiple plant species (Ali et al., 2019; Chen et al., 2020; Silva et al., 2020).</w:t>
      </w:r>
    </w:p>
    <w:p w14:paraId="3F3C2AA7" w14:textId="77777777" w:rsidR="00D30885" w:rsidRPr="005B083B" w:rsidRDefault="00D30885" w:rsidP="00D3088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993"/>
        <w:jc w:val="both"/>
        <w:rPr>
          <w:rFonts w:ascii="Times New Roman" w:hAnsi="Times New Roman" w:cs="Times New Roman"/>
          <w:sz w:val="20"/>
          <w:szCs w:val="20"/>
          <w:lang w:val="en-US"/>
        </w:rPr>
      </w:pPr>
      <w:r w:rsidRPr="005B083B">
        <w:rPr>
          <w:rFonts w:ascii="Times New Roman" w:hAnsi="Times New Roman" w:cs="Times New Roman"/>
          <w:bCs/>
          <w:sz w:val="20"/>
          <w:szCs w:val="20"/>
          <w:lang w:val="en-US"/>
        </w:rPr>
        <w:t>The physiological characterization of light qualities reveals distinct functional specificities.</w:t>
      </w:r>
      <w:r w:rsidRPr="005B083B">
        <w:rPr>
          <w:rFonts w:ascii="Times New Roman" w:hAnsi="Times New Roman" w:cs="Times New Roman"/>
          <w:sz w:val="20"/>
          <w:szCs w:val="20"/>
          <w:lang w:val="en-US"/>
        </w:rPr>
        <w:t xml:space="preserve"> </w:t>
      </w:r>
      <w:r w:rsidRPr="005B083B">
        <w:rPr>
          <w:rFonts w:ascii="Times New Roman" w:hAnsi="Times New Roman" w:cs="Times New Roman"/>
          <w:bCs/>
          <w:sz w:val="20"/>
          <w:szCs w:val="20"/>
          <w:lang w:val="en-US"/>
        </w:rPr>
        <w:t xml:space="preserve">White light, characterized by its broad and balanced spectrum, is effective in root development, shoot proliferation, aerial </w:t>
      </w:r>
      <w:r w:rsidRPr="005B083B">
        <w:rPr>
          <w:rFonts w:ascii="Times New Roman" w:hAnsi="Times New Roman" w:cs="Times New Roman"/>
          <w:bCs/>
          <w:sz w:val="20"/>
          <w:szCs w:val="20"/>
          <w:lang w:val="en-US"/>
        </w:rPr>
        <w:lastRenderedPageBreak/>
        <w:t xml:space="preserve">biomass accumulation, and carotenoid pigment synthesis in species such as </w:t>
      </w:r>
      <w:r w:rsidRPr="005B083B">
        <w:rPr>
          <w:rFonts w:ascii="Times New Roman" w:hAnsi="Times New Roman" w:cs="Times New Roman"/>
          <w:bCs/>
          <w:i/>
          <w:iCs/>
          <w:sz w:val="20"/>
          <w:szCs w:val="20"/>
          <w:lang w:val="en-US"/>
        </w:rPr>
        <w:t>Vanilla planifolia</w:t>
      </w:r>
      <w:r w:rsidRPr="005B083B">
        <w:rPr>
          <w:rFonts w:ascii="Times New Roman" w:hAnsi="Times New Roman" w:cs="Times New Roman"/>
          <w:bCs/>
          <w:sz w:val="20"/>
          <w:szCs w:val="20"/>
          <w:lang w:val="en-US"/>
        </w:rPr>
        <w:t xml:space="preserve"> and </w:t>
      </w:r>
      <w:r w:rsidRPr="005B083B">
        <w:rPr>
          <w:rFonts w:ascii="Times New Roman" w:hAnsi="Times New Roman" w:cs="Times New Roman"/>
          <w:bCs/>
          <w:i/>
          <w:iCs/>
          <w:sz w:val="20"/>
          <w:szCs w:val="20"/>
          <w:lang w:val="en-US"/>
        </w:rPr>
        <w:t>Saccharum officinarum</w:t>
      </w:r>
      <w:r w:rsidRPr="005B083B">
        <w:rPr>
          <w:rFonts w:ascii="Times New Roman" w:hAnsi="Times New Roman" w:cs="Times New Roman"/>
          <w:bCs/>
          <w:sz w:val="20"/>
          <w:szCs w:val="20"/>
          <w:lang w:val="en-US"/>
        </w:rPr>
        <w:t xml:space="preserve"> (Bello-Bello et al., 2016; De Araújo Silva et al., 2016; Cavallaro et al., 2022). Red light, recognized as the light quality with the highest photosynthetic efficiency, is widely used to optimize </w:t>
      </w:r>
      <w:r w:rsidRPr="005B083B">
        <w:rPr>
          <w:rFonts w:ascii="Times New Roman" w:hAnsi="Times New Roman" w:cs="Times New Roman"/>
          <w:bCs/>
          <w:i/>
          <w:iCs/>
          <w:sz w:val="20"/>
          <w:szCs w:val="20"/>
          <w:lang w:val="en-US"/>
        </w:rPr>
        <w:t>in vitro</w:t>
      </w:r>
      <w:r w:rsidRPr="005B083B">
        <w:rPr>
          <w:rFonts w:ascii="Times New Roman" w:hAnsi="Times New Roman" w:cs="Times New Roman"/>
          <w:bCs/>
          <w:sz w:val="20"/>
          <w:szCs w:val="20"/>
          <w:lang w:val="en-US"/>
        </w:rPr>
        <w:t xml:space="preserve"> survival and enhance the production of secondary metabolites, acting as an efficient elicitor in the biosynthesis of pharmacologically active compounds (</w:t>
      </w:r>
      <w:proofErr w:type="spellStart"/>
      <w:r w:rsidRPr="005B083B">
        <w:rPr>
          <w:rFonts w:ascii="Times New Roman" w:hAnsi="Times New Roman" w:cs="Times New Roman"/>
          <w:bCs/>
          <w:sz w:val="20"/>
          <w:szCs w:val="20"/>
          <w:lang w:val="en-US"/>
        </w:rPr>
        <w:t>Hogewoning</w:t>
      </w:r>
      <w:proofErr w:type="spellEnd"/>
      <w:r w:rsidRPr="005B083B">
        <w:rPr>
          <w:rFonts w:ascii="Times New Roman" w:hAnsi="Times New Roman" w:cs="Times New Roman"/>
          <w:bCs/>
          <w:sz w:val="20"/>
          <w:szCs w:val="20"/>
          <w:lang w:val="en-US"/>
        </w:rPr>
        <w:t xml:space="preserve"> et al., 2010). Blue light plays regulatory roles in stomatal opening and transpiration and helps prevent morphological disorders associated with the “red light syndrome” (Lee et al., 2007; Davis &amp; Burns, 2016).</w:t>
      </w:r>
      <w:r w:rsidRPr="005B083B">
        <w:rPr>
          <w:rFonts w:ascii="Times New Roman" w:hAnsi="Times New Roman" w:cs="Times New Roman"/>
          <w:sz w:val="20"/>
          <w:szCs w:val="20"/>
          <w:lang w:val="en-US"/>
        </w:rPr>
        <w:t xml:space="preserve"> </w:t>
      </w:r>
      <w:r w:rsidRPr="005B083B">
        <w:rPr>
          <w:rFonts w:ascii="Times New Roman" w:hAnsi="Times New Roman" w:cs="Times New Roman"/>
          <w:bCs/>
          <w:sz w:val="20"/>
          <w:szCs w:val="20"/>
          <w:lang w:val="en-US"/>
        </w:rPr>
        <w:t>Combined light spectra, particularly purple light, resulting from the combination of blue and red wavelengths, have shown superior effectiveness in the cultivation of plants with pharmacological properties (Cuong et al., 2019; Nadeem et al., 2019). This combination of different LED light qualities contributes to an increase in net photosynthetic rate and dry biomass accumulation and is widely applied in the controlled cultivation of species such as potato (</w:t>
      </w:r>
      <w:r w:rsidRPr="005B083B">
        <w:rPr>
          <w:rFonts w:ascii="Times New Roman" w:hAnsi="Times New Roman" w:cs="Times New Roman"/>
          <w:bCs/>
          <w:i/>
          <w:iCs/>
          <w:sz w:val="20"/>
          <w:szCs w:val="20"/>
          <w:lang w:val="en-US"/>
        </w:rPr>
        <w:t>Solanum tuberosum</w:t>
      </w:r>
      <w:r w:rsidRPr="005B083B">
        <w:rPr>
          <w:rFonts w:ascii="Times New Roman" w:hAnsi="Times New Roman" w:cs="Times New Roman"/>
          <w:bCs/>
          <w:sz w:val="20"/>
          <w:szCs w:val="20"/>
          <w:lang w:val="en-US"/>
        </w:rPr>
        <w:t>), Brazilian ginseng (</w:t>
      </w:r>
      <w:proofErr w:type="spellStart"/>
      <w:r w:rsidRPr="005B083B">
        <w:rPr>
          <w:rFonts w:ascii="Times New Roman" w:hAnsi="Times New Roman" w:cs="Times New Roman"/>
          <w:bCs/>
          <w:i/>
          <w:iCs/>
          <w:sz w:val="20"/>
          <w:szCs w:val="20"/>
          <w:lang w:val="en-US"/>
        </w:rPr>
        <w:t>Pfaffia</w:t>
      </w:r>
      <w:proofErr w:type="spellEnd"/>
      <w:r w:rsidRPr="005B083B">
        <w:rPr>
          <w:rFonts w:ascii="Times New Roman" w:hAnsi="Times New Roman" w:cs="Times New Roman"/>
          <w:bCs/>
          <w:i/>
          <w:iCs/>
          <w:sz w:val="20"/>
          <w:szCs w:val="20"/>
          <w:lang w:val="en-US"/>
        </w:rPr>
        <w:t xml:space="preserve"> glomerata</w:t>
      </w:r>
      <w:r w:rsidRPr="005B083B">
        <w:rPr>
          <w:rFonts w:ascii="Times New Roman" w:hAnsi="Times New Roman" w:cs="Times New Roman"/>
          <w:bCs/>
          <w:sz w:val="20"/>
          <w:szCs w:val="20"/>
          <w:lang w:val="en-US"/>
        </w:rPr>
        <w:t xml:space="preserve">), and </w:t>
      </w:r>
      <w:r w:rsidRPr="005B083B">
        <w:rPr>
          <w:rFonts w:ascii="Times New Roman" w:hAnsi="Times New Roman" w:cs="Times New Roman"/>
          <w:bCs/>
          <w:i/>
          <w:iCs/>
          <w:sz w:val="20"/>
          <w:szCs w:val="20"/>
          <w:lang w:val="en-US"/>
        </w:rPr>
        <w:t>Brassica chinensis</w:t>
      </w:r>
      <w:r w:rsidRPr="005B083B">
        <w:rPr>
          <w:rFonts w:ascii="Times New Roman" w:hAnsi="Times New Roman" w:cs="Times New Roman"/>
          <w:bCs/>
          <w:sz w:val="20"/>
          <w:szCs w:val="20"/>
          <w:lang w:val="en-US"/>
        </w:rPr>
        <w:t xml:space="preserve"> (</w:t>
      </w:r>
      <w:proofErr w:type="spellStart"/>
      <w:r w:rsidRPr="005B083B">
        <w:rPr>
          <w:rFonts w:ascii="Times New Roman" w:hAnsi="Times New Roman" w:cs="Times New Roman"/>
          <w:bCs/>
          <w:sz w:val="20"/>
          <w:szCs w:val="20"/>
          <w:lang w:val="en-US"/>
        </w:rPr>
        <w:t>Hogewoning</w:t>
      </w:r>
      <w:proofErr w:type="spellEnd"/>
      <w:r w:rsidRPr="005B083B">
        <w:rPr>
          <w:rFonts w:ascii="Times New Roman" w:hAnsi="Times New Roman" w:cs="Times New Roman"/>
          <w:bCs/>
          <w:sz w:val="20"/>
          <w:szCs w:val="20"/>
          <w:lang w:val="en-US"/>
        </w:rPr>
        <w:t xml:space="preserve"> et al., 2010; Ani et al., 2015; Luz et al., 2015).</w:t>
      </w:r>
    </w:p>
    <w:p w14:paraId="023D1AF1" w14:textId="0930CEF5" w:rsidR="00D30885" w:rsidRPr="005B083B" w:rsidRDefault="00D30885" w:rsidP="00D3088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993"/>
        <w:jc w:val="both"/>
        <w:rPr>
          <w:rFonts w:ascii="Times New Roman" w:hAnsi="Times New Roman" w:cs="Times New Roman"/>
          <w:bCs/>
          <w:sz w:val="20"/>
          <w:szCs w:val="20"/>
          <w:lang w:val="en-US"/>
        </w:rPr>
      </w:pPr>
      <w:r w:rsidRPr="005B083B">
        <w:rPr>
          <w:rFonts w:ascii="Times New Roman" w:hAnsi="Times New Roman" w:cs="Times New Roman"/>
          <w:bCs/>
          <w:sz w:val="20"/>
          <w:szCs w:val="20"/>
          <w:lang w:val="en-US"/>
        </w:rPr>
        <w:t xml:space="preserve">Despite the established advances in light quality modulation to enhance growth efficiency and phytochemical production, significant gaps still, remain in the understanding of aspects related to cladodes of </w:t>
      </w:r>
      <w:r w:rsidRPr="005B083B">
        <w:rPr>
          <w:rFonts w:ascii="Times New Roman" w:hAnsi="Times New Roman" w:cs="Times New Roman"/>
          <w:bCs/>
          <w:i/>
          <w:iCs/>
          <w:sz w:val="20"/>
          <w:szCs w:val="20"/>
          <w:lang w:val="en-US"/>
        </w:rPr>
        <w:t>in vitro</w:t>
      </w:r>
      <w:r w:rsidRPr="005B083B">
        <w:rPr>
          <w:rFonts w:ascii="Times New Roman" w:hAnsi="Times New Roman" w:cs="Times New Roman"/>
          <w:bCs/>
          <w:sz w:val="20"/>
          <w:szCs w:val="20"/>
          <w:lang w:val="en-US"/>
        </w:rPr>
        <w:t xml:space="preserve"> cultivated pitaya species.</w:t>
      </w:r>
      <w:r w:rsidRPr="005B083B">
        <w:rPr>
          <w:rFonts w:ascii="Times New Roman" w:hAnsi="Times New Roman" w:cs="Times New Roman"/>
          <w:sz w:val="20"/>
          <w:szCs w:val="20"/>
          <w:lang w:val="en-US"/>
        </w:rPr>
        <w:t xml:space="preserve"> </w:t>
      </w:r>
      <w:r w:rsidRPr="005B083B">
        <w:rPr>
          <w:rFonts w:ascii="Times New Roman" w:hAnsi="Times New Roman" w:cs="Times New Roman"/>
          <w:bCs/>
          <w:sz w:val="20"/>
          <w:szCs w:val="20"/>
          <w:lang w:val="en-US"/>
        </w:rPr>
        <w:t xml:space="preserve">This study evaluated the effects of different LED light qualities (white, blue, purple, and red) on the biometric, physiological, biochemical, elemental, and anatomical characteristics of cladodes from </w:t>
      </w:r>
      <w:r w:rsidRPr="005B083B">
        <w:rPr>
          <w:rFonts w:ascii="Times New Roman" w:hAnsi="Times New Roman" w:cs="Times New Roman"/>
          <w:bCs/>
          <w:i/>
          <w:iCs/>
          <w:sz w:val="20"/>
          <w:szCs w:val="20"/>
          <w:lang w:val="en-US"/>
        </w:rPr>
        <w:t>Selenicereus undatus</w:t>
      </w:r>
      <w:r w:rsidRPr="005B083B">
        <w:rPr>
          <w:rFonts w:ascii="Times New Roman" w:hAnsi="Times New Roman" w:cs="Times New Roman"/>
          <w:bCs/>
          <w:sz w:val="20"/>
          <w:szCs w:val="20"/>
          <w:lang w:val="en-US"/>
        </w:rPr>
        <w:t xml:space="preserve"> </w:t>
      </w:r>
      <w:r w:rsidRPr="005B083B">
        <w:rPr>
          <w:rFonts w:ascii="Times New Roman" w:hAnsi="Times New Roman" w:cs="Times New Roman"/>
          <w:sz w:val="20"/>
          <w:szCs w:val="20"/>
          <w:lang w:val="en-US"/>
        </w:rPr>
        <w:t>(Haw.) D.R.</w:t>
      </w:r>
      <w:r w:rsidR="00067FBC">
        <w:rPr>
          <w:rFonts w:ascii="Times New Roman" w:hAnsi="Times New Roman" w:cs="Times New Roman"/>
          <w:sz w:val="20"/>
          <w:szCs w:val="20"/>
          <w:lang w:val="en-US"/>
        </w:rPr>
        <w:t xml:space="preserve"> </w:t>
      </w:r>
      <w:r w:rsidRPr="005B083B">
        <w:rPr>
          <w:rFonts w:ascii="Times New Roman" w:hAnsi="Times New Roman" w:cs="Times New Roman"/>
          <w:sz w:val="20"/>
          <w:szCs w:val="20"/>
          <w:lang w:val="en-US"/>
        </w:rPr>
        <w:t xml:space="preserve">Hunt </w:t>
      </w:r>
      <w:r w:rsidRPr="005B083B">
        <w:rPr>
          <w:rFonts w:ascii="Times New Roman" w:hAnsi="Times New Roman" w:cs="Times New Roman"/>
          <w:bCs/>
          <w:sz w:val="20"/>
          <w:szCs w:val="20"/>
          <w:lang w:val="en-US"/>
        </w:rPr>
        <w:t xml:space="preserve">and </w:t>
      </w:r>
      <w:r w:rsidRPr="005B083B">
        <w:rPr>
          <w:rFonts w:ascii="Times New Roman" w:hAnsi="Times New Roman" w:cs="Times New Roman"/>
          <w:bCs/>
          <w:i/>
          <w:iCs/>
          <w:sz w:val="20"/>
          <w:szCs w:val="20"/>
          <w:lang w:val="en-US"/>
        </w:rPr>
        <w:t xml:space="preserve">Hylocereus </w:t>
      </w:r>
      <w:proofErr w:type="spellStart"/>
      <w:r w:rsidRPr="005B083B">
        <w:rPr>
          <w:rFonts w:ascii="Times New Roman" w:hAnsi="Times New Roman" w:cs="Times New Roman"/>
          <w:bCs/>
          <w:i/>
          <w:iCs/>
          <w:sz w:val="20"/>
          <w:szCs w:val="20"/>
          <w:lang w:val="en-US"/>
        </w:rPr>
        <w:t>polyrhizus</w:t>
      </w:r>
      <w:proofErr w:type="spellEnd"/>
      <w:r w:rsidRPr="005B083B">
        <w:rPr>
          <w:rFonts w:ascii="Times New Roman" w:hAnsi="Times New Roman" w:cs="Times New Roman"/>
          <w:bCs/>
          <w:sz w:val="20"/>
          <w:szCs w:val="20"/>
          <w:lang w:val="en-US"/>
        </w:rPr>
        <w:t xml:space="preserve"> </w:t>
      </w:r>
      <w:r w:rsidRPr="005B083B">
        <w:rPr>
          <w:rFonts w:ascii="Times New Roman" w:hAnsi="Times New Roman" w:cs="Times New Roman"/>
          <w:sz w:val="20"/>
          <w:szCs w:val="20"/>
          <w:lang w:val="en-US"/>
        </w:rPr>
        <w:t>(Salm-Dyck) R.</w:t>
      </w:r>
      <w:r w:rsidR="00067FBC">
        <w:rPr>
          <w:rFonts w:ascii="Times New Roman" w:hAnsi="Times New Roman" w:cs="Times New Roman"/>
          <w:sz w:val="20"/>
          <w:szCs w:val="20"/>
          <w:lang w:val="en-US"/>
        </w:rPr>
        <w:t xml:space="preserve"> </w:t>
      </w:r>
      <w:r w:rsidRPr="005B083B">
        <w:rPr>
          <w:rFonts w:ascii="Times New Roman" w:hAnsi="Times New Roman" w:cs="Times New Roman"/>
          <w:sz w:val="20"/>
          <w:szCs w:val="20"/>
          <w:lang w:val="en-US"/>
        </w:rPr>
        <w:t xml:space="preserve">Bauer (Cactaceae) </w:t>
      </w:r>
      <w:r w:rsidRPr="005B083B">
        <w:rPr>
          <w:rFonts w:ascii="Times New Roman" w:hAnsi="Times New Roman" w:cs="Times New Roman"/>
          <w:bCs/>
          <w:sz w:val="20"/>
          <w:szCs w:val="20"/>
          <w:lang w:val="en-US"/>
        </w:rPr>
        <w:t xml:space="preserve">micropropagated </w:t>
      </w:r>
      <w:r w:rsidRPr="005B083B">
        <w:rPr>
          <w:rFonts w:ascii="Times New Roman" w:hAnsi="Times New Roman" w:cs="Times New Roman"/>
          <w:bCs/>
          <w:i/>
          <w:iCs/>
          <w:sz w:val="20"/>
          <w:szCs w:val="20"/>
          <w:lang w:val="en-US"/>
        </w:rPr>
        <w:t>in vitro</w:t>
      </w:r>
      <w:r w:rsidRPr="005B083B">
        <w:rPr>
          <w:rFonts w:ascii="Times New Roman" w:hAnsi="Times New Roman" w:cs="Times New Roman"/>
          <w:bCs/>
          <w:sz w:val="20"/>
          <w:szCs w:val="20"/>
          <w:lang w:val="en-US"/>
        </w:rPr>
        <w:t xml:space="preserve"> and cultured in MS medium for 65 days.</w:t>
      </w:r>
    </w:p>
    <w:p w14:paraId="3040A071" w14:textId="7D3F53F5" w:rsidR="00352A16" w:rsidRPr="005B083B" w:rsidRDefault="00352A16" w:rsidP="00D3088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0"/>
          <w:szCs w:val="20"/>
          <w:lang w:val="en-US"/>
        </w:rPr>
      </w:pPr>
    </w:p>
    <w:p w14:paraId="569D6241" w14:textId="77777777" w:rsidR="0018028A" w:rsidRPr="005B083B" w:rsidRDefault="0018028A" w:rsidP="0018028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
          <w:bCs/>
          <w:sz w:val="20"/>
          <w:szCs w:val="20"/>
          <w:lang w:val="en-GB"/>
        </w:rPr>
      </w:pPr>
      <w:r w:rsidRPr="005B083B">
        <w:rPr>
          <w:rFonts w:ascii="Times New Roman" w:hAnsi="Times New Roman" w:cs="Times New Roman"/>
          <w:b/>
          <w:bCs/>
          <w:sz w:val="20"/>
          <w:szCs w:val="20"/>
          <w:lang w:val="en-GB"/>
        </w:rPr>
        <w:t>MATERIALS AND METHODS</w:t>
      </w:r>
    </w:p>
    <w:p w14:paraId="137FA00F" w14:textId="257AE168" w:rsidR="004D35C4" w:rsidRPr="005B083B" w:rsidRDefault="00E93C8E" w:rsidP="004D35C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Cs/>
          <w:sz w:val="20"/>
          <w:szCs w:val="20"/>
          <w:lang w:val="en-US"/>
        </w:rPr>
      </w:pPr>
      <w:r w:rsidRPr="005B083B">
        <w:rPr>
          <w:rFonts w:ascii="Times New Roman" w:hAnsi="Times New Roman" w:cs="Times New Roman"/>
          <w:sz w:val="20"/>
          <w:szCs w:val="20"/>
          <w:lang w:val="en-GB"/>
        </w:rPr>
        <w:tab/>
      </w:r>
      <w:r w:rsidR="004D35C4" w:rsidRPr="005B083B">
        <w:rPr>
          <w:rFonts w:ascii="Times New Roman" w:hAnsi="Times New Roman" w:cs="Times New Roman"/>
          <w:bCs/>
          <w:sz w:val="20"/>
          <w:szCs w:val="20"/>
          <w:lang w:val="en-US"/>
        </w:rPr>
        <w:t xml:space="preserve">The experiment was conducted at the </w:t>
      </w:r>
      <w:proofErr w:type="spellStart"/>
      <w:r w:rsidR="007467F4" w:rsidRPr="005B083B">
        <w:rPr>
          <w:rFonts w:ascii="Times New Roman" w:hAnsi="Times New Roman" w:cs="Times New Roman"/>
          <w:bCs/>
          <w:sz w:val="20"/>
          <w:szCs w:val="20"/>
          <w:lang w:val="en-US"/>
        </w:rPr>
        <w:t>Laboratório</w:t>
      </w:r>
      <w:proofErr w:type="spellEnd"/>
      <w:r w:rsidR="007467F4" w:rsidRPr="005B083B">
        <w:rPr>
          <w:rFonts w:ascii="Times New Roman" w:hAnsi="Times New Roman" w:cs="Times New Roman"/>
          <w:bCs/>
          <w:sz w:val="20"/>
          <w:szCs w:val="20"/>
          <w:lang w:val="en-US"/>
        </w:rPr>
        <w:t xml:space="preserve"> de Cultura de </w:t>
      </w:r>
      <w:proofErr w:type="spellStart"/>
      <w:r w:rsidR="007467F4" w:rsidRPr="005B083B">
        <w:rPr>
          <w:rFonts w:ascii="Times New Roman" w:hAnsi="Times New Roman" w:cs="Times New Roman"/>
          <w:bCs/>
          <w:sz w:val="20"/>
          <w:szCs w:val="20"/>
          <w:lang w:val="en-US"/>
        </w:rPr>
        <w:t>Tecidos</w:t>
      </w:r>
      <w:proofErr w:type="spellEnd"/>
      <w:r w:rsidR="004D35C4" w:rsidRPr="005B083B">
        <w:rPr>
          <w:rFonts w:ascii="Times New Roman" w:hAnsi="Times New Roman" w:cs="Times New Roman"/>
          <w:bCs/>
          <w:sz w:val="20"/>
          <w:szCs w:val="20"/>
          <w:lang w:val="en-US"/>
        </w:rPr>
        <w:t xml:space="preserve"> of the </w:t>
      </w:r>
      <w:r w:rsidR="007467F4" w:rsidRPr="005B083B">
        <w:rPr>
          <w:rFonts w:ascii="Times New Roman" w:hAnsi="Times New Roman" w:cs="Times New Roman"/>
          <w:bCs/>
          <w:sz w:val="20"/>
          <w:szCs w:val="20"/>
          <w:lang w:val="en-US"/>
        </w:rPr>
        <w:t>Departamento de Agricultura</w:t>
      </w:r>
      <w:r w:rsidR="004D35C4" w:rsidRPr="005B083B">
        <w:rPr>
          <w:rFonts w:ascii="Times New Roman" w:hAnsi="Times New Roman" w:cs="Times New Roman"/>
          <w:bCs/>
          <w:sz w:val="20"/>
          <w:szCs w:val="20"/>
          <w:lang w:val="en-US"/>
        </w:rPr>
        <w:t xml:space="preserve">, </w:t>
      </w:r>
      <w:proofErr w:type="spellStart"/>
      <w:r w:rsidR="007467F4" w:rsidRPr="005B083B">
        <w:rPr>
          <w:rFonts w:ascii="Times New Roman" w:hAnsi="Times New Roman" w:cs="Times New Roman"/>
          <w:bCs/>
          <w:sz w:val="20"/>
          <w:szCs w:val="20"/>
          <w:lang w:val="en-US"/>
        </w:rPr>
        <w:t>Universidade</w:t>
      </w:r>
      <w:proofErr w:type="spellEnd"/>
      <w:r w:rsidR="007467F4" w:rsidRPr="005B083B">
        <w:rPr>
          <w:rFonts w:ascii="Times New Roman" w:hAnsi="Times New Roman" w:cs="Times New Roman"/>
          <w:bCs/>
          <w:sz w:val="20"/>
          <w:szCs w:val="20"/>
          <w:lang w:val="en-US"/>
        </w:rPr>
        <w:t xml:space="preserve"> Federal de Lavras</w:t>
      </w:r>
      <w:r w:rsidR="004D35C4" w:rsidRPr="005B083B">
        <w:rPr>
          <w:rFonts w:ascii="Times New Roman" w:hAnsi="Times New Roman" w:cs="Times New Roman"/>
          <w:bCs/>
          <w:sz w:val="20"/>
          <w:szCs w:val="20"/>
          <w:lang w:val="en-US"/>
        </w:rPr>
        <w:t xml:space="preserve"> (UFLA), in Lavras, Minas Gerais State, Brazil.</w:t>
      </w:r>
    </w:p>
    <w:p w14:paraId="05016A46" w14:textId="77777777" w:rsidR="00257A77" w:rsidRPr="008E7A74" w:rsidRDefault="00257A77" w:rsidP="001E273B">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0"/>
          <w:szCs w:val="20"/>
          <w:lang w:val="en-US"/>
        </w:rPr>
      </w:pPr>
    </w:p>
    <w:p w14:paraId="583EEA2A" w14:textId="77777777" w:rsidR="008815B5" w:rsidRPr="008E7A74" w:rsidRDefault="008815B5" w:rsidP="00945C4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
          <w:sz w:val="20"/>
          <w:szCs w:val="20"/>
          <w:lang w:val="en-US"/>
        </w:rPr>
      </w:pPr>
      <w:r w:rsidRPr="008E7A74">
        <w:rPr>
          <w:rFonts w:ascii="Times New Roman" w:hAnsi="Times New Roman" w:cs="Times New Roman"/>
          <w:b/>
          <w:sz w:val="20"/>
          <w:szCs w:val="20"/>
          <w:lang w:val="en-US"/>
        </w:rPr>
        <w:t xml:space="preserve">Plant material and </w:t>
      </w:r>
      <w:r w:rsidRPr="008E7A74">
        <w:rPr>
          <w:rFonts w:ascii="Times New Roman" w:hAnsi="Times New Roman" w:cs="Times New Roman"/>
          <w:b/>
          <w:i/>
          <w:iCs/>
          <w:sz w:val="20"/>
          <w:szCs w:val="20"/>
          <w:lang w:val="en-US"/>
        </w:rPr>
        <w:t>in vitro</w:t>
      </w:r>
      <w:r w:rsidRPr="008E7A74">
        <w:rPr>
          <w:rFonts w:ascii="Times New Roman" w:hAnsi="Times New Roman" w:cs="Times New Roman"/>
          <w:b/>
          <w:sz w:val="20"/>
          <w:szCs w:val="20"/>
          <w:lang w:val="en-US"/>
        </w:rPr>
        <w:t xml:space="preserve"> culture</w:t>
      </w:r>
    </w:p>
    <w:p w14:paraId="3DB736A9" w14:textId="77777777" w:rsidR="00323330" w:rsidRPr="00323330" w:rsidRDefault="00945C44" w:rsidP="0032333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highlight w:val="yellow"/>
          <w:lang w:val="en-US"/>
        </w:rPr>
      </w:pPr>
      <w:r w:rsidRPr="008E7A74">
        <w:rPr>
          <w:rFonts w:ascii="Times New Roman" w:hAnsi="Times New Roman" w:cs="Times New Roman"/>
          <w:sz w:val="20"/>
          <w:szCs w:val="20"/>
          <w:lang w:val="en-US"/>
        </w:rPr>
        <w:tab/>
      </w:r>
      <w:r w:rsidR="00323330" w:rsidRPr="00323330">
        <w:rPr>
          <w:rFonts w:ascii="Times New Roman" w:hAnsi="Times New Roman" w:cs="Times New Roman"/>
          <w:bCs/>
          <w:sz w:val="20"/>
          <w:szCs w:val="20"/>
          <w:highlight w:val="yellow"/>
          <w:lang w:val="en-US"/>
        </w:rPr>
        <w:t xml:space="preserve">Plants (2.5 ± 0.5 cm) of </w:t>
      </w:r>
      <w:r w:rsidR="00323330" w:rsidRPr="00323330">
        <w:rPr>
          <w:rFonts w:ascii="Times New Roman" w:hAnsi="Times New Roman" w:cs="Times New Roman"/>
          <w:bCs/>
          <w:i/>
          <w:iCs/>
          <w:sz w:val="20"/>
          <w:szCs w:val="20"/>
          <w:highlight w:val="yellow"/>
          <w:lang w:val="en-US"/>
        </w:rPr>
        <w:t>Selenicereus undatus</w:t>
      </w:r>
      <w:r w:rsidR="00323330" w:rsidRPr="00323330">
        <w:rPr>
          <w:rFonts w:ascii="Times New Roman" w:hAnsi="Times New Roman" w:cs="Times New Roman"/>
          <w:bCs/>
          <w:sz w:val="20"/>
          <w:szCs w:val="20"/>
          <w:highlight w:val="yellow"/>
          <w:lang w:val="en-US"/>
        </w:rPr>
        <w:t xml:space="preserve"> (Haw.) D.R. Hunt and </w:t>
      </w:r>
      <w:r w:rsidR="00323330" w:rsidRPr="00323330">
        <w:rPr>
          <w:rFonts w:ascii="Times New Roman" w:hAnsi="Times New Roman" w:cs="Times New Roman"/>
          <w:bCs/>
          <w:i/>
          <w:iCs/>
          <w:sz w:val="20"/>
          <w:szCs w:val="20"/>
          <w:highlight w:val="yellow"/>
          <w:lang w:val="en-US"/>
        </w:rPr>
        <w:t xml:space="preserve">Hylocereus </w:t>
      </w:r>
      <w:proofErr w:type="spellStart"/>
      <w:r w:rsidR="00323330" w:rsidRPr="00323330">
        <w:rPr>
          <w:rFonts w:ascii="Times New Roman" w:hAnsi="Times New Roman" w:cs="Times New Roman"/>
          <w:bCs/>
          <w:i/>
          <w:iCs/>
          <w:sz w:val="20"/>
          <w:szCs w:val="20"/>
          <w:highlight w:val="yellow"/>
          <w:lang w:val="en-US"/>
        </w:rPr>
        <w:t>polyrhizus</w:t>
      </w:r>
      <w:proofErr w:type="spellEnd"/>
      <w:r w:rsidR="00323330" w:rsidRPr="00323330">
        <w:rPr>
          <w:rFonts w:ascii="Times New Roman" w:hAnsi="Times New Roman" w:cs="Times New Roman"/>
          <w:bCs/>
          <w:sz w:val="20"/>
          <w:szCs w:val="20"/>
          <w:highlight w:val="yellow"/>
          <w:lang w:val="en-US"/>
        </w:rPr>
        <w:t xml:space="preserve"> (Salm-Dyck) R. Bauer, previously established in MS medium (Murashige and Skoog, 1962) without plant growth regulators, were used as a source of explants. Cladodes (~1.5 cm in length) were inoculated into 250 mL glass flasks containing 50 mL of MS medium supplemented with 30 g L⁻¹ sucrose and 5.6 g L⁻¹ agar (</w:t>
      </w:r>
      <w:proofErr w:type="spellStart"/>
      <w:r w:rsidR="00323330" w:rsidRPr="00323330">
        <w:rPr>
          <w:rFonts w:ascii="Times New Roman" w:hAnsi="Times New Roman" w:cs="Times New Roman"/>
          <w:bCs/>
          <w:sz w:val="20"/>
          <w:szCs w:val="20"/>
          <w:highlight w:val="yellow"/>
          <w:lang w:val="en-US"/>
        </w:rPr>
        <w:t>Agargel</w:t>
      </w:r>
      <w:proofErr w:type="spellEnd"/>
      <w:r w:rsidR="00323330" w:rsidRPr="00323330">
        <w:rPr>
          <w:rFonts w:ascii="Times New Roman" w:hAnsi="Times New Roman" w:cs="Times New Roman"/>
          <w:bCs/>
          <w:sz w:val="20"/>
          <w:szCs w:val="20"/>
          <w:highlight w:val="yellow"/>
          <w:lang w:val="en-US"/>
        </w:rPr>
        <w:t xml:space="preserve"> Indústria e Comércio </w:t>
      </w:r>
      <w:proofErr w:type="spellStart"/>
      <w:r w:rsidR="00323330" w:rsidRPr="00323330">
        <w:rPr>
          <w:rFonts w:ascii="Times New Roman" w:hAnsi="Times New Roman" w:cs="Times New Roman"/>
          <w:bCs/>
          <w:sz w:val="20"/>
          <w:szCs w:val="20"/>
          <w:highlight w:val="yellow"/>
          <w:lang w:val="en-US"/>
        </w:rPr>
        <w:t>Ltda</w:t>
      </w:r>
      <w:proofErr w:type="spellEnd"/>
      <w:r w:rsidR="00323330" w:rsidRPr="00323330">
        <w:rPr>
          <w:rFonts w:ascii="Times New Roman" w:hAnsi="Times New Roman" w:cs="Times New Roman"/>
          <w:bCs/>
          <w:sz w:val="20"/>
          <w:szCs w:val="20"/>
          <w:highlight w:val="yellow"/>
          <w:lang w:val="en-US"/>
        </w:rPr>
        <w:t>). The medium pH was adjusted to 6.0 ± 0.2 prior to autoclaving at 121 °C and 1.2 atm for 20 min. Five cladodes were inoculated per flask under sterile conditions in a laminar flow chamber (VECO®, HLFS-12).</w:t>
      </w:r>
    </w:p>
    <w:p w14:paraId="38B8C743" w14:textId="7F0C1CE8" w:rsidR="00323330" w:rsidRPr="00323330" w:rsidRDefault="00323330" w:rsidP="0032333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highlight w:val="yellow"/>
          <w:lang w:val="en-US"/>
        </w:rPr>
      </w:pPr>
      <w:r w:rsidRPr="00323330">
        <w:rPr>
          <w:rFonts w:ascii="Times New Roman" w:hAnsi="Times New Roman" w:cs="Times New Roman"/>
          <w:bCs/>
          <w:sz w:val="20"/>
          <w:szCs w:val="20"/>
          <w:highlight w:val="yellow"/>
          <w:lang w:val="en-US"/>
        </w:rPr>
        <w:tab/>
        <w:t>Cultures were maintained in a growth room at 25 ± 2 °C for 65 days under a 16 h photoperiod. LED lamps (</w:t>
      </w:r>
      <w:proofErr w:type="spellStart"/>
      <w:r w:rsidRPr="00323330">
        <w:rPr>
          <w:rFonts w:ascii="Times New Roman" w:hAnsi="Times New Roman" w:cs="Times New Roman"/>
          <w:bCs/>
          <w:sz w:val="20"/>
          <w:szCs w:val="20"/>
          <w:highlight w:val="yellow"/>
          <w:lang w:val="en-US"/>
        </w:rPr>
        <w:t>Empalux</w:t>
      </w:r>
      <w:proofErr w:type="spellEnd"/>
      <w:r w:rsidRPr="00323330">
        <w:rPr>
          <w:rFonts w:ascii="Times New Roman" w:hAnsi="Times New Roman" w:cs="Times New Roman"/>
          <w:bCs/>
          <w:sz w:val="20"/>
          <w:szCs w:val="20"/>
          <w:highlight w:val="yellow"/>
          <w:lang w:val="en-US"/>
        </w:rPr>
        <w:t>® FT8 HO, 36 W / 6400 K) with different spectral compositions provided illumination: white (WL), blue (BL), purple (PL), and red (RL).</w:t>
      </w:r>
    </w:p>
    <w:p w14:paraId="46277EC7" w14:textId="086CE278" w:rsidR="00323330" w:rsidRPr="00323330" w:rsidRDefault="00323330" w:rsidP="0032333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highlight w:val="yellow"/>
          <w:lang w:val="en-US"/>
        </w:rPr>
      </w:pPr>
      <w:r w:rsidRPr="00323330">
        <w:rPr>
          <w:rFonts w:ascii="Times New Roman" w:hAnsi="Times New Roman" w:cs="Times New Roman"/>
          <w:bCs/>
          <w:sz w:val="20"/>
          <w:szCs w:val="20"/>
          <w:highlight w:val="yellow"/>
          <w:lang w:val="en-US"/>
        </w:rPr>
        <w:tab/>
        <w:t>Light intensity at shelf level was measured using a digital lux meter (</w:t>
      </w:r>
      <w:proofErr w:type="spellStart"/>
      <w:r w:rsidRPr="00323330">
        <w:rPr>
          <w:rFonts w:ascii="Times New Roman" w:hAnsi="Times New Roman" w:cs="Times New Roman"/>
          <w:bCs/>
          <w:sz w:val="20"/>
          <w:szCs w:val="20"/>
          <w:highlight w:val="yellow"/>
          <w:lang w:val="en-US"/>
        </w:rPr>
        <w:t>Politerm</w:t>
      </w:r>
      <w:proofErr w:type="spellEnd"/>
      <w:r w:rsidRPr="00323330">
        <w:rPr>
          <w:rFonts w:ascii="Times New Roman" w:hAnsi="Times New Roman" w:cs="Times New Roman"/>
          <w:bCs/>
          <w:sz w:val="20"/>
          <w:szCs w:val="20"/>
          <w:highlight w:val="yellow"/>
          <w:lang w:val="en-US"/>
        </w:rPr>
        <w:t xml:space="preserve">®, POL-10B). Measurements were taken at three positions (left, center, and right) across the culture shelves (1.29 m²), positioned 21 cm below the LED sources and approximately 3 cm above the top of the culture flasks. Mean illuminance (lux) values were converted to estimated photosynthetic photon flux density (PPFD, </w:t>
      </w:r>
      <w:r w:rsidRPr="00323330">
        <w:rPr>
          <w:rFonts w:ascii="Times New Roman" w:hAnsi="Times New Roman" w:cs="Times New Roman"/>
          <w:bCs/>
          <w:sz w:val="20"/>
          <w:szCs w:val="20"/>
          <w:highlight w:val="yellow"/>
        </w:rPr>
        <w:t>μ</w:t>
      </w:r>
      <w:r w:rsidRPr="00323330">
        <w:rPr>
          <w:rFonts w:ascii="Times New Roman" w:hAnsi="Times New Roman" w:cs="Times New Roman"/>
          <w:bCs/>
          <w:sz w:val="20"/>
          <w:szCs w:val="20"/>
          <w:highlight w:val="yellow"/>
          <w:lang w:val="en-US"/>
        </w:rPr>
        <w:t>mol m⁻² s⁻¹) using spectrum-</w:t>
      </w:r>
      <w:r w:rsidRPr="00323330">
        <w:rPr>
          <w:rFonts w:ascii="Times New Roman" w:hAnsi="Times New Roman" w:cs="Times New Roman"/>
          <w:bCs/>
          <w:sz w:val="20"/>
          <w:szCs w:val="20"/>
          <w:highlight w:val="yellow"/>
          <w:lang w:val="en-US"/>
        </w:rPr>
        <w:lastRenderedPageBreak/>
        <w:t xml:space="preserve">dependent conversion factors derived from established relationships between photometric (lux) and quantum (PAR) measurements in controlled environment lighting systems (Yeh &amp; Chung, 2009; Hernández &amp; Kubota, 2016; Bugbee, 2014). Because the conversion depends strongly on spectral composition, specific factors were applied for each LED treatment (white, blue, red, and purple), resulting in estimated PPFD values of approximately 40, 31, 34, and 32 </w:t>
      </w:r>
      <w:r w:rsidRPr="00323330">
        <w:rPr>
          <w:rFonts w:ascii="Times New Roman" w:hAnsi="Times New Roman" w:cs="Times New Roman"/>
          <w:bCs/>
          <w:sz w:val="20"/>
          <w:szCs w:val="20"/>
          <w:highlight w:val="yellow"/>
        </w:rPr>
        <w:t>μ</w:t>
      </w:r>
      <w:r w:rsidRPr="00323330">
        <w:rPr>
          <w:rFonts w:ascii="Times New Roman" w:hAnsi="Times New Roman" w:cs="Times New Roman"/>
          <w:bCs/>
          <w:sz w:val="20"/>
          <w:szCs w:val="20"/>
          <w:highlight w:val="yellow"/>
          <w:lang w:val="en-US"/>
        </w:rPr>
        <w:t>mol m⁻² s⁻¹, respectively.</w:t>
      </w:r>
    </w:p>
    <w:p w14:paraId="74377906" w14:textId="4126DBBE" w:rsidR="00323330" w:rsidRPr="00323330" w:rsidRDefault="00323330" w:rsidP="0032333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lang w:val="en-US"/>
        </w:rPr>
      </w:pPr>
      <w:r w:rsidRPr="00323330">
        <w:rPr>
          <w:rFonts w:ascii="Times New Roman" w:hAnsi="Times New Roman" w:cs="Times New Roman"/>
          <w:bCs/>
          <w:sz w:val="20"/>
          <w:szCs w:val="20"/>
          <w:highlight w:val="yellow"/>
          <w:lang w:val="en-US"/>
        </w:rPr>
        <w:tab/>
        <w:t>Given the inherent limitations of lux-based measurements and their dependence on spectral distribution, particularly in narrow-band LED systems, PPFD values are presented as estimates. Nevertheless, lighting conditions were standardized to ensure comparable photosynthetically active radiation levels across treatments, allowing treatment effects to be primarily attributed to spectral quality rather than major differences in photon flux density.</w:t>
      </w:r>
    </w:p>
    <w:p w14:paraId="13422D20" w14:textId="0F2AC821" w:rsidR="00513568" w:rsidRPr="008E7A74" w:rsidRDefault="00513568" w:rsidP="0032333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
          <w:sz w:val="20"/>
          <w:szCs w:val="20"/>
          <w:lang w:val="en-US"/>
        </w:rPr>
      </w:pPr>
      <w:r w:rsidRPr="008E7A74">
        <w:rPr>
          <w:rFonts w:ascii="Times New Roman" w:hAnsi="Times New Roman" w:cs="Times New Roman"/>
          <w:b/>
          <w:sz w:val="20"/>
          <w:szCs w:val="20"/>
          <w:lang w:val="en-US"/>
        </w:rPr>
        <w:t>Biometric characteristics</w:t>
      </w:r>
    </w:p>
    <w:p w14:paraId="449A9923" w14:textId="7223D40E" w:rsidR="00DD46AF" w:rsidRPr="00D44C98" w:rsidRDefault="007B5492" w:rsidP="00D44C9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lang w:val="en-US"/>
        </w:rPr>
      </w:pPr>
      <w:r w:rsidRPr="008E7A74">
        <w:rPr>
          <w:rFonts w:ascii="Times New Roman" w:hAnsi="Times New Roman" w:cs="Times New Roman"/>
          <w:sz w:val="20"/>
          <w:szCs w:val="20"/>
          <w:lang w:val="en-US"/>
        </w:rPr>
        <w:tab/>
      </w:r>
      <w:r w:rsidR="00D44C98" w:rsidRPr="00D44C98">
        <w:rPr>
          <w:rFonts w:ascii="Times New Roman" w:hAnsi="Times New Roman" w:cs="Times New Roman"/>
          <w:bCs/>
          <w:sz w:val="20"/>
          <w:szCs w:val="20"/>
          <w:lang w:val="en-US"/>
        </w:rPr>
        <w:t xml:space="preserve">Biometric parameters, including cladode diameter (mm), shoot length (cm), and fresh and dry masses (g) of the shoot and root of the cladodes, were measured in ten randomly selected plants from each treatment, 65 days after inoculation. Cladode diameter and shoot length were measured using a millimeter ruler. Fresh masses of the shoot and root were determined immediately after sample collection using an analytical balance (OHAUS, model PR224BR) with four decimal places. Subsequently, the plant material was dried in a forced-air oven at 65 °C for 72 hours until constant weight was achieved. After drying, the samples were allowed to reach thermal stabilization in a </w:t>
      </w:r>
      <w:proofErr w:type="spellStart"/>
      <w:r w:rsidR="00D44C98" w:rsidRPr="00D44C98">
        <w:rPr>
          <w:rFonts w:ascii="Times New Roman" w:hAnsi="Times New Roman" w:cs="Times New Roman"/>
          <w:bCs/>
          <w:sz w:val="20"/>
          <w:szCs w:val="20"/>
          <w:lang w:val="en-US"/>
        </w:rPr>
        <w:t>styrofoam</w:t>
      </w:r>
      <w:proofErr w:type="spellEnd"/>
      <w:r w:rsidR="00D44C98" w:rsidRPr="00D44C98">
        <w:rPr>
          <w:rFonts w:ascii="Times New Roman" w:hAnsi="Times New Roman" w:cs="Times New Roman"/>
          <w:bCs/>
          <w:sz w:val="20"/>
          <w:szCs w:val="20"/>
          <w:lang w:val="en-US"/>
        </w:rPr>
        <w:t xml:space="preserve"> box, and then the dry masses of the shoot and root were measured using the same analytical balance.</w:t>
      </w:r>
    </w:p>
    <w:p w14:paraId="1DE4D85C" w14:textId="79F1B02C" w:rsidR="00352A16" w:rsidRPr="008E7A74" w:rsidRDefault="00352A16" w:rsidP="00DD46A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0"/>
          <w:szCs w:val="20"/>
          <w:lang w:val="en-US"/>
        </w:rPr>
      </w:pPr>
    </w:p>
    <w:p w14:paraId="21DE10AA" w14:textId="77777777" w:rsidR="00C26F3C" w:rsidRPr="008E7A74" w:rsidRDefault="00C26F3C" w:rsidP="00FF57A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
          <w:sz w:val="20"/>
          <w:szCs w:val="20"/>
          <w:lang w:val="en-US"/>
        </w:rPr>
      </w:pPr>
      <w:r w:rsidRPr="008E7A74">
        <w:rPr>
          <w:rFonts w:ascii="Times New Roman" w:hAnsi="Times New Roman" w:cs="Times New Roman"/>
          <w:b/>
          <w:sz w:val="20"/>
          <w:szCs w:val="20"/>
          <w:lang w:val="en-US"/>
        </w:rPr>
        <w:t>Photosynthetic pigments</w:t>
      </w:r>
    </w:p>
    <w:p w14:paraId="6D43944E" w14:textId="6249EB9E" w:rsidR="00F92353" w:rsidRDefault="009B3D84" w:rsidP="00FF57A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Cs/>
          <w:sz w:val="20"/>
          <w:szCs w:val="20"/>
          <w:lang w:val="en-US"/>
        </w:rPr>
      </w:pPr>
      <w:r w:rsidRPr="008E7A74">
        <w:rPr>
          <w:rFonts w:ascii="Times New Roman" w:hAnsi="Times New Roman" w:cs="Times New Roman"/>
          <w:sz w:val="20"/>
          <w:szCs w:val="20"/>
          <w:lang w:val="en-US"/>
        </w:rPr>
        <w:tab/>
      </w:r>
      <w:r w:rsidR="00C622A1" w:rsidRPr="00604C4F">
        <w:rPr>
          <w:rFonts w:ascii="Times New Roman" w:hAnsi="Times New Roman" w:cs="Times New Roman"/>
          <w:bCs/>
          <w:sz w:val="20"/>
          <w:szCs w:val="20"/>
          <w:lang w:val="en-US"/>
        </w:rPr>
        <w:t xml:space="preserve">The analysis of photosynthetic pigments was performed using cladodes (± 0.050 g) from five plants of </w:t>
      </w:r>
      <w:r w:rsidR="00C622A1" w:rsidRPr="00604C4F">
        <w:rPr>
          <w:rFonts w:ascii="Times New Roman" w:hAnsi="Times New Roman" w:cs="Times New Roman"/>
          <w:bCs/>
          <w:i/>
          <w:iCs/>
          <w:sz w:val="20"/>
          <w:szCs w:val="20"/>
          <w:lang w:val="en-US"/>
        </w:rPr>
        <w:t>Selenicereus undatus</w:t>
      </w:r>
      <w:r w:rsidR="00C622A1" w:rsidRPr="00604C4F">
        <w:rPr>
          <w:rFonts w:ascii="Times New Roman" w:hAnsi="Times New Roman" w:cs="Times New Roman"/>
          <w:bCs/>
          <w:sz w:val="20"/>
          <w:szCs w:val="20"/>
          <w:lang w:val="en-US"/>
        </w:rPr>
        <w:t xml:space="preserve"> and </w:t>
      </w:r>
      <w:r w:rsidR="00C622A1" w:rsidRPr="00604C4F">
        <w:rPr>
          <w:rFonts w:ascii="Times New Roman" w:hAnsi="Times New Roman" w:cs="Times New Roman"/>
          <w:bCs/>
          <w:i/>
          <w:iCs/>
          <w:sz w:val="20"/>
          <w:szCs w:val="20"/>
          <w:lang w:val="en-US"/>
        </w:rPr>
        <w:t xml:space="preserve">Hylocereus </w:t>
      </w:r>
      <w:proofErr w:type="spellStart"/>
      <w:r w:rsidR="00C622A1" w:rsidRPr="00604C4F">
        <w:rPr>
          <w:rFonts w:ascii="Times New Roman" w:hAnsi="Times New Roman" w:cs="Times New Roman"/>
          <w:bCs/>
          <w:i/>
          <w:iCs/>
          <w:sz w:val="20"/>
          <w:szCs w:val="20"/>
          <w:lang w:val="en-US"/>
        </w:rPr>
        <w:t>polyrhizus</w:t>
      </w:r>
      <w:proofErr w:type="spellEnd"/>
      <w:r w:rsidR="00C622A1" w:rsidRPr="00604C4F">
        <w:rPr>
          <w:rFonts w:ascii="Times New Roman" w:hAnsi="Times New Roman" w:cs="Times New Roman"/>
          <w:bCs/>
          <w:sz w:val="20"/>
          <w:szCs w:val="20"/>
          <w:lang w:val="en-US"/>
        </w:rPr>
        <w:t xml:space="preserve">, randomly selected from each treatment after 65 days of </w:t>
      </w:r>
      <w:r w:rsidR="00C622A1" w:rsidRPr="00604C4F">
        <w:rPr>
          <w:rFonts w:ascii="Times New Roman" w:hAnsi="Times New Roman" w:cs="Times New Roman"/>
          <w:bCs/>
          <w:i/>
          <w:iCs/>
          <w:sz w:val="20"/>
          <w:szCs w:val="20"/>
          <w:lang w:val="en-US"/>
        </w:rPr>
        <w:t>in vitro</w:t>
      </w:r>
      <w:r w:rsidR="00C622A1" w:rsidRPr="00604C4F">
        <w:rPr>
          <w:rFonts w:ascii="Times New Roman" w:hAnsi="Times New Roman" w:cs="Times New Roman"/>
          <w:bCs/>
          <w:sz w:val="20"/>
          <w:szCs w:val="20"/>
          <w:lang w:val="en-US"/>
        </w:rPr>
        <w:t xml:space="preserve"> cultivation.</w:t>
      </w:r>
      <w:r w:rsidR="00C622A1" w:rsidRPr="00604C4F">
        <w:rPr>
          <w:rFonts w:ascii="Times New Roman" w:hAnsi="Times New Roman" w:cs="Times New Roman"/>
          <w:sz w:val="20"/>
          <w:szCs w:val="20"/>
          <w:lang w:val="en-US"/>
        </w:rPr>
        <w:t xml:space="preserve"> </w:t>
      </w:r>
      <w:r w:rsidR="00C622A1" w:rsidRPr="00604C4F">
        <w:rPr>
          <w:rFonts w:ascii="Times New Roman" w:hAnsi="Times New Roman" w:cs="Times New Roman"/>
          <w:bCs/>
          <w:sz w:val="20"/>
          <w:szCs w:val="20"/>
          <w:lang w:val="en-US"/>
        </w:rPr>
        <w:t>The cladodes were transferred to test tubes containing 5 mL of 80% acetone for the extraction of chlorophylls and carotenoids.</w:t>
      </w:r>
      <w:r w:rsidR="00C622A1" w:rsidRPr="00604C4F">
        <w:rPr>
          <w:rFonts w:ascii="Times New Roman" w:hAnsi="Times New Roman" w:cs="Times New Roman"/>
          <w:sz w:val="20"/>
          <w:szCs w:val="20"/>
          <w:lang w:val="en-US"/>
        </w:rPr>
        <w:t xml:space="preserve"> </w:t>
      </w:r>
      <w:r w:rsidR="00C622A1" w:rsidRPr="00604C4F">
        <w:rPr>
          <w:rFonts w:ascii="Times New Roman" w:hAnsi="Times New Roman" w:cs="Times New Roman"/>
          <w:bCs/>
          <w:sz w:val="20"/>
          <w:szCs w:val="20"/>
          <w:lang w:val="en-US"/>
        </w:rPr>
        <w:t>The tubes were wrapped in aluminum foil to prevent chlorophyll degradation. Twenty-four hours after storage in a refrigerator at ± 4 °C, the absorbance of the samples was measured using a Multiskan GO spectrophotometer (</w:t>
      </w:r>
      <w:proofErr w:type="spellStart"/>
      <w:r w:rsidR="00C622A1" w:rsidRPr="00604C4F">
        <w:rPr>
          <w:rFonts w:ascii="Times New Roman" w:hAnsi="Times New Roman" w:cs="Times New Roman"/>
          <w:bCs/>
          <w:sz w:val="20"/>
          <w:szCs w:val="20"/>
          <w:lang w:val="en-US"/>
        </w:rPr>
        <w:t>Thermo</w:t>
      </w:r>
      <w:proofErr w:type="spellEnd"/>
      <w:r w:rsidR="00C622A1" w:rsidRPr="00604C4F">
        <w:rPr>
          <w:rFonts w:ascii="Times New Roman" w:hAnsi="Times New Roman" w:cs="Times New Roman"/>
          <w:bCs/>
          <w:sz w:val="20"/>
          <w:szCs w:val="20"/>
          <w:lang w:val="en-US"/>
        </w:rPr>
        <w:t xml:space="preserve"> Fisher Scientific) at wavelengths of 470 nm (Abs₄₇₀), 647 nm (Abs₆₄₇), and 663 nm (Abs₆₆₃) (Scopel et al., 2011).</w:t>
      </w:r>
      <w:r w:rsidR="00C622A1" w:rsidRPr="00604C4F">
        <w:rPr>
          <w:rFonts w:ascii="Times New Roman" w:hAnsi="Times New Roman" w:cs="Times New Roman"/>
          <w:sz w:val="20"/>
          <w:szCs w:val="20"/>
          <w:lang w:val="en-US"/>
        </w:rPr>
        <w:t xml:space="preserve"> </w:t>
      </w:r>
      <w:r w:rsidR="00C622A1" w:rsidRPr="00604C4F">
        <w:rPr>
          <w:rFonts w:ascii="Times New Roman" w:hAnsi="Times New Roman" w:cs="Times New Roman"/>
          <w:bCs/>
          <w:sz w:val="20"/>
          <w:szCs w:val="20"/>
          <w:lang w:val="en-US"/>
        </w:rPr>
        <w:t>The contents of chlorophyll ‘</w:t>
      </w:r>
      <w:r w:rsidR="00C622A1" w:rsidRPr="00604C4F">
        <w:rPr>
          <w:rFonts w:ascii="Times New Roman" w:hAnsi="Times New Roman" w:cs="Times New Roman"/>
          <w:bCs/>
          <w:i/>
          <w:iCs/>
          <w:sz w:val="20"/>
          <w:szCs w:val="20"/>
          <w:lang w:val="en-US"/>
        </w:rPr>
        <w:t>a’</w:t>
      </w:r>
      <w:r w:rsidR="00C622A1" w:rsidRPr="00604C4F">
        <w:rPr>
          <w:rFonts w:ascii="Times New Roman" w:hAnsi="Times New Roman" w:cs="Times New Roman"/>
          <w:bCs/>
          <w:sz w:val="20"/>
          <w:szCs w:val="20"/>
          <w:lang w:val="en-US"/>
        </w:rPr>
        <w:t>, chlorophyll ‘</w:t>
      </w:r>
      <w:r w:rsidR="00C622A1" w:rsidRPr="00604C4F">
        <w:rPr>
          <w:rFonts w:ascii="Times New Roman" w:hAnsi="Times New Roman" w:cs="Times New Roman"/>
          <w:bCs/>
          <w:i/>
          <w:iCs/>
          <w:sz w:val="20"/>
          <w:szCs w:val="20"/>
          <w:lang w:val="en-US"/>
        </w:rPr>
        <w:t>b’</w:t>
      </w:r>
      <w:r w:rsidR="00C622A1" w:rsidRPr="00604C4F">
        <w:rPr>
          <w:rFonts w:ascii="Times New Roman" w:hAnsi="Times New Roman" w:cs="Times New Roman"/>
          <w:bCs/>
          <w:sz w:val="20"/>
          <w:szCs w:val="20"/>
          <w:lang w:val="en-US"/>
        </w:rPr>
        <w:t>, total chlorophylls, and carotenoids were calculated based on equations (</w:t>
      </w:r>
      <w:proofErr w:type="spellStart"/>
      <w:r w:rsidR="00C622A1" w:rsidRPr="00604C4F">
        <w:rPr>
          <w:rFonts w:ascii="Times New Roman" w:hAnsi="Times New Roman" w:cs="Times New Roman"/>
          <w:bCs/>
          <w:sz w:val="20"/>
          <w:szCs w:val="20"/>
          <w:lang w:val="en-US"/>
        </w:rPr>
        <w:t>Lichtenthaler</w:t>
      </w:r>
      <w:proofErr w:type="spellEnd"/>
      <w:r w:rsidR="00C622A1" w:rsidRPr="00604C4F">
        <w:rPr>
          <w:rFonts w:ascii="Times New Roman" w:hAnsi="Times New Roman" w:cs="Times New Roman"/>
          <w:bCs/>
          <w:sz w:val="20"/>
          <w:szCs w:val="20"/>
          <w:lang w:val="en-US"/>
        </w:rPr>
        <w:t xml:space="preserve"> &amp; Wellburn, 1983 and </w:t>
      </w:r>
      <w:proofErr w:type="spellStart"/>
      <w:r w:rsidR="00C622A1" w:rsidRPr="00604C4F">
        <w:rPr>
          <w:rFonts w:ascii="Times New Roman" w:hAnsi="Times New Roman" w:cs="Times New Roman"/>
          <w:bCs/>
          <w:sz w:val="20"/>
          <w:szCs w:val="20"/>
          <w:lang w:val="en-US"/>
        </w:rPr>
        <w:t>Lichtenthaler</w:t>
      </w:r>
      <w:proofErr w:type="spellEnd"/>
      <w:r w:rsidR="00C622A1" w:rsidRPr="00604C4F">
        <w:rPr>
          <w:rFonts w:ascii="Times New Roman" w:hAnsi="Times New Roman" w:cs="Times New Roman"/>
          <w:bCs/>
          <w:sz w:val="20"/>
          <w:szCs w:val="20"/>
          <w:lang w:val="en-US"/>
        </w:rPr>
        <w:t xml:space="preserve"> &amp; Babani, 2021). Absorbance measurements were performed in five replicates per treatment, with each replicate evaluated in </w:t>
      </w:r>
      <w:proofErr w:type="spellStart"/>
      <w:r w:rsidR="00C622A1" w:rsidRPr="00604C4F">
        <w:rPr>
          <w:rFonts w:ascii="Times New Roman" w:hAnsi="Times New Roman" w:cs="Times New Roman"/>
          <w:bCs/>
          <w:sz w:val="20"/>
          <w:szCs w:val="20"/>
          <w:lang w:val="en-US"/>
        </w:rPr>
        <w:t>hexaplicate</w:t>
      </w:r>
      <w:proofErr w:type="spellEnd"/>
      <w:r w:rsidR="00C622A1" w:rsidRPr="00604C4F">
        <w:rPr>
          <w:rFonts w:ascii="Times New Roman" w:hAnsi="Times New Roman" w:cs="Times New Roman"/>
          <w:bCs/>
          <w:sz w:val="20"/>
          <w:szCs w:val="20"/>
          <w:lang w:val="en-US"/>
        </w:rPr>
        <w:t>.</w:t>
      </w:r>
      <w:r w:rsidR="00C622A1" w:rsidRPr="00604C4F">
        <w:rPr>
          <w:rFonts w:ascii="Times New Roman" w:hAnsi="Times New Roman" w:cs="Times New Roman"/>
          <w:sz w:val="20"/>
          <w:szCs w:val="20"/>
          <w:lang w:val="en-US"/>
        </w:rPr>
        <w:t xml:space="preserve"> </w:t>
      </w:r>
      <w:r w:rsidR="00C622A1" w:rsidRPr="00604C4F">
        <w:rPr>
          <w:rFonts w:ascii="Times New Roman" w:hAnsi="Times New Roman" w:cs="Times New Roman"/>
          <w:bCs/>
          <w:sz w:val="20"/>
          <w:szCs w:val="20"/>
          <w:lang w:val="en-US"/>
        </w:rPr>
        <w:t xml:space="preserve">The analysis was performed using </w:t>
      </w:r>
      <w:proofErr w:type="spellStart"/>
      <w:r w:rsidR="00C622A1" w:rsidRPr="00604C4F">
        <w:rPr>
          <w:rFonts w:ascii="Times New Roman" w:hAnsi="Times New Roman" w:cs="Times New Roman"/>
          <w:bCs/>
          <w:sz w:val="20"/>
          <w:szCs w:val="20"/>
          <w:lang w:val="en-US"/>
        </w:rPr>
        <w:t>SkanIt</w:t>
      </w:r>
      <w:proofErr w:type="spellEnd"/>
      <w:r w:rsidR="00C622A1" w:rsidRPr="00604C4F">
        <w:rPr>
          <w:rFonts w:ascii="Times New Roman" w:hAnsi="Times New Roman" w:cs="Times New Roman"/>
          <w:bCs/>
          <w:sz w:val="20"/>
          <w:szCs w:val="20"/>
          <w:lang w:val="en-US"/>
        </w:rPr>
        <w:t xml:space="preserve"> Software 5.0 for Microplate Readers, version 5.0.0.42.</w:t>
      </w:r>
    </w:p>
    <w:p w14:paraId="2EBF2AC3" w14:textId="77777777" w:rsidR="00C622A1" w:rsidRPr="008E7A74" w:rsidRDefault="00C622A1" w:rsidP="00FF57A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0"/>
          <w:szCs w:val="20"/>
          <w:lang w:val="en-US"/>
        </w:rPr>
      </w:pPr>
    </w:p>
    <w:p w14:paraId="76C0E95D" w14:textId="77777777" w:rsidR="0042782A" w:rsidRPr="008E7A74" w:rsidRDefault="0042782A" w:rsidP="00F24A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
          <w:bCs/>
          <w:sz w:val="20"/>
          <w:szCs w:val="20"/>
          <w:lang w:val="en-US"/>
        </w:rPr>
      </w:pPr>
      <w:r w:rsidRPr="008E7A74">
        <w:rPr>
          <w:rFonts w:ascii="Times New Roman" w:hAnsi="Times New Roman" w:cs="Times New Roman"/>
          <w:b/>
          <w:bCs/>
          <w:sz w:val="20"/>
          <w:szCs w:val="20"/>
          <w:lang w:val="en-US"/>
        </w:rPr>
        <w:t>Raman spectroscopic analysis</w:t>
      </w:r>
    </w:p>
    <w:p w14:paraId="508E75D8" w14:textId="37135594" w:rsidR="00C74663" w:rsidRPr="00C74663" w:rsidRDefault="003E71A5" w:rsidP="00C7466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lang w:val="en-US"/>
        </w:rPr>
      </w:pPr>
      <w:r w:rsidRPr="008E7A74">
        <w:rPr>
          <w:rFonts w:ascii="Times New Roman" w:hAnsi="Times New Roman" w:cs="Times New Roman"/>
          <w:sz w:val="20"/>
          <w:szCs w:val="20"/>
          <w:lang w:val="en-US"/>
        </w:rPr>
        <w:tab/>
      </w:r>
      <w:r w:rsidR="00C74663" w:rsidRPr="003D647F">
        <w:rPr>
          <w:rFonts w:ascii="Times New Roman" w:hAnsi="Times New Roman" w:cs="Times New Roman"/>
          <w:bCs/>
          <w:sz w:val="20"/>
          <w:szCs w:val="20"/>
          <w:highlight w:val="yellow"/>
          <w:lang w:val="en-US"/>
        </w:rPr>
        <w:t xml:space="preserve">Raman microscopy (RM) was used to evaluate the presence of bioactive compounds, particularly spectral bands associated with </w:t>
      </w:r>
      <w:proofErr w:type="spellStart"/>
      <w:r w:rsidR="00C74663" w:rsidRPr="003D647F">
        <w:rPr>
          <w:rFonts w:ascii="Times New Roman" w:hAnsi="Times New Roman" w:cs="Times New Roman"/>
          <w:bCs/>
          <w:sz w:val="20"/>
          <w:szCs w:val="20"/>
          <w:highlight w:val="yellow"/>
          <w:lang w:val="en-US"/>
        </w:rPr>
        <w:t>betacyanins</w:t>
      </w:r>
      <w:proofErr w:type="spellEnd"/>
      <w:r w:rsidR="00C74663" w:rsidRPr="003D647F">
        <w:rPr>
          <w:rFonts w:ascii="Times New Roman" w:hAnsi="Times New Roman" w:cs="Times New Roman"/>
          <w:bCs/>
          <w:sz w:val="20"/>
          <w:szCs w:val="20"/>
          <w:highlight w:val="yellow"/>
          <w:lang w:val="en-US"/>
        </w:rPr>
        <w:t xml:space="preserve"> (1000–1200 cm⁻¹), phenolic compounds (1400–1600 cm⁻¹), and other antioxidant-related metabolites (1000–1600 cm⁻¹) in fresh cladodes of </w:t>
      </w:r>
      <w:r w:rsidR="00C74663" w:rsidRPr="003D647F">
        <w:rPr>
          <w:rFonts w:ascii="Times New Roman" w:hAnsi="Times New Roman" w:cs="Times New Roman"/>
          <w:bCs/>
          <w:i/>
          <w:iCs/>
          <w:sz w:val="20"/>
          <w:szCs w:val="20"/>
          <w:highlight w:val="yellow"/>
          <w:lang w:val="en-US"/>
        </w:rPr>
        <w:t>Selenicereus undatus</w:t>
      </w:r>
      <w:r w:rsidR="00C74663" w:rsidRPr="003D647F">
        <w:rPr>
          <w:rFonts w:ascii="Times New Roman" w:hAnsi="Times New Roman" w:cs="Times New Roman"/>
          <w:bCs/>
          <w:sz w:val="20"/>
          <w:szCs w:val="20"/>
          <w:highlight w:val="yellow"/>
          <w:lang w:val="en-US"/>
        </w:rPr>
        <w:t xml:space="preserve"> and </w:t>
      </w:r>
      <w:r w:rsidR="00C74663" w:rsidRPr="003D647F">
        <w:rPr>
          <w:rFonts w:ascii="Times New Roman" w:hAnsi="Times New Roman" w:cs="Times New Roman"/>
          <w:bCs/>
          <w:i/>
          <w:iCs/>
          <w:sz w:val="20"/>
          <w:szCs w:val="20"/>
          <w:highlight w:val="yellow"/>
          <w:lang w:val="en-US"/>
        </w:rPr>
        <w:t xml:space="preserve">Hylocereus </w:t>
      </w:r>
      <w:proofErr w:type="spellStart"/>
      <w:r w:rsidR="00C74663" w:rsidRPr="003D647F">
        <w:rPr>
          <w:rFonts w:ascii="Times New Roman" w:hAnsi="Times New Roman" w:cs="Times New Roman"/>
          <w:bCs/>
          <w:i/>
          <w:iCs/>
          <w:sz w:val="20"/>
          <w:szCs w:val="20"/>
          <w:highlight w:val="yellow"/>
          <w:lang w:val="en-US"/>
        </w:rPr>
        <w:t>polyrhizus</w:t>
      </w:r>
      <w:proofErr w:type="spellEnd"/>
      <w:r w:rsidR="00C74663" w:rsidRPr="003D647F">
        <w:rPr>
          <w:rFonts w:ascii="Times New Roman" w:hAnsi="Times New Roman" w:cs="Times New Roman"/>
          <w:bCs/>
          <w:sz w:val="20"/>
          <w:szCs w:val="20"/>
          <w:highlight w:val="yellow"/>
          <w:lang w:val="en-US"/>
        </w:rPr>
        <w:t xml:space="preserve"> cultured under different LED light qualities.</w:t>
      </w:r>
      <w:r w:rsidR="003D647F" w:rsidRPr="003D647F">
        <w:rPr>
          <w:rFonts w:ascii="Times New Roman" w:hAnsi="Times New Roman" w:cs="Times New Roman"/>
          <w:bCs/>
          <w:sz w:val="20"/>
          <w:szCs w:val="20"/>
          <w:highlight w:val="yellow"/>
          <w:lang w:val="en-US"/>
        </w:rPr>
        <w:t xml:space="preserve"> </w:t>
      </w:r>
      <w:r w:rsidR="00C74663" w:rsidRPr="003D647F">
        <w:rPr>
          <w:rFonts w:ascii="Times New Roman" w:hAnsi="Times New Roman" w:cs="Times New Roman"/>
          <w:bCs/>
          <w:sz w:val="20"/>
          <w:szCs w:val="20"/>
          <w:highlight w:val="yellow"/>
          <w:lang w:val="en-US"/>
        </w:rPr>
        <w:t xml:space="preserve">For this analysis, three plants per treatment were randomly selected and considered as biological replicates. From each plant, cladode samples were collected 65 days after </w:t>
      </w:r>
      <w:r w:rsidR="00C74663" w:rsidRPr="003D647F">
        <w:rPr>
          <w:rFonts w:ascii="Times New Roman" w:hAnsi="Times New Roman" w:cs="Times New Roman"/>
          <w:bCs/>
          <w:sz w:val="20"/>
          <w:szCs w:val="20"/>
          <w:highlight w:val="yellow"/>
          <w:lang w:val="en-US"/>
        </w:rPr>
        <w:lastRenderedPageBreak/>
        <w:t xml:space="preserve">inoculation and analyzed using a Confocal Raman Microscopy system (Alpha300, </w:t>
      </w:r>
      <w:proofErr w:type="spellStart"/>
      <w:r w:rsidR="00C74663" w:rsidRPr="003D647F">
        <w:rPr>
          <w:rFonts w:ascii="Times New Roman" w:hAnsi="Times New Roman" w:cs="Times New Roman"/>
          <w:bCs/>
          <w:sz w:val="20"/>
          <w:szCs w:val="20"/>
          <w:highlight w:val="yellow"/>
          <w:lang w:val="en-US"/>
        </w:rPr>
        <w:t>Witec</w:t>
      </w:r>
      <w:proofErr w:type="spellEnd"/>
      <w:r w:rsidR="00C74663" w:rsidRPr="003D647F">
        <w:rPr>
          <w:rFonts w:ascii="Times New Roman" w:hAnsi="Times New Roman" w:cs="Times New Roman"/>
          <w:bCs/>
          <w:sz w:val="20"/>
          <w:szCs w:val="20"/>
          <w:highlight w:val="yellow"/>
          <w:lang w:val="en-US"/>
        </w:rPr>
        <w:t>) equipped with a 785 nm laser and 10× and 50× objectives. Multiple spectra were acquired per sample to ensure representativeness of the chemical profile.</w:t>
      </w:r>
      <w:r w:rsidR="003D647F" w:rsidRPr="003D647F">
        <w:rPr>
          <w:rFonts w:ascii="Times New Roman" w:hAnsi="Times New Roman" w:cs="Times New Roman"/>
          <w:bCs/>
          <w:sz w:val="20"/>
          <w:szCs w:val="20"/>
          <w:highlight w:val="yellow"/>
          <w:lang w:val="en-US"/>
        </w:rPr>
        <w:t xml:space="preserve"> </w:t>
      </w:r>
      <w:r w:rsidR="00C74663" w:rsidRPr="003D647F">
        <w:rPr>
          <w:rFonts w:ascii="Times New Roman" w:hAnsi="Times New Roman" w:cs="Times New Roman"/>
          <w:bCs/>
          <w:sz w:val="20"/>
          <w:szCs w:val="20"/>
          <w:highlight w:val="yellow"/>
          <w:lang w:val="en-US"/>
        </w:rPr>
        <w:t>This analysis was performed as a comparative and exploratory assessment of metabolite-related spectral patterns among treatments.</w:t>
      </w:r>
    </w:p>
    <w:p w14:paraId="1A8EB1BB" w14:textId="6DE16DE5" w:rsidR="00E03640" w:rsidRPr="008E7A74" w:rsidRDefault="00E03640" w:rsidP="00F24A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
          <w:bCs/>
          <w:sz w:val="20"/>
          <w:szCs w:val="20"/>
          <w:lang w:val="en-US"/>
        </w:rPr>
      </w:pPr>
    </w:p>
    <w:p w14:paraId="612D66E7" w14:textId="77777777" w:rsidR="00D16CC6" w:rsidRPr="008E7A74" w:rsidRDefault="00D16CC6" w:rsidP="003F0D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
          <w:bCs/>
          <w:sz w:val="20"/>
          <w:szCs w:val="20"/>
          <w:lang w:val="en-US"/>
        </w:rPr>
      </w:pPr>
      <w:r w:rsidRPr="008E7A74">
        <w:rPr>
          <w:rFonts w:ascii="Times New Roman" w:hAnsi="Times New Roman" w:cs="Times New Roman"/>
          <w:b/>
          <w:bCs/>
          <w:sz w:val="20"/>
          <w:szCs w:val="20"/>
          <w:lang w:val="en-US"/>
        </w:rPr>
        <w:t>Energy-dispersive X-ray spectroscopy (EDX)</w:t>
      </w:r>
    </w:p>
    <w:p w14:paraId="36E9729C" w14:textId="42F329FF" w:rsidR="00C74663" w:rsidRPr="00C74663" w:rsidRDefault="001C5C21" w:rsidP="00C7466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lang w:val="en-US"/>
        </w:rPr>
      </w:pPr>
      <w:r w:rsidRPr="008E7A74">
        <w:rPr>
          <w:rFonts w:ascii="Times New Roman" w:hAnsi="Times New Roman" w:cs="Times New Roman"/>
          <w:sz w:val="20"/>
          <w:szCs w:val="20"/>
          <w:lang w:val="en-US"/>
        </w:rPr>
        <w:tab/>
      </w:r>
      <w:r w:rsidR="00C74663" w:rsidRPr="003D647F">
        <w:rPr>
          <w:rFonts w:ascii="Times New Roman" w:hAnsi="Times New Roman" w:cs="Times New Roman"/>
          <w:bCs/>
          <w:sz w:val="20"/>
          <w:szCs w:val="20"/>
          <w:highlight w:val="yellow"/>
          <w:lang w:val="en-US"/>
        </w:rPr>
        <w:t xml:space="preserve">Energy-dispersive X-ray spectroscopy (EDX) analyses were performed using a scanning electron microscope (TESCAN-CLARA) equipped with a Bruker </w:t>
      </w:r>
      <w:proofErr w:type="spellStart"/>
      <w:r w:rsidR="00C74663" w:rsidRPr="003D647F">
        <w:rPr>
          <w:rFonts w:ascii="Times New Roman" w:hAnsi="Times New Roman" w:cs="Times New Roman"/>
          <w:bCs/>
          <w:sz w:val="20"/>
          <w:szCs w:val="20"/>
          <w:highlight w:val="yellow"/>
          <w:lang w:val="en-US"/>
        </w:rPr>
        <w:t>Quantax</w:t>
      </w:r>
      <w:proofErr w:type="spellEnd"/>
      <w:r w:rsidR="00C74663" w:rsidRPr="003D647F">
        <w:rPr>
          <w:rFonts w:ascii="Times New Roman" w:hAnsi="Times New Roman" w:cs="Times New Roman"/>
          <w:bCs/>
          <w:sz w:val="20"/>
          <w:szCs w:val="20"/>
          <w:highlight w:val="yellow"/>
          <w:lang w:val="en-US"/>
        </w:rPr>
        <w:t xml:space="preserve"> EDX detector (</w:t>
      </w:r>
      <w:proofErr w:type="spellStart"/>
      <w:r w:rsidR="00C74663" w:rsidRPr="003D647F">
        <w:rPr>
          <w:rFonts w:ascii="Times New Roman" w:hAnsi="Times New Roman" w:cs="Times New Roman"/>
          <w:bCs/>
          <w:sz w:val="20"/>
          <w:szCs w:val="20"/>
          <w:highlight w:val="yellow"/>
          <w:lang w:val="en-US"/>
        </w:rPr>
        <w:t>XFlash</w:t>
      </w:r>
      <w:proofErr w:type="spellEnd"/>
      <w:r w:rsidR="00C74663" w:rsidRPr="003D647F">
        <w:rPr>
          <w:rFonts w:ascii="Times New Roman" w:hAnsi="Times New Roman" w:cs="Times New Roman"/>
          <w:bCs/>
          <w:sz w:val="20"/>
          <w:szCs w:val="20"/>
          <w:highlight w:val="yellow"/>
          <w:lang w:val="en-US"/>
        </w:rPr>
        <w:t xml:space="preserve"> 6|60). Three plants per treatment were randomly selected and used as </w:t>
      </w:r>
      <w:r w:rsidR="00C74663" w:rsidRPr="003D647F">
        <w:rPr>
          <w:rFonts w:ascii="Times New Roman" w:hAnsi="Times New Roman" w:cs="Times New Roman"/>
          <w:sz w:val="20"/>
          <w:szCs w:val="20"/>
          <w:highlight w:val="yellow"/>
          <w:lang w:val="en-US"/>
        </w:rPr>
        <w:t>biological replicates</w:t>
      </w:r>
      <w:r w:rsidR="00C74663" w:rsidRPr="003D647F">
        <w:rPr>
          <w:rFonts w:ascii="Times New Roman" w:hAnsi="Times New Roman" w:cs="Times New Roman"/>
          <w:bCs/>
          <w:sz w:val="20"/>
          <w:szCs w:val="20"/>
          <w:highlight w:val="yellow"/>
          <w:lang w:val="en-US"/>
        </w:rPr>
        <w:t xml:space="preserve">. From each plant, cladode samples were collected 65 days after inoculation and prepared for elemental analysis. Samples were mounted on aluminum stubs using double-sided carbon tape (HOGOTEK, model 7321) and dried at 70 °C for 12 hours, followed by storage in a desiccator with silica gel for at least 24 hours prior to analysis. EDX analyses were conducted at 20 keV with magnifications of 200× and 400×, and were used to determine the relative atomic percentages of selected elements (K, Ca, S, Mg, P, Cl, Fe, Mn, Na, and Zn) </w:t>
      </w:r>
      <w:r w:rsidR="001579E2" w:rsidRPr="001579E2">
        <w:rPr>
          <w:rFonts w:ascii="Times New Roman" w:hAnsi="Times New Roman" w:cs="Times New Roman"/>
          <w:bCs/>
          <w:sz w:val="20"/>
          <w:szCs w:val="20"/>
          <w:highlight w:val="yellow"/>
          <w:lang w:val="en-US"/>
        </w:rPr>
        <w:t>in the centra</w:t>
      </w:r>
      <w:r w:rsidR="00F2736D">
        <w:rPr>
          <w:rFonts w:ascii="Times New Roman" w:hAnsi="Times New Roman" w:cs="Times New Roman"/>
          <w:bCs/>
          <w:sz w:val="20"/>
          <w:szCs w:val="20"/>
          <w:highlight w:val="yellow"/>
          <w:lang w:val="en-US"/>
        </w:rPr>
        <w:t>l rib</w:t>
      </w:r>
      <w:r w:rsidR="00095C82">
        <w:rPr>
          <w:rFonts w:ascii="Times New Roman" w:hAnsi="Times New Roman" w:cs="Times New Roman"/>
          <w:bCs/>
          <w:sz w:val="20"/>
          <w:szCs w:val="20"/>
          <w:highlight w:val="yellow"/>
          <w:lang w:val="en-US"/>
        </w:rPr>
        <w:t>s</w:t>
      </w:r>
      <w:r w:rsidR="001579E2" w:rsidRPr="001579E2">
        <w:rPr>
          <w:rFonts w:ascii="Times New Roman" w:hAnsi="Times New Roman" w:cs="Times New Roman"/>
          <w:bCs/>
          <w:sz w:val="20"/>
          <w:szCs w:val="20"/>
          <w:highlight w:val="yellow"/>
          <w:lang w:val="en-US"/>
        </w:rPr>
        <w:t xml:space="preserve"> and along the rib margins of the cladodes</w:t>
      </w:r>
      <w:r w:rsidR="00C74663" w:rsidRPr="003D647F">
        <w:rPr>
          <w:rFonts w:ascii="Times New Roman" w:hAnsi="Times New Roman" w:cs="Times New Roman"/>
          <w:bCs/>
          <w:sz w:val="20"/>
          <w:szCs w:val="20"/>
          <w:highlight w:val="yellow"/>
          <w:lang w:val="en-US"/>
        </w:rPr>
        <w:t>. This analysis was performed as a comparative assessment of elemental distribution patterns among treatments.</w:t>
      </w:r>
      <w:r w:rsidR="00C74663">
        <w:rPr>
          <w:rFonts w:ascii="Times New Roman" w:hAnsi="Times New Roman" w:cs="Times New Roman"/>
          <w:bCs/>
          <w:sz w:val="20"/>
          <w:szCs w:val="20"/>
          <w:lang w:val="en-US"/>
        </w:rPr>
        <w:t xml:space="preserve"> </w:t>
      </w:r>
    </w:p>
    <w:p w14:paraId="1E2B695B" w14:textId="6B133FA5" w:rsidR="00412631" w:rsidRPr="008E7A74" w:rsidRDefault="00412631" w:rsidP="003F0DE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0"/>
          <w:szCs w:val="20"/>
          <w:lang w:val="en-US"/>
        </w:rPr>
      </w:pPr>
    </w:p>
    <w:p w14:paraId="68083AE8" w14:textId="77777777" w:rsidR="00571BB5" w:rsidRPr="008E7A74" w:rsidRDefault="00571BB5" w:rsidP="000C592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
          <w:bCs/>
          <w:sz w:val="20"/>
          <w:szCs w:val="20"/>
          <w:lang w:val="en-US"/>
        </w:rPr>
      </w:pPr>
      <w:r w:rsidRPr="008E7A74">
        <w:rPr>
          <w:rFonts w:ascii="Times New Roman" w:hAnsi="Times New Roman" w:cs="Times New Roman"/>
          <w:b/>
          <w:bCs/>
          <w:sz w:val="20"/>
          <w:szCs w:val="20"/>
          <w:lang w:val="en-US"/>
        </w:rPr>
        <w:t>Anatomical analyses</w:t>
      </w:r>
    </w:p>
    <w:p w14:paraId="21B7F70F" w14:textId="77777777" w:rsidR="00C26064" w:rsidRPr="00654F22" w:rsidRDefault="000C592E" w:rsidP="00C2606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lang w:val="en-US"/>
        </w:rPr>
      </w:pPr>
      <w:r w:rsidRPr="008E7A74">
        <w:rPr>
          <w:rFonts w:ascii="Times New Roman" w:hAnsi="Times New Roman" w:cs="Times New Roman"/>
          <w:sz w:val="20"/>
          <w:szCs w:val="20"/>
          <w:lang w:val="en-US"/>
        </w:rPr>
        <w:tab/>
      </w:r>
      <w:r w:rsidR="00C26064" w:rsidRPr="00654F22">
        <w:rPr>
          <w:rFonts w:ascii="Times New Roman" w:hAnsi="Times New Roman" w:cs="Times New Roman"/>
          <w:bCs/>
          <w:sz w:val="20"/>
          <w:szCs w:val="20"/>
          <w:lang w:val="en-US"/>
        </w:rPr>
        <w:t xml:space="preserve">The anatomical analyses were performed on cladodes and roots from five plants per treatment, randomly collected after 65 days of </w:t>
      </w:r>
      <w:r w:rsidR="00C26064" w:rsidRPr="00654F22">
        <w:rPr>
          <w:rFonts w:ascii="Times New Roman" w:hAnsi="Times New Roman" w:cs="Times New Roman"/>
          <w:bCs/>
          <w:i/>
          <w:iCs/>
          <w:sz w:val="20"/>
          <w:szCs w:val="20"/>
          <w:lang w:val="en-US"/>
        </w:rPr>
        <w:t>in vitro</w:t>
      </w:r>
      <w:r w:rsidR="00C26064" w:rsidRPr="00654F22">
        <w:rPr>
          <w:rFonts w:ascii="Times New Roman" w:hAnsi="Times New Roman" w:cs="Times New Roman"/>
          <w:bCs/>
          <w:sz w:val="20"/>
          <w:szCs w:val="20"/>
          <w:lang w:val="en-US"/>
        </w:rPr>
        <w:t xml:space="preserve"> cultivation.</w:t>
      </w:r>
      <w:r w:rsidR="00C26064" w:rsidRPr="00654F22">
        <w:rPr>
          <w:rFonts w:ascii="Times New Roman" w:hAnsi="Times New Roman" w:cs="Times New Roman"/>
          <w:sz w:val="20"/>
          <w:szCs w:val="20"/>
          <w:lang w:val="en-US"/>
        </w:rPr>
        <w:t xml:space="preserve"> </w:t>
      </w:r>
      <w:r w:rsidR="00C26064" w:rsidRPr="00654F22">
        <w:rPr>
          <w:rFonts w:ascii="Times New Roman" w:hAnsi="Times New Roman" w:cs="Times New Roman"/>
          <w:bCs/>
          <w:color w:val="000000" w:themeColor="text1"/>
          <w:sz w:val="20"/>
          <w:szCs w:val="20"/>
          <w:lang w:val="en-US"/>
        </w:rPr>
        <w:t>The cladodes and roots were fixed in FAA solution (formalin, acetic acid, and 50% ethanol in a 0.05:0.05:0.90 ratio) for 72 hours.</w:t>
      </w:r>
      <w:r w:rsidR="00C26064" w:rsidRPr="00654F22">
        <w:rPr>
          <w:rFonts w:ascii="Times New Roman" w:hAnsi="Times New Roman" w:cs="Times New Roman"/>
          <w:sz w:val="20"/>
          <w:szCs w:val="20"/>
          <w:lang w:val="en-US"/>
        </w:rPr>
        <w:t xml:space="preserve"> </w:t>
      </w:r>
      <w:r w:rsidR="00C26064" w:rsidRPr="00654F22">
        <w:rPr>
          <w:rFonts w:ascii="Times New Roman" w:hAnsi="Times New Roman" w:cs="Times New Roman"/>
          <w:bCs/>
          <w:sz w:val="20"/>
          <w:szCs w:val="20"/>
          <w:lang w:val="en-US"/>
        </w:rPr>
        <w:t>Subsequently, dehydration was performed using alcohol at increasing concentrations (70%, 80%, 90%, and 100%), with 2-hour intervals between each step (Johansen, 1940).</w:t>
      </w:r>
      <w:r w:rsidR="00C26064" w:rsidRPr="00654F22">
        <w:rPr>
          <w:rFonts w:ascii="Times New Roman" w:hAnsi="Times New Roman" w:cs="Times New Roman"/>
          <w:sz w:val="20"/>
          <w:szCs w:val="20"/>
          <w:lang w:val="en-US"/>
        </w:rPr>
        <w:t xml:space="preserve"> T</w:t>
      </w:r>
      <w:r w:rsidR="00C26064" w:rsidRPr="00654F22">
        <w:rPr>
          <w:rFonts w:ascii="Times New Roman" w:hAnsi="Times New Roman" w:cs="Times New Roman"/>
          <w:bCs/>
          <w:sz w:val="20"/>
          <w:szCs w:val="20"/>
          <w:lang w:val="en-US"/>
        </w:rPr>
        <w:t>he samples were immersed in a solution composed of 50% alcohol and 50% pure resin for 72 hours, fixed with pure resin, and hardened in a solution containing 15% pure resin and 1% hardener to facilitate the sectioning process (Clairvil et al., 2025; Clairvil et al., 2026).</w:t>
      </w:r>
      <w:r w:rsidR="00C26064" w:rsidRPr="00654F22">
        <w:rPr>
          <w:rFonts w:ascii="Times New Roman" w:hAnsi="Times New Roman" w:cs="Times New Roman"/>
          <w:sz w:val="20"/>
          <w:szCs w:val="20"/>
          <w:lang w:val="en-US"/>
        </w:rPr>
        <w:t xml:space="preserve"> </w:t>
      </w:r>
      <w:r w:rsidR="00C26064" w:rsidRPr="00654F22">
        <w:rPr>
          <w:rFonts w:ascii="Times New Roman" w:hAnsi="Times New Roman" w:cs="Times New Roman"/>
          <w:bCs/>
          <w:sz w:val="20"/>
          <w:szCs w:val="20"/>
          <w:lang w:val="en-US"/>
        </w:rPr>
        <w:t xml:space="preserve">Anatomical analysis was performed on five transverse sections per plant; with cuts of nine </w:t>
      </w:r>
      <w:r w:rsidR="00C26064" w:rsidRPr="00654F22">
        <w:rPr>
          <w:rFonts w:ascii="Times New Roman" w:hAnsi="Times New Roman" w:cs="Times New Roman"/>
          <w:bCs/>
          <w:sz w:val="20"/>
          <w:szCs w:val="20"/>
        </w:rPr>
        <w:t>μ</w:t>
      </w:r>
      <w:r w:rsidR="00C26064" w:rsidRPr="00654F22">
        <w:rPr>
          <w:rFonts w:ascii="Times New Roman" w:hAnsi="Times New Roman" w:cs="Times New Roman"/>
          <w:bCs/>
          <w:sz w:val="20"/>
          <w:szCs w:val="20"/>
          <w:lang w:val="en-US"/>
        </w:rPr>
        <w:t>m thickness obtained using a semi-automatic rotary microtome (MRS 3500).</w:t>
      </w:r>
      <w:r w:rsidR="00C26064" w:rsidRPr="00654F22">
        <w:rPr>
          <w:rFonts w:ascii="Times New Roman" w:hAnsi="Times New Roman" w:cs="Times New Roman"/>
          <w:sz w:val="20"/>
          <w:szCs w:val="20"/>
          <w:lang w:val="en-US"/>
        </w:rPr>
        <w:t xml:space="preserve"> </w:t>
      </w:r>
      <w:r w:rsidR="00C26064" w:rsidRPr="00654F22">
        <w:rPr>
          <w:rFonts w:ascii="Times New Roman" w:hAnsi="Times New Roman" w:cs="Times New Roman"/>
          <w:bCs/>
          <w:sz w:val="20"/>
          <w:szCs w:val="20"/>
          <w:lang w:val="en-US"/>
        </w:rPr>
        <w:t xml:space="preserve">The sections were stained with 0.05% Toluidine Blue solution and mounted on permanent slides using glycerinated gelatin. </w:t>
      </w:r>
    </w:p>
    <w:p w14:paraId="298DC78D" w14:textId="77777777" w:rsidR="00C26064" w:rsidRPr="00654F22" w:rsidRDefault="00C26064" w:rsidP="00C2606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lang w:val="en-US"/>
        </w:rPr>
      </w:pPr>
      <w:r w:rsidRPr="00654F22">
        <w:rPr>
          <w:rFonts w:ascii="Times New Roman" w:hAnsi="Times New Roman" w:cs="Times New Roman"/>
          <w:sz w:val="20"/>
          <w:szCs w:val="20"/>
          <w:lang w:val="en-US"/>
        </w:rPr>
        <w:tab/>
      </w:r>
      <w:r w:rsidRPr="00654F22">
        <w:rPr>
          <w:rFonts w:ascii="Times New Roman" w:hAnsi="Times New Roman" w:cs="Times New Roman"/>
          <w:bCs/>
          <w:sz w:val="20"/>
          <w:szCs w:val="20"/>
          <w:lang w:val="en-US"/>
        </w:rPr>
        <w:t>The analyses included counting the number of vascular bundles and measuring the cross-sectional area (mm²) of the cladodes, root area (mm²) and total root diameter (µm) measured from one outer edge of the epidermis to the opposite side.</w:t>
      </w:r>
      <w:r w:rsidRPr="00654F22">
        <w:rPr>
          <w:rFonts w:ascii="Times New Roman" w:hAnsi="Times New Roman" w:cs="Times New Roman"/>
          <w:sz w:val="20"/>
          <w:szCs w:val="20"/>
          <w:lang w:val="en-US"/>
        </w:rPr>
        <w:t xml:space="preserve"> </w:t>
      </w:r>
      <w:r w:rsidRPr="00654F22">
        <w:rPr>
          <w:rFonts w:ascii="Times New Roman" w:hAnsi="Times New Roman" w:cs="Times New Roman"/>
          <w:bCs/>
          <w:sz w:val="20"/>
          <w:szCs w:val="20"/>
          <w:lang w:val="en-US"/>
        </w:rPr>
        <w:t>The sections were observed under a light microscope (Nikon, Eclipse E100) equipped with a digital camera (Infinity) for image capture.</w:t>
      </w:r>
      <w:r w:rsidRPr="00654F22">
        <w:rPr>
          <w:rFonts w:ascii="Times New Roman" w:hAnsi="Times New Roman" w:cs="Times New Roman"/>
          <w:sz w:val="20"/>
          <w:szCs w:val="20"/>
          <w:lang w:val="en-US"/>
        </w:rPr>
        <w:t xml:space="preserve"> </w:t>
      </w:r>
      <w:r w:rsidRPr="00654F22">
        <w:rPr>
          <w:rFonts w:ascii="Times New Roman" w:hAnsi="Times New Roman" w:cs="Times New Roman"/>
          <w:bCs/>
          <w:sz w:val="20"/>
          <w:szCs w:val="20"/>
          <w:lang w:val="en-US"/>
        </w:rPr>
        <w:t>The photomicrographs obtained were used to measure the anatomical characteristics.</w:t>
      </w:r>
    </w:p>
    <w:p w14:paraId="3F2D428A" w14:textId="01385548" w:rsidR="00C26064" w:rsidRPr="00654F22" w:rsidRDefault="00C26064" w:rsidP="00C2606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lang w:val="en-US"/>
        </w:rPr>
      </w:pPr>
      <w:r w:rsidRPr="00654F22">
        <w:rPr>
          <w:rFonts w:ascii="Times New Roman" w:hAnsi="Times New Roman" w:cs="Times New Roman"/>
          <w:sz w:val="20"/>
          <w:szCs w:val="20"/>
          <w:lang w:val="en-US"/>
        </w:rPr>
        <w:tab/>
      </w:r>
      <w:r w:rsidRPr="00654F22">
        <w:rPr>
          <w:rFonts w:ascii="Times New Roman" w:hAnsi="Times New Roman" w:cs="Times New Roman"/>
          <w:bCs/>
          <w:sz w:val="20"/>
          <w:szCs w:val="20"/>
          <w:lang w:val="en-US"/>
        </w:rPr>
        <w:t>The cross-sectional area of the cladodes was measured using a 4× objective lens; the number of vascular bundles, root area, and total root diameter were measured using a 20× objective lens. All measurements were performed using the calibrated UTHSCSA-</w:t>
      </w:r>
      <w:proofErr w:type="spellStart"/>
      <w:r w:rsidRPr="00654F22">
        <w:rPr>
          <w:rFonts w:ascii="Times New Roman" w:hAnsi="Times New Roman" w:cs="Times New Roman"/>
          <w:bCs/>
          <w:sz w:val="20"/>
          <w:szCs w:val="20"/>
          <w:lang w:val="en-US"/>
        </w:rPr>
        <w:t>ImageTool</w:t>
      </w:r>
      <w:proofErr w:type="spellEnd"/>
      <w:r w:rsidRPr="00654F22">
        <w:rPr>
          <w:rFonts w:ascii="Times New Roman" w:hAnsi="Times New Roman" w:cs="Times New Roman"/>
          <w:bCs/>
          <w:sz w:val="20"/>
          <w:szCs w:val="20"/>
          <w:lang w:val="en-US"/>
        </w:rPr>
        <w:t>® software.</w:t>
      </w:r>
      <w:r w:rsidRPr="00654F22">
        <w:rPr>
          <w:rFonts w:ascii="Times New Roman" w:hAnsi="Times New Roman" w:cs="Times New Roman"/>
          <w:sz w:val="20"/>
          <w:szCs w:val="20"/>
          <w:lang w:val="en-US"/>
        </w:rPr>
        <w:t xml:space="preserve">  </w:t>
      </w:r>
      <w:r w:rsidRPr="00654F22">
        <w:rPr>
          <w:rFonts w:ascii="Times New Roman" w:hAnsi="Times New Roman" w:cs="Times New Roman"/>
          <w:bCs/>
          <w:sz w:val="20"/>
          <w:szCs w:val="20"/>
          <w:lang w:val="en-US"/>
        </w:rPr>
        <w:t xml:space="preserve">Due to the image size relative to the field of view of the microscope-mounted camera, each cladode cross-section was photographed in two parts (upper and lower) to facilitate measurement of the total area. </w:t>
      </w:r>
      <w:r w:rsidR="00931337">
        <w:rPr>
          <w:rFonts w:ascii="Times New Roman" w:hAnsi="Times New Roman" w:cs="Times New Roman"/>
          <w:bCs/>
          <w:sz w:val="20"/>
          <w:szCs w:val="20"/>
          <w:lang w:val="en-US"/>
        </w:rPr>
        <w:t xml:space="preserve"> </w:t>
      </w:r>
    </w:p>
    <w:p w14:paraId="1F8AFAAB" w14:textId="465E8B90" w:rsidR="0082736B" w:rsidRPr="008E7A74" w:rsidRDefault="0082736B" w:rsidP="00C2606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0"/>
          <w:szCs w:val="20"/>
          <w:lang w:val="en-US"/>
        </w:rPr>
      </w:pPr>
    </w:p>
    <w:p w14:paraId="1AD6A2FA" w14:textId="77777777" w:rsidR="00B17954" w:rsidRPr="008E7A74" w:rsidRDefault="00B17954" w:rsidP="00854D2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
          <w:sz w:val="20"/>
          <w:szCs w:val="20"/>
          <w:lang w:val="en-US"/>
        </w:rPr>
      </w:pPr>
      <w:r w:rsidRPr="008E7A74">
        <w:rPr>
          <w:rFonts w:ascii="Times New Roman" w:hAnsi="Times New Roman" w:cs="Times New Roman"/>
          <w:b/>
          <w:sz w:val="20"/>
          <w:szCs w:val="20"/>
          <w:lang w:val="en-US"/>
        </w:rPr>
        <w:t>Statistical analysis</w:t>
      </w:r>
    </w:p>
    <w:p w14:paraId="09816FD0" w14:textId="0F6D9088" w:rsidR="00002D64" w:rsidRPr="00002D64" w:rsidRDefault="00854D2E" w:rsidP="00002D6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Cs/>
          <w:sz w:val="20"/>
          <w:szCs w:val="20"/>
          <w:lang w:val="en-US"/>
        </w:rPr>
      </w:pPr>
      <w:r w:rsidRPr="008E7A74">
        <w:rPr>
          <w:rFonts w:ascii="Times New Roman" w:hAnsi="Times New Roman" w:cs="Times New Roman"/>
          <w:sz w:val="20"/>
          <w:szCs w:val="20"/>
          <w:lang w:val="en-US"/>
        </w:rPr>
        <w:tab/>
      </w:r>
      <w:r w:rsidR="00002D64" w:rsidRPr="00002D64">
        <w:rPr>
          <w:rFonts w:ascii="Times New Roman" w:hAnsi="Times New Roman" w:cs="Times New Roman"/>
          <w:bCs/>
          <w:sz w:val="20"/>
          <w:szCs w:val="20"/>
          <w:highlight w:val="yellow"/>
          <w:lang w:val="en-US"/>
        </w:rPr>
        <w:t>The experiment was conducted in a completely randomized design with two plant species (</w:t>
      </w:r>
      <w:r w:rsidR="00002D64" w:rsidRPr="00002D64">
        <w:rPr>
          <w:rFonts w:ascii="Times New Roman" w:hAnsi="Times New Roman" w:cs="Times New Roman"/>
          <w:bCs/>
          <w:i/>
          <w:iCs/>
          <w:sz w:val="20"/>
          <w:szCs w:val="20"/>
          <w:highlight w:val="yellow"/>
          <w:lang w:val="en-US"/>
        </w:rPr>
        <w:t>Selenicereus undatus</w:t>
      </w:r>
      <w:r w:rsidR="00002D64" w:rsidRPr="00002D64">
        <w:rPr>
          <w:rFonts w:ascii="Times New Roman" w:hAnsi="Times New Roman" w:cs="Times New Roman"/>
          <w:bCs/>
          <w:sz w:val="20"/>
          <w:szCs w:val="20"/>
          <w:highlight w:val="yellow"/>
          <w:lang w:val="en-US"/>
        </w:rPr>
        <w:t xml:space="preserve"> (Haw.) D.R. Hunt and </w:t>
      </w:r>
      <w:r w:rsidR="00002D64" w:rsidRPr="00002D64">
        <w:rPr>
          <w:rFonts w:ascii="Times New Roman" w:hAnsi="Times New Roman" w:cs="Times New Roman"/>
          <w:bCs/>
          <w:i/>
          <w:iCs/>
          <w:sz w:val="20"/>
          <w:szCs w:val="20"/>
          <w:highlight w:val="yellow"/>
          <w:lang w:val="en-US"/>
        </w:rPr>
        <w:t xml:space="preserve">Hylocereus </w:t>
      </w:r>
      <w:proofErr w:type="spellStart"/>
      <w:r w:rsidR="00002D64" w:rsidRPr="00002D64">
        <w:rPr>
          <w:rFonts w:ascii="Times New Roman" w:hAnsi="Times New Roman" w:cs="Times New Roman"/>
          <w:bCs/>
          <w:i/>
          <w:iCs/>
          <w:sz w:val="20"/>
          <w:szCs w:val="20"/>
          <w:highlight w:val="yellow"/>
          <w:lang w:val="en-US"/>
        </w:rPr>
        <w:t>polyrhizus</w:t>
      </w:r>
      <w:proofErr w:type="spellEnd"/>
      <w:r w:rsidR="00002D64" w:rsidRPr="00002D64">
        <w:rPr>
          <w:rFonts w:ascii="Times New Roman" w:hAnsi="Times New Roman" w:cs="Times New Roman"/>
          <w:bCs/>
          <w:sz w:val="20"/>
          <w:szCs w:val="20"/>
          <w:highlight w:val="yellow"/>
          <w:lang w:val="en-US"/>
        </w:rPr>
        <w:t xml:space="preserve"> (Salm-Dyck) R. Bauer) and four LED light qualities (white, blue, purple, and red), arranged in a 2 × 4 factorial scheme. Data were analyzed using R Studio software (version 4.2.2). Analysis of variance (ANOVA) was performed to evaluate the effects of treatments and their interactions. When significant differences were detected (p ≤ 0.05), means were compared using Tukey’s honestly significant difference (HSD) post hoc test at a 5% probability level. Results are presented as mean ± standard error, and significant differences among treatments are indicated by different letters in figures and tables.</w:t>
      </w:r>
    </w:p>
    <w:p w14:paraId="22FCFE3A" w14:textId="45AB2D51" w:rsidR="00854D2E" w:rsidRPr="008E7A74" w:rsidRDefault="00854D2E" w:rsidP="00854D2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bCs/>
          <w:sz w:val="20"/>
          <w:szCs w:val="20"/>
          <w:lang w:val="en-US"/>
        </w:rPr>
      </w:pPr>
    </w:p>
    <w:p w14:paraId="0D8E47F3" w14:textId="77777777" w:rsidR="00EE3133" w:rsidRPr="008E7A74" w:rsidRDefault="00EE3133" w:rsidP="00776B50">
      <w:pPr>
        <w:spacing w:after="0" w:line="360" w:lineRule="auto"/>
        <w:jc w:val="both"/>
        <w:rPr>
          <w:rFonts w:ascii="Times New Roman" w:hAnsi="Times New Roman" w:cs="Times New Roman"/>
          <w:sz w:val="20"/>
          <w:szCs w:val="20"/>
          <w:lang w:val="en-US"/>
        </w:rPr>
      </w:pPr>
    </w:p>
    <w:p w14:paraId="338493D3" w14:textId="15CC197F" w:rsidR="00EE3133" w:rsidRPr="008E7A74" w:rsidRDefault="00FA20C6" w:rsidP="00776B50">
      <w:pPr>
        <w:spacing w:after="0" w:line="360" w:lineRule="auto"/>
        <w:jc w:val="both"/>
        <w:rPr>
          <w:rFonts w:ascii="Times New Roman" w:hAnsi="Times New Roman" w:cs="Times New Roman"/>
          <w:b/>
          <w:bCs/>
          <w:sz w:val="20"/>
          <w:szCs w:val="20"/>
          <w:lang w:val="en-US"/>
        </w:rPr>
      </w:pPr>
      <w:r w:rsidRPr="008E7A74">
        <w:rPr>
          <w:rFonts w:ascii="Times New Roman" w:hAnsi="Times New Roman" w:cs="Times New Roman"/>
          <w:b/>
          <w:bCs/>
          <w:sz w:val="20"/>
          <w:szCs w:val="20"/>
          <w:lang w:val="en-US"/>
        </w:rPr>
        <w:t>RESULTS AND DISCUSSION</w:t>
      </w:r>
    </w:p>
    <w:p w14:paraId="586C3DC3" w14:textId="60864B93" w:rsidR="003A10A7" w:rsidRDefault="006642BF" w:rsidP="0085520E">
      <w:pPr>
        <w:spacing w:line="360" w:lineRule="auto"/>
        <w:ind w:firstLine="708"/>
        <w:jc w:val="both"/>
        <w:rPr>
          <w:rFonts w:ascii="Times New Roman" w:hAnsi="Times New Roman" w:cs="Times New Roman"/>
          <w:bCs/>
          <w:sz w:val="20"/>
          <w:szCs w:val="20"/>
          <w:lang w:val="en-US"/>
        </w:rPr>
      </w:pPr>
      <w:r w:rsidRPr="001A3A0D">
        <w:rPr>
          <w:rFonts w:ascii="Times New Roman" w:hAnsi="Times New Roman" w:cs="Times New Roman"/>
          <w:bCs/>
          <w:sz w:val="20"/>
          <w:szCs w:val="20"/>
          <w:lang w:val="en-US"/>
        </w:rPr>
        <w:t xml:space="preserve">Different LED light spectra influenced the initial growth of </w:t>
      </w:r>
      <w:r w:rsidRPr="001A3A0D">
        <w:rPr>
          <w:rFonts w:ascii="Times New Roman" w:hAnsi="Times New Roman" w:cs="Times New Roman"/>
          <w:bCs/>
          <w:i/>
          <w:iCs/>
          <w:sz w:val="20"/>
          <w:szCs w:val="20"/>
          <w:lang w:val="en-US"/>
        </w:rPr>
        <w:t>Selenicereus undatus</w:t>
      </w:r>
      <w:r w:rsidRPr="001A3A0D">
        <w:rPr>
          <w:rFonts w:ascii="Times New Roman" w:hAnsi="Times New Roman" w:cs="Times New Roman"/>
          <w:bCs/>
          <w:sz w:val="20"/>
          <w:szCs w:val="20"/>
          <w:lang w:val="en-US"/>
        </w:rPr>
        <w:t xml:space="preserve"> (Haw.) D.R.</w:t>
      </w:r>
      <w:r w:rsidR="00D1104A">
        <w:rPr>
          <w:rFonts w:ascii="Times New Roman" w:hAnsi="Times New Roman" w:cs="Times New Roman"/>
          <w:bCs/>
          <w:sz w:val="20"/>
          <w:szCs w:val="20"/>
          <w:lang w:val="en-US"/>
        </w:rPr>
        <w:t xml:space="preserve"> </w:t>
      </w:r>
      <w:r w:rsidRPr="001A3A0D">
        <w:rPr>
          <w:rFonts w:ascii="Times New Roman" w:hAnsi="Times New Roman" w:cs="Times New Roman"/>
          <w:bCs/>
          <w:sz w:val="20"/>
          <w:szCs w:val="20"/>
          <w:lang w:val="en-US"/>
        </w:rPr>
        <w:t xml:space="preserve">Hunt and </w:t>
      </w:r>
      <w:r w:rsidRPr="001A3A0D">
        <w:rPr>
          <w:rFonts w:ascii="Times New Roman" w:hAnsi="Times New Roman" w:cs="Times New Roman"/>
          <w:bCs/>
          <w:i/>
          <w:iCs/>
          <w:sz w:val="20"/>
          <w:szCs w:val="20"/>
          <w:lang w:val="en-US"/>
        </w:rPr>
        <w:t xml:space="preserve">Hylocereus </w:t>
      </w:r>
      <w:proofErr w:type="spellStart"/>
      <w:r w:rsidRPr="001A3A0D">
        <w:rPr>
          <w:rFonts w:ascii="Times New Roman" w:hAnsi="Times New Roman" w:cs="Times New Roman"/>
          <w:bCs/>
          <w:i/>
          <w:iCs/>
          <w:sz w:val="20"/>
          <w:szCs w:val="20"/>
          <w:lang w:val="en-US"/>
        </w:rPr>
        <w:t>polyrhizus</w:t>
      </w:r>
      <w:proofErr w:type="spellEnd"/>
      <w:r w:rsidRPr="001A3A0D">
        <w:rPr>
          <w:rFonts w:ascii="Times New Roman" w:hAnsi="Times New Roman" w:cs="Times New Roman"/>
          <w:bCs/>
          <w:sz w:val="20"/>
          <w:szCs w:val="20"/>
          <w:lang w:val="en-US"/>
        </w:rPr>
        <w:t xml:space="preserve"> (Salm-Dyck) R.</w:t>
      </w:r>
      <w:r w:rsidR="00D1104A">
        <w:rPr>
          <w:rFonts w:ascii="Times New Roman" w:hAnsi="Times New Roman" w:cs="Times New Roman"/>
          <w:bCs/>
          <w:sz w:val="20"/>
          <w:szCs w:val="20"/>
          <w:lang w:val="en-US"/>
        </w:rPr>
        <w:t xml:space="preserve"> </w:t>
      </w:r>
      <w:r w:rsidRPr="001A3A0D">
        <w:rPr>
          <w:rFonts w:ascii="Times New Roman" w:hAnsi="Times New Roman" w:cs="Times New Roman"/>
          <w:bCs/>
          <w:sz w:val="20"/>
          <w:szCs w:val="20"/>
          <w:lang w:val="en-US"/>
        </w:rPr>
        <w:t>Bauer (Figure 1).</w:t>
      </w:r>
    </w:p>
    <w:p w14:paraId="2B1916F3" w14:textId="331015FC" w:rsidR="009567CE" w:rsidRDefault="00D22E30" w:rsidP="0085520E">
      <w:pPr>
        <w:spacing w:line="360" w:lineRule="auto"/>
        <w:ind w:firstLine="708"/>
        <w:jc w:val="both"/>
        <w:rPr>
          <w:rFonts w:ascii="Times New Roman" w:hAnsi="Times New Roman" w:cs="Times New Roman"/>
          <w:bCs/>
          <w:sz w:val="20"/>
          <w:szCs w:val="20"/>
          <w:lang w:val="en-US"/>
        </w:rPr>
      </w:pPr>
      <w:r>
        <w:rPr>
          <w:bCs/>
          <w:noProof/>
          <w:sz w:val="24"/>
          <w:szCs w:val="24"/>
          <w:lang w:val="en-US"/>
        </w:rPr>
        <w:drawing>
          <wp:anchor distT="0" distB="0" distL="114300" distR="114300" simplePos="0" relativeHeight="251659264" behindDoc="0" locked="0" layoutInCell="1" allowOverlap="1" wp14:anchorId="0B283686" wp14:editId="6A36DF7E">
            <wp:simplePos x="0" y="0"/>
            <wp:positionH relativeFrom="margin">
              <wp:align>center</wp:align>
            </wp:positionH>
            <wp:positionV relativeFrom="paragraph">
              <wp:posOffset>285750</wp:posOffset>
            </wp:positionV>
            <wp:extent cx="3762375" cy="3867150"/>
            <wp:effectExtent l="0" t="0" r="9525" b="0"/>
            <wp:wrapSquare wrapText="bothSides"/>
            <wp:docPr id="4449766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62375" cy="3867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3DD5DC" w14:textId="77777777" w:rsidR="009567CE" w:rsidRDefault="009567CE" w:rsidP="0085520E">
      <w:pPr>
        <w:spacing w:line="360" w:lineRule="auto"/>
        <w:ind w:firstLine="708"/>
        <w:jc w:val="both"/>
        <w:rPr>
          <w:rFonts w:ascii="Times New Roman" w:hAnsi="Times New Roman" w:cs="Times New Roman"/>
          <w:bCs/>
          <w:sz w:val="20"/>
          <w:szCs w:val="20"/>
          <w:lang w:val="en-US"/>
        </w:rPr>
      </w:pPr>
    </w:p>
    <w:p w14:paraId="50349BFC" w14:textId="77777777" w:rsidR="009567CE" w:rsidRDefault="009567CE" w:rsidP="0085520E">
      <w:pPr>
        <w:spacing w:line="360" w:lineRule="auto"/>
        <w:ind w:firstLine="708"/>
        <w:jc w:val="both"/>
        <w:rPr>
          <w:rFonts w:ascii="Times New Roman" w:hAnsi="Times New Roman" w:cs="Times New Roman"/>
          <w:bCs/>
          <w:sz w:val="20"/>
          <w:szCs w:val="20"/>
          <w:lang w:val="en-US"/>
        </w:rPr>
      </w:pPr>
    </w:p>
    <w:p w14:paraId="65A329F3" w14:textId="77777777" w:rsidR="009567CE" w:rsidRDefault="009567CE" w:rsidP="0085520E">
      <w:pPr>
        <w:spacing w:line="360" w:lineRule="auto"/>
        <w:ind w:firstLine="708"/>
        <w:jc w:val="both"/>
        <w:rPr>
          <w:rFonts w:ascii="Times New Roman" w:hAnsi="Times New Roman" w:cs="Times New Roman"/>
          <w:bCs/>
          <w:sz w:val="20"/>
          <w:szCs w:val="20"/>
          <w:lang w:val="en-US"/>
        </w:rPr>
      </w:pPr>
    </w:p>
    <w:p w14:paraId="20ADCE29" w14:textId="77777777" w:rsidR="00D22E30" w:rsidRDefault="00D22E30" w:rsidP="0085520E">
      <w:pPr>
        <w:spacing w:line="360" w:lineRule="auto"/>
        <w:ind w:firstLine="708"/>
        <w:jc w:val="both"/>
        <w:rPr>
          <w:rFonts w:ascii="Times New Roman" w:hAnsi="Times New Roman" w:cs="Times New Roman"/>
          <w:bCs/>
          <w:sz w:val="20"/>
          <w:szCs w:val="20"/>
          <w:lang w:val="en-US"/>
        </w:rPr>
      </w:pPr>
    </w:p>
    <w:p w14:paraId="5D05FDA9" w14:textId="77777777" w:rsidR="00D22E30" w:rsidRDefault="00D22E30" w:rsidP="0085520E">
      <w:pPr>
        <w:spacing w:line="360" w:lineRule="auto"/>
        <w:ind w:firstLine="708"/>
        <w:jc w:val="both"/>
        <w:rPr>
          <w:rFonts w:ascii="Times New Roman" w:hAnsi="Times New Roman" w:cs="Times New Roman"/>
          <w:bCs/>
          <w:sz w:val="20"/>
          <w:szCs w:val="20"/>
          <w:lang w:val="en-US"/>
        </w:rPr>
      </w:pPr>
    </w:p>
    <w:p w14:paraId="2EF4FA5D" w14:textId="77777777" w:rsidR="00D22E30" w:rsidRDefault="00D22E30" w:rsidP="0085520E">
      <w:pPr>
        <w:spacing w:line="360" w:lineRule="auto"/>
        <w:ind w:firstLine="708"/>
        <w:jc w:val="both"/>
        <w:rPr>
          <w:rFonts w:ascii="Times New Roman" w:hAnsi="Times New Roman" w:cs="Times New Roman"/>
          <w:bCs/>
          <w:sz w:val="20"/>
          <w:szCs w:val="20"/>
          <w:lang w:val="en-US"/>
        </w:rPr>
      </w:pPr>
    </w:p>
    <w:p w14:paraId="16F25009" w14:textId="77777777" w:rsidR="00D22E30" w:rsidRDefault="00D22E30" w:rsidP="0085520E">
      <w:pPr>
        <w:spacing w:line="360" w:lineRule="auto"/>
        <w:ind w:firstLine="708"/>
        <w:jc w:val="both"/>
        <w:rPr>
          <w:rFonts w:ascii="Times New Roman" w:hAnsi="Times New Roman" w:cs="Times New Roman"/>
          <w:bCs/>
          <w:sz w:val="20"/>
          <w:szCs w:val="20"/>
          <w:lang w:val="en-US"/>
        </w:rPr>
      </w:pPr>
    </w:p>
    <w:p w14:paraId="621F1129" w14:textId="77777777" w:rsidR="00D22E30" w:rsidRDefault="00D22E30" w:rsidP="0085520E">
      <w:pPr>
        <w:spacing w:line="360" w:lineRule="auto"/>
        <w:ind w:firstLine="708"/>
        <w:jc w:val="both"/>
        <w:rPr>
          <w:rFonts w:ascii="Times New Roman" w:hAnsi="Times New Roman" w:cs="Times New Roman"/>
          <w:bCs/>
          <w:sz w:val="20"/>
          <w:szCs w:val="20"/>
          <w:lang w:val="en-US"/>
        </w:rPr>
      </w:pPr>
    </w:p>
    <w:p w14:paraId="727FCAEE" w14:textId="77777777" w:rsidR="00D22E30" w:rsidRDefault="00D22E30" w:rsidP="0085520E">
      <w:pPr>
        <w:spacing w:line="360" w:lineRule="auto"/>
        <w:ind w:firstLine="708"/>
        <w:jc w:val="both"/>
        <w:rPr>
          <w:rFonts w:ascii="Times New Roman" w:hAnsi="Times New Roman" w:cs="Times New Roman"/>
          <w:bCs/>
          <w:sz w:val="20"/>
          <w:szCs w:val="20"/>
          <w:lang w:val="en-US"/>
        </w:rPr>
      </w:pPr>
    </w:p>
    <w:p w14:paraId="142E8C02" w14:textId="77777777" w:rsidR="00D22E30" w:rsidRDefault="00D22E30" w:rsidP="0085520E">
      <w:pPr>
        <w:spacing w:line="360" w:lineRule="auto"/>
        <w:ind w:firstLine="708"/>
        <w:jc w:val="both"/>
        <w:rPr>
          <w:rFonts w:ascii="Times New Roman" w:hAnsi="Times New Roman" w:cs="Times New Roman"/>
          <w:bCs/>
          <w:sz w:val="20"/>
          <w:szCs w:val="20"/>
          <w:lang w:val="en-US"/>
        </w:rPr>
      </w:pPr>
    </w:p>
    <w:p w14:paraId="3E0473AE" w14:textId="77777777" w:rsidR="00D22E30" w:rsidRDefault="00D22E30" w:rsidP="0085520E">
      <w:pPr>
        <w:spacing w:line="360" w:lineRule="auto"/>
        <w:ind w:firstLine="708"/>
        <w:jc w:val="both"/>
        <w:rPr>
          <w:rFonts w:ascii="Times New Roman" w:hAnsi="Times New Roman" w:cs="Times New Roman"/>
          <w:bCs/>
          <w:sz w:val="20"/>
          <w:szCs w:val="20"/>
          <w:lang w:val="en-US"/>
        </w:rPr>
      </w:pPr>
    </w:p>
    <w:p w14:paraId="3F8C1FBB" w14:textId="77777777" w:rsidR="00D22E30" w:rsidRDefault="00D22E30" w:rsidP="0085520E">
      <w:pPr>
        <w:spacing w:line="360" w:lineRule="auto"/>
        <w:ind w:firstLine="708"/>
        <w:jc w:val="both"/>
        <w:rPr>
          <w:rFonts w:ascii="Times New Roman" w:hAnsi="Times New Roman" w:cs="Times New Roman"/>
          <w:bCs/>
          <w:sz w:val="20"/>
          <w:szCs w:val="20"/>
          <w:lang w:val="en-US"/>
        </w:rPr>
      </w:pPr>
    </w:p>
    <w:p w14:paraId="6FDAE18F" w14:textId="50468895" w:rsidR="00D22E30" w:rsidRPr="006D17CE" w:rsidRDefault="006D17CE" w:rsidP="006D17CE">
      <w:pPr>
        <w:spacing w:line="360" w:lineRule="auto"/>
        <w:jc w:val="both"/>
        <w:rPr>
          <w:rFonts w:ascii="Times New Roman" w:hAnsi="Times New Roman" w:cs="Times New Roman"/>
          <w:bCs/>
          <w:sz w:val="20"/>
          <w:szCs w:val="20"/>
          <w:lang w:val="en-US"/>
        </w:rPr>
      </w:pPr>
      <w:r w:rsidRPr="006D17CE">
        <w:rPr>
          <w:rFonts w:ascii="Times New Roman" w:hAnsi="Times New Roman" w:cs="Times New Roman"/>
          <w:sz w:val="20"/>
          <w:szCs w:val="20"/>
          <w:lang w:val="en-US"/>
        </w:rPr>
        <w:t>Figure 1.</w:t>
      </w:r>
      <w:r w:rsidRPr="006D17CE">
        <w:rPr>
          <w:rFonts w:ascii="Times New Roman" w:hAnsi="Times New Roman" w:cs="Times New Roman"/>
          <w:bCs/>
          <w:sz w:val="20"/>
          <w:szCs w:val="20"/>
          <w:lang w:val="en-US"/>
        </w:rPr>
        <w:t xml:space="preserve"> Specimens of </w:t>
      </w:r>
      <w:r w:rsidRPr="006D17CE">
        <w:rPr>
          <w:rFonts w:ascii="Times New Roman" w:hAnsi="Times New Roman" w:cs="Times New Roman"/>
          <w:bCs/>
          <w:i/>
          <w:iCs/>
          <w:sz w:val="20"/>
          <w:szCs w:val="20"/>
          <w:lang w:val="en-US"/>
        </w:rPr>
        <w:t>Selenicereus undatus</w:t>
      </w:r>
      <w:r w:rsidRPr="006D17CE">
        <w:rPr>
          <w:rFonts w:ascii="Times New Roman" w:hAnsi="Times New Roman" w:cs="Times New Roman"/>
          <w:bCs/>
          <w:sz w:val="20"/>
          <w:szCs w:val="20"/>
          <w:lang w:val="en-US"/>
        </w:rPr>
        <w:t xml:space="preserve"> (Haw.) D.R.</w:t>
      </w:r>
      <w:r w:rsidR="007C505B">
        <w:rPr>
          <w:rFonts w:ascii="Times New Roman" w:hAnsi="Times New Roman" w:cs="Times New Roman"/>
          <w:bCs/>
          <w:sz w:val="20"/>
          <w:szCs w:val="20"/>
          <w:lang w:val="en-US"/>
        </w:rPr>
        <w:t xml:space="preserve"> </w:t>
      </w:r>
      <w:r w:rsidRPr="006D17CE">
        <w:rPr>
          <w:rFonts w:ascii="Times New Roman" w:hAnsi="Times New Roman" w:cs="Times New Roman"/>
          <w:bCs/>
          <w:sz w:val="20"/>
          <w:szCs w:val="20"/>
          <w:lang w:val="en-US"/>
        </w:rPr>
        <w:t xml:space="preserve">Hunt and </w:t>
      </w:r>
      <w:r w:rsidRPr="006D17CE">
        <w:rPr>
          <w:rFonts w:ascii="Times New Roman" w:hAnsi="Times New Roman" w:cs="Times New Roman"/>
          <w:bCs/>
          <w:i/>
          <w:iCs/>
          <w:sz w:val="20"/>
          <w:szCs w:val="20"/>
          <w:lang w:val="en-US"/>
        </w:rPr>
        <w:t xml:space="preserve">Hylocereus </w:t>
      </w:r>
      <w:proofErr w:type="spellStart"/>
      <w:r w:rsidRPr="006D17CE">
        <w:rPr>
          <w:rFonts w:ascii="Times New Roman" w:hAnsi="Times New Roman" w:cs="Times New Roman"/>
          <w:bCs/>
          <w:i/>
          <w:iCs/>
          <w:sz w:val="20"/>
          <w:szCs w:val="20"/>
          <w:lang w:val="en-US"/>
        </w:rPr>
        <w:t>polyrhizus</w:t>
      </w:r>
      <w:proofErr w:type="spellEnd"/>
      <w:r w:rsidRPr="006D17CE">
        <w:rPr>
          <w:rFonts w:ascii="Times New Roman" w:hAnsi="Times New Roman" w:cs="Times New Roman"/>
          <w:bCs/>
          <w:sz w:val="20"/>
          <w:szCs w:val="20"/>
          <w:lang w:val="en-US"/>
        </w:rPr>
        <w:t xml:space="preserve"> (Salm-Dyck) R.</w:t>
      </w:r>
      <w:r w:rsidR="007C505B">
        <w:rPr>
          <w:rFonts w:ascii="Times New Roman" w:hAnsi="Times New Roman" w:cs="Times New Roman"/>
          <w:bCs/>
          <w:sz w:val="20"/>
          <w:szCs w:val="20"/>
          <w:lang w:val="en-US"/>
        </w:rPr>
        <w:t xml:space="preserve"> </w:t>
      </w:r>
      <w:r w:rsidRPr="006D17CE">
        <w:rPr>
          <w:rFonts w:ascii="Times New Roman" w:hAnsi="Times New Roman" w:cs="Times New Roman"/>
          <w:bCs/>
          <w:sz w:val="20"/>
          <w:szCs w:val="20"/>
          <w:lang w:val="en-US"/>
        </w:rPr>
        <w:t xml:space="preserve">Bauer after 65 days of </w:t>
      </w:r>
      <w:r w:rsidRPr="006D17CE">
        <w:rPr>
          <w:rFonts w:ascii="Times New Roman" w:hAnsi="Times New Roman" w:cs="Times New Roman"/>
          <w:bCs/>
          <w:i/>
          <w:iCs/>
          <w:sz w:val="20"/>
          <w:szCs w:val="20"/>
          <w:lang w:val="en-US"/>
        </w:rPr>
        <w:t>in vitro</w:t>
      </w:r>
      <w:r w:rsidRPr="006D17CE">
        <w:rPr>
          <w:rFonts w:ascii="Times New Roman" w:hAnsi="Times New Roman" w:cs="Times New Roman"/>
          <w:bCs/>
          <w:sz w:val="20"/>
          <w:szCs w:val="20"/>
          <w:lang w:val="en-US"/>
        </w:rPr>
        <w:t xml:space="preserve"> cultivation under different LED light qualities </w:t>
      </w:r>
      <w:r w:rsidRPr="006D17CE">
        <w:rPr>
          <w:rFonts w:ascii="Times New Roman" w:hAnsi="Times New Roman" w:cs="Times New Roman"/>
          <w:bCs/>
          <w:color w:val="000000" w:themeColor="text1"/>
          <w:sz w:val="20"/>
          <w:szCs w:val="20"/>
          <w:lang w:val="en-US"/>
        </w:rPr>
        <w:t>[White (A–B), Blue (C–D), Purple (E–F), and Red (G–H)]</w:t>
      </w:r>
      <w:r w:rsidRPr="006D17CE">
        <w:rPr>
          <w:rFonts w:ascii="Times New Roman" w:hAnsi="Times New Roman" w:cs="Times New Roman"/>
          <w:bCs/>
          <w:sz w:val="20"/>
          <w:szCs w:val="20"/>
          <w:lang w:val="en-US"/>
        </w:rPr>
        <w:t>. Scale bar = 2 cm.</w:t>
      </w:r>
    </w:p>
    <w:p w14:paraId="55C1A585" w14:textId="77777777" w:rsidR="00D22E30" w:rsidRPr="001A3A0D" w:rsidRDefault="00D22E30" w:rsidP="0085520E">
      <w:pPr>
        <w:spacing w:line="360" w:lineRule="auto"/>
        <w:ind w:firstLine="708"/>
        <w:jc w:val="both"/>
        <w:rPr>
          <w:rFonts w:ascii="Times New Roman" w:hAnsi="Times New Roman" w:cs="Times New Roman"/>
          <w:bCs/>
          <w:sz w:val="20"/>
          <w:szCs w:val="20"/>
          <w:lang w:val="en-US"/>
        </w:rPr>
      </w:pPr>
    </w:p>
    <w:p w14:paraId="4B8A51EF" w14:textId="77777777" w:rsidR="003A10A7" w:rsidRPr="001A3A0D" w:rsidRDefault="003A10A7" w:rsidP="003A10A7">
      <w:pPr>
        <w:spacing w:line="360" w:lineRule="auto"/>
        <w:ind w:firstLine="708"/>
        <w:jc w:val="both"/>
        <w:rPr>
          <w:rFonts w:ascii="Times New Roman" w:hAnsi="Times New Roman" w:cs="Times New Roman"/>
          <w:sz w:val="20"/>
          <w:szCs w:val="20"/>
          <w:lang w:val="en-US"/>
        </w:rPr>
      </w:pPr>
      <w:r w:rsidRPr="001A3A0D">
        <w:rPr>
          <w:rFonts w:ascii="Times New Roman" w:hAnsi="Times New Roman" w:cs="Times New Roman"/>
          <w:bCs/>
          <w:sz w:val="20"/>
          <w:szCs w:val="20"/>
          <w:lang w:val="en-US"/>
        </w:rPr>
        <w:lastRenderedPageBreak/>
        <w:t xml:space="preserve"> After 65 days of exposing </w:t>
      </w:r>
      <w:r w:rsidRPr="001A3A0D">
        <w:rPr>
          <w:rFonts w:ascii="Times New Roman" w:hAnsi="Times New Roman" w:cs="Times New Roman"/>
          <w:bCs/>
          <w:i/>
          <w:iCs/>
          <w:sz w:val="20"/>
          <w:szCs w:val="20"/>
          <w:lang w:val="en-US"/>
        </w:rPr>
        <w:t>S. undatus</w:t>
      </w:r>
      <w:r w:rsidRPr="001A3A0D">
        <w:rPr>
          <w:rFonts w:ascii="Times New Roman" w:hAnsi="Times New Roman" w:cs="Times New Roman"/>
          <w:bCs/>
          <w:sz w:val="20"/>
          <w:szCs w:val="20"/>
          <w:lang w:val="en-US"/>
        </w:rPr>
        <w:t xml:space="preserve"> and </w:t>
      </w:r>
      <w:r w:rsidRPr="001A3A0D">
        <w:rPr>
          <w:rFonts w:ascii="Times New Roman" w:hAnsi="Times New Roman" w:cs="Times New Roman"/>
          <w:bCs/>
          <w:i/>
          <w:iCs/>
          <w:sz w:val="20"/>
          <w:szCs w:val="20"/>
          <w:lang w:val="en-US"/>
        </w:rPr>
        <w:t xml:space="preserve">H. </w:t>
      </w:r>
      <w:proofErr w:type="spellStart"/>
      <w:r w:rsidRPr="001A3A0D">
        <w:rPr>
          <w:rFonts w:ascii="Times New Roman" w:hAnsi="Times New Roman" w:cs="Times New Roman"/>
          <w:bCs/>
          <w:i/>
          <w:iCs/>
          <w:sz w:val="20"/>
          <w:szCs w:val="20"/>
          <w:lang w:val="en-US"/>
        </w:rPr>
        <w:t>polyrhizus</w:t>
      </w:r>
      <w:proofErr w:type="spellEnd"/>
      <w:r w:rsidRPr="001A3A0D">
        <w:rPr>
          <w:rFonts w:ascii="Times New Roman" w:hAnsi="Times New Roman" w:cs="Times New Roman"/>
          <w:bCs/>
          <w:sz w:val="20"/>
          <w:szCs w:val="20"/>
          <w:lang w:val="en-US"/>
        </w:rPr>
        <w:t xml:space="preserve"> plants to different LED light qualities [White (WL), Blue (BL), Purple (PL), Red (RL)], no significant interactions were observed with respect to cladode diameter (Table 1).</w:t>
      </w:r>
      <w:r w:rsidRPr="001A3A0D">
        <w:rPr>
          <w:rFonts w:ascii="Times New Roman" w:hAnsi="Times New Roman" w:cs="Times New Roman"/>
          <w:sz w:val="20"/>
          <w:szCs w:val="20"/>
          <w:lang w:val="en-US"/>
        </w:rPr>
        <w:t xml:space="preserve"> </w:t>
      </w:r>
      <w:r w:rsidRPr="001A3A0D">
        <w:rPr>
          <w:rFonts w:ascii="Times New Roman" w:hAnsi="Times New Roman" w:cs="Times New Roman"/>
          <w:bCs/>
          <w:sz w:val="20"/>
          <w:szCs w:val="20"/>
          <w:lang w:val="en-US"/>
        </w:rPr>
        <w:t>In contrast, significant interactions were observed for biometric variables (shoot length, and fresh and dry mass of the shoot and root), photosynthetic pigment content, and anatomical parameters (number of vascular bundles and cross-sectional area of the cladodes, root area and total root diameter) (Tables 2 and 3; Figures 4 and 5).</w:t>
      </w:r>
      <w:r w:rsidRPr="001A3A0D">
        <w:rPr>
          <w:rFonts w:ascii="Times New Roman" w:hAnsi="Times New Roman" w:cs="Times New Roman"/>
          <w:sz w:val="20"/>
          <w:szCs w:val="20"/>
          <w:lang w:val="en-US"/>
        </w:rPr>
        <w:t xml:space="preserve">  </w:t>
      </w:r>
    </w:p>
    <w:p w14:paraId="14760D7A" w14:textId="77777777" w:rsidR="003A10A7" w:rsidRPr="001A3A0D" w:rsidRDefault="003A10A7" w:rsidP="003A10A7">
      <w:pPr>
        <w:spacing w:line="360" w:lineRule="auto"/>
        <w:ind w:firstLine="708"/>
        <w:jc w:val="both"/>
        <w:rPr>
          <w:rFonts w:ascii="Times New Roman" w:hAnsi="Times New Roman" w:cs="Times New Roman"/>
          <w:sz w:val="20"/>
          <w:szCs w:val="20"/>
          <w:lang w:val="en-US"/>
        </w:rPr>
      </w:pPr>
    </w:p>
    <w:p w14:paraId="0FEFB805" w14:textId="09A92C68" w:rsidR="003A10A7" w:rsidRPr="001A3A0D" w:rsidRDefault="003A10A7" w:rsidP="003A10A7">
      <w:pPr>
        <w:spacing w:line="360" w:lineRule="auto"/>
        <w:jc w:val="both"/>
        <w:rPr>
          <w:rFonts w:ascii="Times New Roman" w:hAnsi="Times New Roman" w:cs="Times New Roman"/>
          <w:bCs/>
          <w:sz w:val="20"/>
          <w:szCs w:val="20"/>
          <w:lang w:val="en-US"/>
        </w:rPr>
      </w:pPr>
      <w:r w:rsidRPr="001A3A0D">
        <w:rPr>
          <w:rFonts w:ascii="Times New Roman" w:hAnsi="Times New Roman" w:cs="Times New Roman"/>
          <w:bCs/>
          <w:sz w:val="20"/>
          <w:szCs w:val="20"/>
          <w:lang w:val="en-US"/>
        </w:rPr>
        <w:t xml:space="preserve">Table 1. Mean cladode diameter (Dm; mm) of pitaya species </w:t>
      </w:r>
      <w:r w:rsidRPr="001A3A0D">
        <w:rPr>
          <w:rFonts w:ascii="Times New Roman" w:hAnsi="Times New Roman" w:cs="Times New Roman"/>
          <w:bCs/>
          <w:i/>
          <w:iCs/>
          <w:sz w:val="20"/>
          <w:szCs w:val="20"/>
          <w:lang w:val="en-US"/>
        </w:rPr>
        <w:t>Selenicereus undatus</w:t>
      </w:r>
      <w:r w:rsidRPr="001A3A0D">
        <w:rPr>
          <w:rFonts w:ascii="Times New Roman" w:hAnsi="Times New Roman" w:cs="Times New Roman"/>
          <w:bCs/>
          <w:sz w:val="20"/>
          <w:szCs w:val="20"/>
          <w:lang w:val="en-US"/>
        </w:rPr>
        <w:t xml:space="preserve"> (Haw.) D.R.</w:t>
      </w:r>
      <w:r w:rsidR="007C505B">
        <w:rPr>
          <w:rFonts w:ascii="Times New Roman" w:hAnsi="Times New Roman" w:cs="Times New Roman"/>
          <w:bCs/>
          <w:sz w:val="20"/>
          <w:szCs w:val="20"/>
          <w:lang w:val="en-US"/>
        </w:rPr>
        <w:t xml:space="preserve"> </w:t>
      </w:r>
      <w:r w:rsidRPr="001A3A0D">
        <w:rPr>
          <w:rFonts w:ascii="Times New Roman" w:hAnsi="Times New Roman" w:cs="Times New Roman"/>
          <w:bCs/>
          <w:sz w:val="20"/>
          <w:szCs w:val="20"/>
          <w:lang w:val="en-US"/>
        </w:rPr>
        <w:t xml:space="preserve">Hunt and </w:t>
      </w:r>
      <w:r w:rsidRPr="001A3A0D">
        <w:rPr>
          <w:rFonts w:ascii="Times New Roman" w:hAnsi="Times New Roman" w:cs="Times New Roman"/>
          <w:bCs/>
          <w:i/>
          <w:iCs/>
          <w:sz w:val="20"/>
          <w:szCs w:val="20"/>
          <w:lang w:val="en-US"/>
        </w:rPr>
        <w:t xml:space="preserve">Hylocereus </w:t>
      </w:r>
      <w:proofErr w:type="spellStart"/>
      <w:r w:rsidRPr="001A3A0D">
        <w:rPr>
          <w:rFonts w:ascii="Times New Roman" w:hAnsi="Times New Roman" w:cs="Times New Roman"/>
          <w:bCs/>
          <w:i/>
          <w:iCs/>
          <w:sz w:val="20"/>
          <w:szCs w:val="20"/>
          <w:lang w:val="en-US"/>
        </w:rPr>
        <w:t>polyrhizus</w:t>
      </w:r>
      <w:proofErr w:type="spellEnd"/>
      <w:r w:rsidRPr="001A3A0D">
        <w:rPr>
          <w:rFonts w:ascii="Times New Roman" w:hAnsi="Times New Roman" w:cs="Times New Roman"/>
          <w:bCs/>
          <w:sz w:val="20"/>
          <w:szCs w:val="20"/>
          <w:lang w:val="en-US"/>
        </w:rPr>
        <w:t xml:space="preserve"> (Salm-Dyck) R.</w:t>
      </w:r>
      <w:r w:rsidR="007C505B">
        <w:rPr>
          <w:rFonts w:ascii="Times New Roman" w:hAnsi="Times New Roman" w:cs="Times New Roman"/>
          <w:bCs/>
          <w:sz w:val="20"/>
          <w:szCs w:val="20"/>
          <w:lang w:val="en-US"/>
        </w:rPr>
        <w:t xml:space="preserve"> </w:t>
      </w:r>
      <w:r w:rsidRPr="001A3A0D">
        <w:rPr>
          <w:rFonts w:ascii="Times New Roman" w:hAnsi="Times New Roman" w:cs="Times New Roman"/>
          <w:bCs/>
          <w:sz w:val="20"/>
          <w:szCs w:val="20"/>
          <w:lang w:val="en-US"/>
        </w:rPr>
        <w:t xml:space="preserve">Bauer after 65 days of </w:t>
      </w:r>
      <w:r w:rsidRPr="001A3A0D">
        <w:rPr>
          <w:rFonts w:ascii="Times New Roman" w:hAnsi="Times New Roman" w:cs="Times New Roman"/>
          <w:bCs/>
          <w:i/>
          <w:iCs/>
          <w:sz w:val="20"/>
          <w:szCs w:val="20"/>
          <w:lang w:val="en-US"/>
        </w:rPr>
        <w:t>in vitro</w:t>
      </w:r>
      <w:r w:rsidRPr="001A3A0D">
        <w:rPr>
          <w:rFonts w:ascii="Times New Roman" w:hAnsi="Times New Roman" w:cs="Times New Roman"/>
          <w:bCs/>
          <w:sz w:val="20"/>
          <w:szCs w:val="20"/>
          <w:lang w:val="en-US"/>
        </w:rPr>
        <w:t xml:space="preserve"> cultivation under different light qualities (LQ) [White: WL; Blue: BL; Purple: PL; Red: RL]. </w:t>
      </w:r>
    </w:p>
    <w:tbl>
      <w:tblPr>
        <w:tblStyle w:val="TableGrid"/>
        <w:tblW w:w="0" w:type="auto"/>
        <w:tblLook w:val="04A0" w:firstRow="1" w:lastRow="0" w:firstColumn="1" w:lastColumn="0" w:noHBand="0" w:noVBand="1"/>
      </w:tblPr>
      <w:tblGrid>
        <w:gridCol w:w="1843"/>
        <w:gridCol w:w="4111"/>
        <w:gridCol w:w="1134"/>
        <w:gridCol w:w="1928"/>
      </w:tblGrid>
      <w:tr w:rsidR="003A10A7" w:rsidRPr="001A3A0D" w14:paraId="7EE162D6" w14:textId="77777777" w:rsidTr="00087E54">
        <w:tc>
          <w:tcPr>
            <w:tcW w:w="1843" w:type="dxa"/>
            <w:tcBorders>
              <w:top w:val="single" w:sz="4" w:space="0" w:color="auto"/>
              <w:left w:val="nil"/>
              <w:bottom w:val="single" w:sz="4" w:space="0" w:color="auto"/>
              <w:right w:val="nil"/>
            </w:tcBorders>
          </w:tcPr>
          <w:p w14:paraId="7A736238" w14:textId="77777777" w:rsidR="003A10A7" w:rsidRPr="001A3A0D" w:rsidRDefault="003A10A7" w:rsidP="00087E54">
            <w:pPr>
              <w:spacing w:line="360" w:lineRule="auto"/>
              <w:jc w:val="both"/>
              <w:rPr>
                <w:rFonts w:ascii="Times New Roman" w:hAnsi="Times New Roman" w:cs="Times New Roman"/>
                <w:sz w:val="20"/>
                <w:szCs w:val="20"/>
              </w:rPr>
            </w:pPr>
            <w:proofErr w:type="spellStart"/>
            <w:proofErr w:type="gramStart"/>
            <w:r w:rsidRPr="001A3A0D">
              <w:rPr>
                <w:rFonts w:ascii="Times New Roman" w:hAnsi="Times New Roman" w:cs="Times New Roman"/>
                <w:sz w:val="20"/>
                <w:szCs w:val="20"/>
              </w:rPr>
              <w:t>spp</w:t>
            </w:r>
            <w:proofErr w:type="spellEnd"/>
            <w:proofErr w:type="gramEnd"/>
            <w:r w:rsidRPr="001A3A0D">
              <w:rPr>
                <w:rFonts w:ascii="Times New Roman" w:hAnsi="Times New Roman" w:cs="Times New Roman"/>
                <w:sz w:val="20"/>
                <w:szCs w:val="20"/>
              </w:rPr>
              <w:t>.</w:t>
            </w:r>
          </w:p>
        </w:tc>
        <w:tc>
          <w:tcPr>
            <w:tcW w:w="4111" w:type="dxa"/>
            <w:tcBorders>
              <w:top w:val="single" w:sz="4" w:space="0" w:color="auto"/>
              <w:left w:val="nil"/>
              <w:bottom w:val="single" w:sz="4" w:space="0" w:color="auto"/>
              <w:right w:val="nil"/>
            </w:tcBorders>
          </w:tcPr>
          <w:p w14:paraId="378BE658" w14:textId="77777777" w:rsidR="003A10A7" w:rsidRPr="001A3A0D" w:rsidRDefault="003A10A7" w:rsidP="00087E54">
            <w:pPr>
              <w:spacing w:line="360" w:lineRule="auto"/>
              <w:rPr>
                <w:rFonts w:ascii="Times New Roman" w:hAnsi="Times New Roman" w:cs="Times New Roman"/>
                <w:sz w:val="20"/>
                <w:szCs w:val="20"/>
              </w:rPr>
            </w:pPr>
            <w:r w:rsidRPr="001A3A0D">
              <w:rPr>
                <w:rFonts w:ascii="Times New Roman" w:hAnsi="Times New Roman" w:cs="Times New Roman"/>
                <w:sz w:val="20"/>
                <w:szCs w:val="20"/>
              </w:rPr>
              <w:t xml:space="preserve">Dm </w:t>
            </w:r>
          </w:p>
        </w:tc>
        <w:tc>
          <w:tcPr>
            <w:tcW w:w="1134" w:type="dxa"/>
            <w:tcBorders>
              <w:top w:val="single" w:sz="4" w:space="0" w:color="auto"/>
              <w:left w:val="nil"/>
              <w:bottom w:val="single" w:sz="4" w:space="0" w:color="auto"/>
              <w:right w:val="nil"/>
            </w:tcBorders>
          </w:tcPr>
          <w:p w14:paraId="0D109C4F" w14:textId="77777777" w:rsidR="003A10A7" w:rsidRPr="001A3A0D" w:rsidRDefault="003A10A7" w:rsidP="00087E54">
            <w:pPr>
              <w:spacing w:line="360" w:lineRule="auto"/>
              <w:rPr>
                <w:rFonts w:ascii="Times New Roman" w:hAnsi="Times New Roman" w:cs="Times New Roman"/>
                <w:sz w:val="20"/>
                <w:szCs w:val="20"/>
              </w:rPr>
            </w:pPr>
            <w:r w:rsidRPr="001A3A0D">
              <w:rPr>
                <w:rFonts w:ascii="Times New Roman" w:hAnsi="Times New Roman" w:cs="Times New Roman"/>
                <w:sz w:val="20"/>
                <w:szCs w:val="20"/>
              </w:rPr>
              <w:t>LQ</w:t>
            </w:r>
          </w:p>
        </w:tc>
        <w:tc>
          <w:tcPr>
            <w:tcW w:w="1928" w:type="dxa"/>
            <w:tcBorders>
              <w:top w:val="single" w:sz="4" w:space="0" w:color="auto"/>
              <w:left w:val="nil"/>
              <w:bottom w:val="single" w:sz="4" w:space="0" w:color="auto"/>
              <w:right w:val="nil"/>
            </w:tcBorders>
          </w:tcPr>
          <w:p w14:paraId="51492A1C" w14:textId="77777777" w:rsidR="003A10A7" w:rsidRPr="001A3A0D" w:rsidRDefault="003A10A7" w:rsidP="00087E54">
            <w:pPr>
              <w:spacing w:line="360" w:lineRule="auto"/>
              <w:rPr>
                <w:rFonts w:ascii="Times New Roman" w:hAnsi="Times New Roman" w:cs="Times New Roman"/>
                <w:sz w:val="20"/>
                <w:szCs w:val="20"/>
              </w:rPr>
            </w:pPr>
            <w:r w:rsidRPr="001A3A0D">
              <w:rPr>
                <w:rFonts w:ascii="Times New Roman" w:hAnsi="Times New Roman" w:cs="Times New Roman"/>
                <w:sz w:val="20"/>
                <w:szCs w:val="20"/>
              </w:rPr>
              <w:t xml:space="preserve">Dm </w:t>
            </w:r>
          </w:p>
        </w:tc>
      </w:tr>
      <w:tr w:rsidR="003A10A7" w:rsidRPr="001A3A0D" w14:paraId="315209C6" w14:textId="77777777" w:rsidTr="00087E54">
        <w:tc>
          <w:tcPr>
            <w:tcW w:w="1843" w:type="dxa"/>
            <w:tcBorders>
              <w:top w:val="single" w:sz="4" w:space="0" w:color="auto"/>
              <w:left w:val="nil"/>
              <w:bottom w:val="nil"/>
              <w:right w:val="nil"/>
            </w:tcBorders>
          </w:tcPr>
          <w:p w14:paraId="2799B6D0"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i/>
                <w:iCs/>
                <w:sz w:val="20"/>
                <w:szCs w:val="20"/>
              </w:rPr>
              <w:t>S. undatus</w:t>
            </w:r>
          </w:p>
        </w:tc>
        <w:tc>
          <w:tcPr>
            <w:tcW w:w="4111" w:type="dxa"/>
            <w:tcBorders>
              <w:top w:val="single" w:sz="4" w:space="0" w:color="auto"/>
              <w:left w:val="nil"/>
              <w:bottom w:val="nil"/>
              <w:right w:val="nil"/>
            </w:tcBorders>
          </w:tcPr>
          <w:p w14:paraId="4F0701D5"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0.728±0.013</w:t>
            </w:r>
            <w:r w:rsidRPr="001A3A0D">
              <w:rPr>
                <w:rFonts w:ascii="Times New Roman" w:hAnsi="Times New Roman" w:cs="Times New Roman"/>
                <w:sz w:val="20"/>
                <w:szCs w:val="20"/>
                <w:vertAlign w:val="superscript"/>
              </w:rPr>
              <w:t>a</w:t>
            </w:r>
          </w:p>
        </w:tc>
        <w:tc>
          <w:tcPr>
            <w:tcW w:w="1134" w:type="dxa"/>
            <w:tcBorders>
              <w:top w:val="single" w:sz="4" w:space="0" w:color="auto"/>
              <w:left w:val="nil"/>
              <w:bottom w:val="nil"/>
              <w:right w:val="nil"/>
            </w:tcBorders>
          </w:tcPr>
          <w:p w14:paraId="5ADE3207"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WL</w:t>
            </w:r>
          </w:p>
        </w:tc>
        <w:tc>
          <w:tcPr>
            <w:tcW w:w="1928" w:type="dxa"/>
            <w:tcBorders>
              <w:top w:val="single" w:sz="4" w:space="0" w:color="auto"/>
              <w:left w:val="nil"/>
              <w:bottom w:val="nil"/>
              <w:right w:val="nil"/>
            </w:tcBorders>
          </w:tcPr>
          <w:p w14:paraId="193214BB"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0.694±0.017B</w:t>
            </w:r>
          </w:p>
        </w:tc>
      </w:tr>
      <w:tr w:rsidR="003A10A7" w:rsidRPr="001A3A0D" w14:paraId="4CA3CAC6" w14:textId="77777777" w:rsidTr="00087E54">
        <w:tc>
          <w:tcPr>
            <w:tcW w:w="1843" w:type="dxa"/>
            <w:tcBorders>
              <w:top w:val="nil"/>
              <w:left w:val="nil"/>
              <w:bottom w:val="nil"/>
              <w:right w:val="nil"/>
            </w:tcBorders>
          </w:tcPr>
          <w:p w14:paraId="334DC17B"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i/>
                <w:iCs/>
                <w:sz w:val="20"/>
                <w:szCs w:val="20"/>
              </w:rPr>
              <w:t xml:space="preserve">H. </w:t>
            </w:r>
            <w:proofErr w:type="spellStart"/>
            <w:r w:rsidRPr="001A3A0D">
              <w:rPr>
                <w:rFonts w:ascii="Times New Roman" w:hAnsi="Times New Roman" w:cs="Times New Roman"/>
                <w:i/>
                <w:iCs/>
                <w:sz w:val="20"/>
                <w:szCs w:val="20"/>
              </w:rPr>
              <w:t>polyrhizus</w:t>
            </w:r>
            <w:proofErr w:type="spellEnd"/>
          </w:p>
        </w:tc>
        <w:tc>
          <w:tcPr>
            <w:tcW w:w="4111" w:type="dxa"/>
            <w:tcBorders>
              <w:top w:val="nil"/>
              <w:left w:val="nil"/>
              <w:bottom w:val="nil"/>
              <w:right w:val="nil"/>
            </w:tcBorders>
          </w:tcPr>
          <w:p w14:paraId="49044946"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0.690±0.009</w:t>
            </w:r>
            <w:r w:rsidRPr="001A3A0D">
              <w:rPr>
                <w:rFonts w:ascii="Times New Roman" w:hAnsi="Times New Roman" w:cs="Times New Roman"/>
                <w:sz w:val="20"/>
                <w:szCs w:val="20"/>
                <w:vertAlign w:val="superscript"/>
              </w:rPr>
              <w:t>b</w:t>
            </w:r>
          </w:p>
        </w:tc>
        <w:tc>
          <w:tcPr>
            <w:tcW w:w="1134" w:type="dxa"/>
            <w:tcBorders>
              <w:top w:val="nil"/>
              <w:left w:val="nil"/>
              <w:bottom w:val="nil"/>
              <w:right w:val="nil"/>
            </w:tcBorders>
          </w:tcPr>
          <w:p w14:paraId="447BE81C"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BL</w:t>
            </w:r>
          </w:p>
        </w:tc>
        <w:tc>
          <w:tcPr>
            <w:tcW w:w="1928" w:type="dxa"/>
            <w:tcBorders>
              <w:top w:val="nil"/>
              <w:left w:val="nil"/>
              <w:bottom w:val="nil"/>
              <w:right w:val="nil"/>
            </w:tcBorders>
          </w:tcPr>
          <w:p w14:paraId="6084404E"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0.703±0.019B</w:t>
            </w:r>
          </w:p>
        </w:tc>
      </w:tr>
      <w:tr w:rsidR="003A10A7" w:rsidRPr="001A3A0D" w14:paraId="343F43EB" w14:textId="77777777" w:rsidTr="00087E54">
        <w:tc>
          <w:tcPr>
            <w:tcW w:w="1843" w:type="dxa"/>
            <w:tcBorders>
              <w:top w:val="nil"/>
              <w:left w:val="nil"/>
              <w:bottom w:val="nil"/>
              <w:right w:val="nil"/>
            </w:tcBorders>
          </w:tcPr>
          <w:p w14:paraId="42A6F0FC" w14:textId="77777777" w:rsidR="003A10A7" w:rsidRPr="001A3A0D" w:rsidRDefault="003A10A7" w:rsidP="00087E54">
            <w:pPr>
              <w:spacing w:line="360" w:lineRule="auto"/>
              <w:jc w:val="both"/>
              <w:rPr>
                <w:rFonts w:ascii="Times New Roman" w:hAnsi="Times New Roman" w:cs="Times New Roman"/>
                <w:sz w:val="20"/>
                <w:szCs w:val="20"/>
              </w:rPr>
            </w:pPr>
          </w:p>
        </w:tc>
        <w:tc>
          <w:tcPr>
            <w:tcW w:w="4111" w:type="dxa"/>
            <w:tcBorders>
              <w:top w:val="nil"/>
              <w:left w:val="nil"/>
              <w:bottom w:val="nil"/>
              <w:right w:val="nil"/>
            </w:tcBorders>
          </w:tcPr>
          <w:p w14:paraId="1977D255" w14:textId="77777777" w:rsidR="003A10A7" w:rsidRPr="001A3A0D" w:rsidRDefault="003A10A7" w:rsidP="00087E54">
            <w:pPr>
              <w:spacing w:line="360" w:lineRule="auto"/>
              <w:jc w:val="both"/>
              <w:rPr>
                <w:rFonts w:ascii="Times New Roman" w:hAnsi="Times New Roman" w:cs="Times New Roman"/>
                <w:sz w:val="20"/>
                <w:szCs w:val="20"/>
              </w:rPr>
            </w:pPr>
          </w:p>
        </w:tc>
        <w:tc>
          <w:tcPr>
            <w:tcW w:w="1134" w:type="dxa"/>
            <w:tcBorders>
              <w:top w:val="nil"/>
              <w:left w:val="nil"/>
              <w:bottom w:val="nil"/>
              <w:right w:val="nil"/>
            </w:tcBorders>
          </w:tcPr>
          <w:p w14:paraId="24CCD81A"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PL</w:t>
            </w:r>
          </w:p>
        </w:tc>
        <w:tc>
          <w:tcPr>
            <w:tcW w:w="1928" w:type="dxa"/>
            <w:tcBorders>
              <w:top w:val="nil"/>
              <w:left w:val="nil"/>
              <w:bottom w:val="nil"/>
              <w:right w:val="nil"/>
            </w:tcBorders>
          </w:tcPr>
          <w:p w14:paraId="618B3363"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0.723±0.023A</w:t>
            </w:r>
          </w:p>
        </w:tc>
      </w:tr>
      <w:tr w:rsidR="003A10A7" w:rsidRPr="001A3A0D" w14:paraId="340CB658" w14:textId="77777777" w:rsidTr="00087E54">
        <w:tc>
          <w:tcPr>
            <w:tcW w:w="1843" w:type="dxa"/>
            <w:tcBorders>
              <w:top w:val="nil"/>
              <w:left w:val="nil"/>
              <w:bottom w:val="single" w:sz="4" w:space="0" w:color="auto"/>
              <w:right w:val="nil"/>
            </w:tcBorders>
          </w:tcPr>
          <w:p w14:paraId="7A1D57DF"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C.V. = 6.45%</w:t>
            </w:r>
          </w:p>
        </w:tc>
        <w:tc>
          <w:tcPr>
            <w:tcW w:w="4111" w:type="dxa"/>
            <w:tcBorders>
              <w:top w:val="nil"/>
              <w:left w:val="nil"/>
              <w:bottom w:val="single" w:sz="4" w:space="0" w:color="auto"/>
              <w:right w:val="nil"/>
            </w:tcBorders>
          </w:tcPr>
          <w:p w14:paraId="52C10D7B" w14:textId="77777777" w:rsidR="003A10A7" w:rsidRPr="001A3A0D" w:rsidRDefault="003A10A7" w:rsidP="00087E54">
            <w:pPr>
              <w:spacing w:line="360" w:lineRule="auto"/>
              <w:jc w:val="both"/>
              <w:rPr>
                <w:rFonts w:ascii="Times New Roman" w:hAnsi="Times New Roman" w:cs="Times New Roman"/>
                <w:sz w:val="20"/>
                <w:szCs w:val="20"/>
              </w:rPr>
            </w:pPr>
          </w:p>
        </w:tc>
        <w:tc>
          <w:tcPr>
            <w:tcW w:w="1134" w:type="dxa"/>
            <w:tcBorders>
              <w:top w:val="nil"/>
              <w:left w:val="nil"/>
              <w:bottom w:val="single" w:sz="4" w:space="0" w:color="auto"/>
              <w:right w:val="nil"/>
            </w:tcBorders>
          </w:tcPr>
          <w:p w14:paraId="532F111B"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RL</w:t>
            </w:r>
          </w:p>
        </w:tc>
        <w:tc>
          <w:tcPr>
            <w:tcW w:w="1928" w:type="dxa"/>
            <w:tcBorders>
              <w:top w:val="nil"/>
              <w:left w:val="nil"/>
              <w:bottom w:val="single" w:sz="4" w:space="0" w:color="auto"/>
              <w:right w:val="nil"/>
            </w:tcBorders>
          </w:tcPr>
          <w:p w14:paraId="4FB02873"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0.715±0.024A</w:t>
            </w:r>
          </w:p>
        </w:tc>
      </w:tr>
    </w:tbl>
    <w:p w14:paraId="59C073D9" w14:textId="2675E27A" w:rsidR="003A10A7" w:rsidRPr="001A3A0D" w:rsidRDefault="007C505B" w:rsidP="003A10A7">
      <w:pPr>
        <w:spacing w:line="360" w:lineRule="auto"/>
        <w:jc w:val="both"/>
        <w:rPr>
          <w:rFonts w:ascii="Times New Roman" w:hAnsi="Times New Roman" w:cs="Times New Roman"/>
          <w:sz w:val="20"/>
          <w:szCs w:val="20"/>
          <w:lang w:val="en-US"/>
        </w:rPr>
      </w:pPr>
      <w:r w:rsidRPr="007C505B">
        <w:rPr>
          <w:rFonts w:ascii="Times New Roman" w:hAnsi="Times New Roman" w:cs="Times New Roman"/>
          <w:sz w:val="20"/>
          <w:szCs w:val="20"/>
          <w:lang w:val="en-US"/>
        </w:rPr>
        <w:t xml:space="preserve">Means (± standard error) followed by different lowercase letters (species) and uppercase letters (light quality) within the same column differ significantly according to Tukey's honestly significant difference (HSD) test at the 5% significance level (p ≤ 0.05). Values represent factor means due to the absence of a significant interaction between species and light quality. </w:t>
      </w:r>
      <w:r w:rsidRPr="004D633B">
        <w:rPr>
          <w:rFonts w:ascii="Times New Roman" w:hAnsi="Times New Roman" w:cs="Times New Roman"/>
          <w:sz w:val="20"/>
          <w:szCs w:val="20"/>
          <w:lang w:val="en-US"/>
        </w:rPr>
        <w:t xml:space="preserve">C.V. = coefficient of variation (%). </w:t>
      </w:r>
    </w:p>
    <w:p w14:paraId="47292299" w14:textId="77777777" w:rsidR="003A10A7" w:rsidRPr="001A3A0D" w:rsidRDefault="003A10A7" w:rsidP="003A10A7">
      <w:pPr>
        <w:spacing w:line="360" w:lineRule="auto"/>
        <w:ind w:firstLine="708"/>
        <w:jc w:val="both"/>
        <w:rPr>
          <w:rFonts w:ascii="Times New Roman" w:hAnsi="Times New Roman" w:cs="Times New Roman"/>
          <w:bCs/>
          <w:sz w:val="20"/>
          <w:szCs w:val="20"/>
          <w:lang w:val="en-US"/>
        </w:rPr>
      </w:pPr>
      <w:r w:rsidRPr="001A3A0D">
        <w:rPr>
          <w:rFonts w:ascii="Times New Roman" w:hAnsi="Times New Roman" w:cs="Times New Roman"/>
          <w:bCs/>
          <w:sz w:val="20"/>
          <w:szCs w:val="20"/>
          <w:lang w:val="en-US"/>
        </w:rPr>
        <w:t xml:space="preserve">The mean cladode diameter of </w:t>
      </w:r>
      <w:r w:rsidRPr="001A3A0D">
        <w:rPr>
          <w:rFonts w:ascii="Times New Roman" w:hAnsi="Times New Roman" w:cs="Times New Roman"/>
          <w:bCs/>
          <w:i/>
          <w:iCs/>
          <w:sz w:val="20"/>
          <w:szCs w:val="20"/>
          <w:lang w:val="en-US"/>
        </w:rPr>
        <w:t>S. undatus</w:t>
      </w:r>
      <w:r w:rsidRPr="001A3A0D">
        <w:rPr>
          <w:rFonts w:ascii="Times New Roman" w:hAnsi="Times New Roman" w:cs="Times New Roman"/>
          <w:bCs/>
          <w:sz w:val="20"/>
          <w:szCs w:val="20"/>
          <w:lang w:val="en-US"/>
        </w:rPr>
        <w:t xml:space="preserve">, considering all evaluated light qualities, was greater than that of </w:t>
      </w:r>
      <w:r w:rsidRPr="001A3A0D">
        <w:rPr>
          <w:rFonts w:ascii="Times New Roman" w:hAnsi="Times New Roman" w:cs="Times New Roman"/>
          <w:bCs/>
          <w:i/>
          <w:iCs/>
          <w:sz w:val="20"/>
          <w:szCs w:val="20"/>
          <w:lang w:val="en-US"/>
        </w:rPr>
        <w:t xml:space="preserve">H. </w:t>
      </w:r>
      <w:proofErr w:type="spellStart"/>
      <w:r w:rsidRPr="001A3A0D">
        <w:rPr>
          <w:rFonts w:ascii="Times New Roman" w:hAnsi="Times New Roman" w:cs="Times New Roman"/>
          <w:bCs/>
          <w:i/>
          <w:iCs/>
          <w:sz w:val="20"/>
          <w:szCs w:val="20"/>
          <w:lang w:val="en-US"/>
        </w:rPr>
        <w:t>polyrhizus</w:t>
      </w:r>
      <w:proofErr w:type="spellEnd"/>
      <w:r w:rsidRPr="001A3A0D">
        <w:rPr>
          <w:rFonts w:ascii="Times New Roman" w:hAnsi="Times New Roman" w:cs="Times New Roman"/>
          <w:bCs/>
          <w:sz w:val="20"/>
          <w:szCs w:val="20"/>
          <w:lang w:val="en-US"/>
        </w:rPr>
        <w:t>. The highest mean cladode diameters were observed under purple (0.723 mm) and red (0.715 mm) light, which did not differ significantly from each other, but were higher than those recorded under blue and white light (Table 1).</w:t>
      </w:r>
    </w:p>
    <w:p w14:paraId="127C0534" w14:textId="77777777" w:rsidR="00822988" w:rsidRPr="00822988" w:rsidRDefault="00822988" w:rsidP="00822988">
      <w:pPr>
        <w:spacing w:line="360" w:lineRule="auto"/>
        <w:ind w:firstLine="708"/>
        <w:jc w:val="both"/>
        <w:rPr>
          <w:rFonts w:ascii="Times New Roman" w:hAnsi="Times New Roman" w:cs="Times New Roman"/>
          <w:bCs/>
          <w:sz w:val="20"/>
          <w:szCs w:val="20"/>
          <w:highlight w:val="yellow"/>
          <w:lang w:val="en-US"/>
        </w:rPr>
      </w:pPr>
      <w:r w:rsidRPr="00822988">
        <w:rPr>
          <w:rFonts w:ascii="Times New Roman" w:hAnsi="Times New Roman" w:cs="Times New Roman"/>
          <w:bCs/>
          <w:sz w:val="20"/>
          <w:szCs w:val="20"/>
          <w:highlight w:val="yellow"/>
          <w:lang w:val="en-US"/>
        </w:rPr>
        <w:t xml:space="preserve">The greater cladode diameter observed under red and purple LED treatments is consistent with previous studies reporting improved growth of pitaya under light environments enriched in red wavelengths (Huang et al., 2022). Similarly, the response observed under the combined red and blue spectrum (purple light) agrees with reports indicating that mixed wavelengths may be more suitable for </w:t>
      </w:r>
      <w:r w:rsidRPr="00281852">
        <w:rPr>
          <w:rFonts w:ascii="Times New Roman" w:hAnsi="Times New Roman" w:cs="Times New Roman"/>
          <w:bCs/>
          <w:i/>
          <w:iCs/>
          <w:sz w:val="20"/>
          <w:szCs w:val="20"/>
          <w:highlight w:val="yellow"/>
          <w:lang w:val="en-US"/>
        </w:rPr>
        <w:t>in vitro</w:t>
      </w:r>
      <w:r w:rsidRPr="00822988">
        <w:rPr>
          <w:rFonts w:ascii="Times New Roman" w:hAnsi="Times New Roman" w:cs="Times New Roman"/>
          <w:bCs/>
          <w:sz w:val="20"/>
          <w:szCs w:val="20"/>
          <w:highlight w:val="yellow"/>
          <w:lang w:val="en-US"/>
        </w:rPr>
        <w:t xml:space="preserve"> plant development than monochromatic light conditions. In the present study, red and purple LED treatments were associated with greater cladode expansion than blue light, suggesting that spectral composition contributed to the observed morphological differences.</w:t>
      </w:r>
    </w:p>
    <w:p w14:paraId="3AE05762" w14:textId="77777777" w:rsidR="00822988" w:rsidRPr="00822988" w:rsidRDefault="00822988" w:rsidP="00822988">
      <w:pPr>
        <w:spacing w:line="360" w:lineRule="auto"/>
        <w:ind w:firstLine="708"/>
        <w:jc w:val="both"/>
        <w:rPr>
          <w:rFonts w:ascii="Times New Roman" w:hAnsi="Times New Roman" w:cs="Times New Roman"/>
          <w:bCs/>
          <w:sz w:val="20"/>
          <w:szCs w:val="20"/>
          <w:highlight w:val="yellow"/>
          <w:lang w:val="en-US"/>
        </w:rPr>
      </w:pPr>
      <w:r w:rsidRPr="00822988">
        <w:rPr>
          <w:rFonts w:ascii="Times New Roman" w:hAnsi="Times New Roman" w:cs="Times New Roman"/>
          <w:bCs/>
          <w:sz w:val="20"/>
          <w:szCs w:val="20"/>
          <w:highlight w:val="yellow"/>
          <w:lang w:val="en-US"/>
        </w:rPr>
        <w:t xml:space="preserve">However, because slight differences in estimated PPFD among treatments could not be completely eliminated, the responses should be interpreted as resulting from the combined influence of light spectrum and photon flux density rather than spectral quality alone. Previous studies have suggested that red wavelengths may influence photomorphogenic responses through phytochrome-related processes (Huang et al., 2022); however, </w:t>
      </w:r>
      <w:r w:rsidRPr="00822988">
        <w:rPr>
          <w:rFonts w:ascii="Times New Roman" w:hAnsi="Times New Roman" w:cs="Times New Roman"/>
          <w:bCs/>
          <w:sz w:val="20"/>
          <w:szCs w:val="20"/>
          <w:highlight w:val="yellow"/>
          <w:lang w:val="en-US"/>
        </w:rPr>
        <w:lastRenderedPageBreak/>
        <w:t>these mechanisms were not directly assessed in the present study and are therefore considered only as potential explanations for the observed growth patterns.</w:t>
      </w:r>
    </w:p>
    <w:p w14:paraId="1A02B388" w14:textId="77777777" w:rsidR="001E17EF" w:rsidRPr="001E17EF" w:rsidRDefault="001E17EF" w:rsidP="003A10A7">
      <w:pPr>
        <w:spacing w:line="360" w:lineRule="auto"/>
        <w:ind w:firstLine="708"/>
        <w:jc w:val="both"/>
        <w:rPr>
          <w:rFonts w:ascii="Times New Roman" w:hAnsi="Times New Roman" w:cs="Times New Roman"/>
          <w:bCs/>
          <w:sz w:val="20"/>
          <w:szCs w:val="20"/>
          <w:lang w:val="en-US"/>
        </w:rPr>
      </w:pPr>
    </w:p>
    <w:p w14:paraId="64002767" w14:textId="77777777" w:rsidR="003A10A7" w:rsidRPr="001A3A0D" w:rsidRDefault="003A10A7" w:rsidP="003A10A7">
      <w:pPr>
        <w:spacing w:line="360" w:lineRule="auto"/>
        <w:ind w:firstLine="708"/>
        <w:jc w:val="both"/>
        <w:rPr>
          <w:rFonts w:ascii="Times New Roman" w:hAnsi="Times New Roman" w:cs="Times New Roman"/>
          <w:bCs/>
          <w:sz w:val="20"/>
          <w:szCs w:val="20"/>
          <w:lang w:val="en-US"/>
        </w:rPr>
      </w:pPr>
      <w:r w:rsidRPr="001A3A0D">
        <w:rPr>
          <w:rFonts w:ascii="Times New Roman" w:hAnsi="Times New Roman" w:cs="Times New Roman"/>
          <w:bCs/>
          <w:sz w:val="20"/>
          <w:szCs w:val="20"/>
          <w:lang w:val="en-US"/>
        </w:rPr>
        <w:t xml:space="preserve">The biometric characteristics of </w:t>
      </w:r>
      <w:r w:rsidRPr="001A3A0D">
        <w:rPr>
          <w:rFonts w:ascii="Times New Roman" w:hAnsi="Times New Roman" w:cs="Times New Roman"/>
          <w:bCs/>
          <w:i/>
          <w:iCs/>
          <w:sz w:val="20"/>
          <w:szCs w:val="20"/>
          <w:lang w:val="en-US"/>
        </w:rPr>
        <w:t>S. undatus</w:t>
      </w:r>
      <w:r w:rsidRPr="001A3A0D">
        <w:rPr>
          <w:rFonts w:ascii="Times New Roman" w:hAnsi="Times New Roman" w:cs="Times New Roman"/>
          <w:bCs/>
          <w:sz w:val="20"/>
          <w:szCs w:val="20"/>
          <w:lang w:val="en-US"/>
        </w:rPr>
        <w:t xml:space="preserve"> and </w:t>
      </w:r>
      <w:r w:rsidRPr="001A3A0D">
        <w:rPr>
          <w:rFonts w:ascii="Times New Roman" w:hAnsi="Times New Roman" w:cs="Times New Roman"/>
          <w:bCs/>
          <w:i/>
          <w:iCs/>
          <w:sz w:val="20"/>
          <w:szCs w:val="20"/>
          <w:lang w:val="en-US"/>
        </w:rPr>
        <w:t xml:space="preserve">H. </w:t>
      </w:r>
      <w:proofErr w:type="spellStart"/>
      <w:r w:rsidRPr="001A3A0D">
        <w:rPr>
          <w:rFonts w:ascii="Times New Roman" w:hAnsi="Times New Roman" w:cs="Times New Roman"/>
          <w:bCs/>
          <w:i/>
          <w:iCs/>
          <w:sz w:val="20"/>
          <w:szCs w:val="20"/>
          <w:lang w:val="en-US"/>
        </w:rPr>
        <w:t>polyrhizus</w:t>
      </w:r>
      <w:proofErr w:type="spellEnd"/>
      <w:r w:rsidRPr="001A3A0D">
        <w:rPr>
          <w:rFonts w:ascii="Times New Roman" w:hAnsi="Times New Roman" w:cs="Times New Roman"/>
          <w:bCs/>
          <w:sz w:val="20"/>
          <w:szCs w:val="20"/>
          <w:lang w:val="en-US"/>
        </w:rPr>
        <w:t xml:space="preserve"> propagules did not differ significantly under white light. However, under blue, purple, and red light, </w:t>
      </w:r>
      <w:r w:rsidRPr="001A3A0D">
        <w:rPr>
          <w:rFonts w:ascii="Times New Roman" w:hAnsi="Times New Roman" w:cs="Times New Roman"/>
          <w:bCs/>
          <w:i/>
          <w:iCs/>
          <w:sz w:val="20"/>
          <w:szCs w:val="20"/>
          <w:lang w:val="en-US"/>
        </w:rPr>
        <w:t>S. undatus</w:t>
      </w:r>
      <w:r w:rsidRPr="001A3A0D">
        <w:rPr>
          <w:rFonts w:ascii="Times New Roman" w:hAnsi="Times New Roman" w:cs="Times New Roman"/>
          <w:bCs/>
          <w:sz w:val="20"/>
          <w:szCs w:val="20"/>
          <w:lang w:val="en-US"/>
        </w:rPr>
        <w:t xml:space="preserve"> exhibited greater shoot length (1.410, 1.613, and 1.694 cm, respectively), shoot fresh mass (1.029, 1.256, and 1.218 g, respectively), and shoot dry mass (0.362, 0.408, and 0.401 g, respectively), as well as higher root fresh mass (0.698, 0.904, and 0.816 g, respectively) and root dry mass (0.017, 0.023, and 0.026 g, respectively) (Table 2).</w:t>
      </w:r>
    </w:p>
    <w:p w14:paraId="74F47FA5" w14:textId="59C4AEC3" w:rsidR="003A10A7" w:rsidRPr="001A3A0D" w:rsidRDefault="003A10A7" w:rsidP="003A10A7">
      <w:pPr>
        <w:spacing w:before="240" w:line="360" w:lineRule="auto"/>
        <w:jc w:val="both"/>
        <w:rPr>
          <w:rFonts w:ascii="Times New Roman" w:hAnsi="Times New Roman" w:cs="Times New Roman"/>
          <w:bCs/>
          <w:sz w:val="20"/>
          <w:szCs w:val="20"/>
          <w:lang w:val="en-US"/>
        </w:rPr>
      </w:pPr>
      <w:r w:rsidRPr="001A3A0D">
        <w:rPr>
          <w:rFonts w:ascii="Times New Roman" w:hAnsi="Times New Roman" w:cs="Times New Roman"/>
          <w:bCs/>
          <w:sz w:val="20"/>
          <w:szCs w:val="20"/>
          <w:lang w:val="en-US"/>
        </w:rPr>
        <w:t xml:space="preserve">Table 2. Shoot length (LAP, cm), shoot fresh mass (FMAP, g plant⁻¹) and root fresh mass (DMAP, g plant⁻¹), and shoot dry mass (FMR, g plant⁻¹) and root dry mass (DMR, g plant⁻¹) of cladodes of pitaya species </w:t>
      </w:r>
      <w:r w:rsidRPr="001A3A0D">
        <w:rPr>
          <w:rFonts w:ascii="Times New Roman" w:hAnsi="Times New Roman" w:cs="Times New Roman"/>
          <w:bCs/>
          <w:i/>
          <w:iCs/>
          <w:sz w:val="20"/>
          <w:szCs w:val="20"/>
          <w:lang w:val="en-US"/>
        </w:rPr>
        <w:t>Selenicereus undatus</w:t>
      </w:r>
      <w:r w:rsidRPr="001A3A0D">
        <w:rPr>
          <w:rFonts w:ascii="Times New Roman" w:hAnsi="Times New Roman" w:cs="Times New Roman"/>
          <w:bCs/>
          <w:sz w:val="20"/>
          <w:szCs w:val="20"/>
          <w:lang w:val="en-US"/>
        </w:rPr>
        <w:t xml:space="preserve"> (Haw.) D.R.</w:t>
      </w:r>
      <w:r w:rsidR="006F5A07">
        <w:rPr>
          <w:rFonts w:ascii="Times New Roman" w:hAnsi="Times New Roman" w:cs="Times New Roman"/>
          <w:bCs/>
          <w:sz w:val="20"/>
          <w:szCs w:val="20"/>
          <w:lang w:val="en-US"/>
        </w:rPr>
        <w:t xml:space="preserve"> </w:t>
      </w:r>
      <w:r w:rsidRPr="001A3A0D">
        <w:rPr>
          <w:rFonts w:ascii="Times New Roman" w:hAnsi="Times New Roman" w:cs="Times New Roman"/>
          <w:bCs/>
          <w:sz w:val="20"/>
          <w:szCs w:val="20"/>
          <w:lang w:val="en-US"/>
        </w:rPr>
        <w:t xml:space="preserve">Hunt and </w:t>
      </w:r>
      <w:r w:rsidRPr="001A3A0D">
        <w:rPr>
          <w:rFonts w:ascii="Times New Roman" w:hAnsi="Times New Roman" w:cs="Times New Roman"/>
          <w:bCs/>
          <w:i/>
          <w:iCs/>
          <w:sz w:val="20"/>
          <w:szCs w:val="20"/>
          <w:lang w:val="en-US"/>
        </w:rPr>
        <w:t xml:space="preserve">Hylocereus </w:t>
      </w:r>
      <w:proofErr w:type="spellStart"/>
      <w:r w:rsidRPr="001A3A0D">
        <w:rPr>
          <w:rFonts w:ascii="Times New Roman" w:hAnsi="Times New Roman" w:cs="Times New Roman"/>
          <w:bCs/>
          <w:i/>
          <w:iCs/>
          <w:sz w:val="20"/>
          <w:szCs w:val="20"/>
          <w:lang w:val="en-US"/>
        </w:rPr>
        <w:t>polyrhizus</w:t>
      </w:r>
      <w:proofErr w:type="spellEnd"/>
      <w:r w:rsidRPr="001A3A0D">
        <w:rPr>
          <w:rFonts w:ascii="Times New Roman" w:hAnsi="Times New Roman" w:cs="Times New Roman"/>
          <w:bCs/>
          <w:sz w:val="20"/>
          <w:szCs w:val="20"/>
          <w:lang w:val="en-US"/>
        </w:rPr>
        <w:t xml:space="preserve"> (Salm-Dyck) R.</w:t>
      </w:r>
      <w:r w:rsidR="006F5A07">
        <w:rPr>
          <w:rFonts w:ascii="Times New Roman" w:hAnsi="Times New Roman" w:cs="Times New Roman"/>
          <w:bCs/>
          <w:sz w:val="20"/>
          <w:szCs w:val="20"/>
          <w:lang w:val="en-US"/>
        </w:rPr>
        <w:t xml:space="preserve"> </w:t>
      </w:r>
      <w:r w:rsidRPr="001A3A0D">
        <w:rPr>
          <w:rFonts w:ascii="Times New Roman" w:hAnsi="Times New Roman" w:cs="Times New Roman"/>
          <w:bCs/>
          <w:sz w:val="20"/>
          <w:szCs w:val="20"/>
          <w:lang w:val="en-US"/>
        </w:rPr>
        <w:t xml:space="preserve">Bauer after 65 days of </w:t>
      </w:r>
      <w:r w:rsidRPr="001A3A0D">
        <w:rPr>
          <w:rFonts w:ascii="Times New Roman" w:hAnsi="Times New Roman" w:cs="Times New Roman"/>
          <w:bCs/>
          <w:i/>
          <w:iCs/>
          <w:sz w:val="20"/>
          <w:szCs w:val="20"/>
          <w:lang w:val="en-US"/>
        </w:rPr>
        <w:t>in vitro</w:t>
      </w:r>
      <w:r w:rsidRPr="001A3A0D">
        <w:rPr>
          <w:rFonts w:ascii="Times New Roman" w:hAnsi="Times New Roman" w:cs="Times New Roman"/>
          <w:bCs/>
          <w:sz w:val="20"/>
          <w:szCs w:val="20"/>
          <w:lang w:val="en-US"/>
        </w:rPr>
        <w:t xml:space="preserve"> cultivation under different light qualities (LQ) [White (WL); Blue (BL); Purple (PL); Red (RL)].  </w:t>
      </w:r>
    </w:p>
    <w:tbl>
      <w:tblPr>
        <w:tblStyle w:val="TableGrid"/>
        <w:tblW w:w="878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862"/>
        <w:gridCol w:w="1402"/>
        <w:gridCol w:w="1422"/>
        <w:gridCol w:w="1417"/>
        <w:gridCol w:w="1418"/>
        <w:gridCol w:w="1417"/>
        <w:gridCol w:w="851"/>
      </w:tblGrid>
      <w:tr w:rsidR="003A10A7" w:rsidRPr="001A3A0D" w14:paraId="7338685D" w14:textId="77777777" w:rsidTr="00087E54">
        <w:trPr>
          <w:trHeight w:val="70"/>
          <w:jc w:val="center"/>
        </w:trPr>
        <w:tc>
          <w:tcPr>
            <w:tcW w:w="862" w:type="dxa"/>
            <w:tcBorders>
              <w:top w:val="single" w:sz="4" w:space="0" w:color="auto"/>
            </w:tcBorders>
          </w:tcPr>
          <w:p w14:paraId="62D1C5FD" w14:textId="77777777" w:rsidR="003A10A7" w:rsidRPr="001A3A0D" w:rsidRDefault="003A10A7" w:rsidP="00087E54">
            <w:pPr>
              <w:spacing w:line="360" w:lineRule="auto"/>
              <w:jc w:val="both"/>
              <w:rPr>
                <w:rFonts w:ascii="Times New Roman" w:hAnsi="Times New Roman" w:cs="Times New Roman"/>
                <w:sz w:val="20"/>
                <w:szCs w:val="20"/>
                <w:lang w:val="en-US"/>
              </w:rPr>
            </w:pPr>
            <w:r w:rsidRPr="001A3A0D">
              <w:rPr>
                <w:rFonts w:ascii="Times New Roman" w:hAnsi="Times New Roman" w:cs="Times New Roman"/>
                <w:sz w:val="20"/>
                <w:szCs w:val="20"/>
                <w:lang w:val="en-US"/>
              </w:rPr>
              <w:t xml:space="preserve">   </w:t>
            </w:r>
          </w:p>
        </w:tc>
        <w:tc>
          <w:tcPr>
            <w:tcW w:w="1402" w:type="dxa"/>
            <w:vMerge w:val="restart"/>
            <w:tcBorders>
              <w:top w:val="single" w:sz="4" w:space="0" w:color="auto"/>
            </w:tcBorders>
          </w:tcPr>
          <w:p w14:paraId="24A56E3A" w14:textId="77777777" w:rsidR="003A10A7" w:rsidRPr="001A3A0D" w:rsidRDefault="003A10A7" w:rsidP="00087E54">
            <w:pPr>
              <w:spacing w:line="360" w:lineRule="auto"/>
              <w:jc w:val="both"/>
              <w:rPr>
                <w:rFonts w:ascii="Times New Roman" w:hAnsi="Times New Roman" w:cs="Times New Roman"/>
                <w:sz w:val="20"/>
                <w:szCs w:val="20"/>
              </w:rPr>
            </w:pPr>
            <w:proofErr w:type="spellStart"/>
            <w:proofErr w:type="gramStart"/>
            <w:r w:rsidRPr="001A3A0D">
              <w:rPr>
                <w:rFonts w:ascii="Times New Roman" w:hAnsi="Times New Roman" w:cs="Times New Roman"/>
                <w:sz w:val="20"/>
                <w:szCs w:val="20"/>
              </w:rPr>
              <w:t>spp</w:t>
            </w:r>
            <w:proofErr w:type="spellEnd"/>
            <w:proofErr w:type="gramEnd"/>
            <w:r w:rsidRPr="001A3A0D">
              <w:rPr>
                <w:rFonts w:ascii="Times New Roman" w:hAnsi="Times New Roman" w:cs="Times New Roman"/>
                <w:sz w:val="20"/>
                <w:szCs w:val="20"/>
              </w:rPr>
              <w:t>.</w:t>
            </w:r>
          </w:p>
        </w:tc>
        <w:tc>
          <w:tcPr>
            <w:tcW w:w="5674" w:type="dxa"/>
            <w:gridSpan w:val="4"/>
            <w:tcBorders>
              <w:top w:val="single" w:sz="4" w:space="0" w:color="auto"/>
              <w:bottom w:val="single" w:sz="4" w:space="0" w:color="auto"/>
            </w:tcBorders>
          </w:tcPr>
          <w:p w14:paraId="79826F73" w14:textId="77777777" w:rsidR="003A10A7" w:rsidRPr="001A3A0D" w:rsidRDefault="003A10A7" w:rsidP="00087E54">
            <w:pPr>
              <w:spacing w:line="360" w:lineRule="auto"/>
              <w:jc w:val="center"/>
              <w:rPr>
                <w:rFonts w:ascii="Times New Roman" w:hAnsi="Times New Roman" w:cs="Times New Roman"/>
                <w:sz w:val="20"/>
                <w:szCs w:val="20"/>
              </w:rPr>
            </w:pPr>
            <w:r w:rsidRPr="001A3A0D">
              <w:rPr>
                <w:rFonts w:ascii="Times New Roman" w:hAnsi="Times New Roman" w:cs="Times New Roman"/>
                <w:sz w:val="20"/>
                <w:szCs w:val="20"/>
              </w:rPr>
              <w:t>LQ</w:t>
            </w:r>
          </w:p>
        </w:tc>
        <w:tc>
          <w:tcPr>
            <w:tcW w:w="851" w:type="dxa"/>
            <w:vMerge w:val="restart"/>
            <w:tcBorders>
              <w:top w:val="single" w:sz="4" w:space="0" w:color="auto"/>
            </w:tcBorders>
          </w:tcPr>
          <w:p w14:paraId="1BFA7A74" w14:textId="77777777" w:rsidR="003A10A7" w:rsidRPr="001A3A0D" w:rsidRDefault="003A10A7" w:rsidP="00087E54">
            <w:pPr>
              <w:spacing w:line="360" w:lineRule="auto"/>
              <w:jc w:val="right"/>
              <w:rPr>
                <w:rFonts w:ascii="Times New Roman" w:hAnsi="Times New Roman" w:cs="Times New Roman"/>
                <w:sz w:val="20"/>
                <w:szCs w:val="20"/>
              </w:rPr>
            </w:pPr>
            <w:r w:rsidRPr="001A3A0D">
              <w:rPr>
                <w:rFonts w:ascii="Times New Roman" w:hAnsi="Times New Roman" w:cs="Times New Roman"/>
                <w:sz w:val="20"/>
                <w:szCs w:val="20"/>
              </w:rPr>
              <w:t>C.V.</w:t>
            </w:r>
          </w:p>
        </w:tc>
      </w:tr>
      <w:tr w:rsidR="003A10A7" w:rsidRPr="001A3A0D" w14:paraId="178038C6" w14:textId="77777777" w:rsidTr="00087E54">
        <w:trPr>
          <w:jc w:val="center"/>
        </w:trPr>
        <w:tc>
          <w:tcPr>
            <w:tcW w:w="862" w:type="dxa"/>
            <w:tcBorders>
              <w:bottom w:val="single" w:sz="4" w:space="0" w:color="auto"/>
            </w:tcBorders>
          </w:tcPr>
          <w:p w14:paraId="5608A8C7" w14:textId="77777777" w:rsidR="003A10A7" w:rsidRPr="001A3A0D" w:rsidRDefault="003A10A7" w:rsidP="00087E54">
            <w:pPr>
              <w:spacing w:line="360" w:lineRule="auto"/>
              <w:jc w:val="both"/>
              <w:rPr>
                <w:rFonts w:ascii="Times New Roman" w:hAnsi="Times New Roman" w:cs="Times New Roman"/>
                <w:sz w:val="20"/>
                <w:szCs w:val="20"/>
              </w:rPr>
            </w:pPr>
          </w:p>
        </w:tc>
        <w:tc>
          <w:tcPr>
            <w:tcW w:w="1402" w:type="dxa"/>
            <w:vMerge/>
            <w:tcBorders>
              <w:bottom w:val="single" w:sz="4" w:space="0" w:color="auto"/>
            </w:tcBorders>
          </w:tcPr>
          <w:p w14:paraId="253FB0D6" w14:textId="77777777" w:rsidR="003A10A7" w:rsidRPr="001A3A0D" w:rsidRDefault="003A10A7" w:rsidP="00087E54">
            <w:pPr>
              <w:spacing w:line="360" w:lineRule="auto"/>
              <w:jc w:val="both"/>
              <w:rPr>
                <w:rFonts w:ascii="Times New Roman" w:hAnsi="Times New Roman" w:cs="Times New Roman"/>
                <w:sz w:val="20"/>
                <w:szCs w:val="20"/>
              </w:rPr>
            </w:pPr>
          </w:p>
        </w:tc>
        <w:tc>
          <w:tcPr>
            <w:tcW w:w="1422" w:type="dxa"/>
            <w:tcBorders>
              <w:top w:val="single" w:sz="4" w:space="0" w:color="auto"/>
              <w:bottom w:val="single" w:sz="4" w:space="0" w:color="auto"/>
            </w:tcBorders>
          </w:tcPr>
          <w:p w14:paraId="176FD3B7" w14:textId="77777777" w:rsidR="003A10A7" w:rsidRPr="001A3A0D" w:rsidRDefault="003A10A7" w:rsidP="00087E54">
            <w:pPr>
              <w:spacing w:line="360" w:lineRule="auto"/>
              <w:jc w:val="center"/>
              <w:rPr>
                <w:rFonts w:ascii="Times New Roman" w:hAnsi="Times New Roman" w:cs="Times New Roman"/>
                <w:sz w:val="20"/>
                <w:szCs w:val="20"/>
              </w:rPr>
            </w:pPr>
            <w:r w:rsidRPr="001A3A0D">
              <w:rPr>
                <w:rFonts w:ascii="Times New Roman" w:hAnsi="Times New Roman" w:cs="Times New Roman"/>
                <w:sz w:val="20"/>
                <w:szCs w:val="20"/>
              </w:rPr>
              <w:t>WL</w:t>
            </w:r>
          </w:p>
        </w:tc>
        <w:tc>
          <w:tcPr>
            <w:tcW w:w="1417" w:type="dxa"/>
            <w:tcBorders>
              <w:top w:val="single" w:sz="4" w:space="0" w:color="auto"/>
              <w:bottom w:val="single" w:sz="4" w:space="0" w:color="auto"/>
            </w:tcBorders>
          </w:tcPr>
          <w:p w14:paraId="3819E261" w14:textId="77777777" w:rsidR="003A10A7" w:rsidRPr="001A3A0D" w:rsidRDefault="003A10A7" w:rsidP="00087E54">
            <w:pPr>
              <w:spacing w:line="360" w:lineRule="auto"/>
              <w:jc w:val="center"/>
              <w:rPr>
                <w:rFonts w:ascii="Times New Roman" w:hAnsi="Times New Roman" w:cs="Times New Roman"/>
                <w:sz w:val="20"/>
                <w:szCs w:val="20"/>
              </w:rPr>
            </w:pPr>
            <w:r w:rsidRPr="001A3A0D">
              <w:rPr>
                <w:rFonts w:ascii="Times New Roman" w:hAnsi="Times New Roman" w:cs="Times New Roman"/>
                <w:sz w:val="20"/>
                <w:szCs w:val="20"/>
              </w:rPr>
              <w:t>BL</w:t>
            </w:r>
          </w:p>
        </w:tc>
        <w:tc>
          <w:tcPr>
            <w:tcW w:w="1418" w:type="dxa"/>
            <w:tcBorders>
              <w:top w:val="single" w:sz="4" w:space="0" w:color="auto"/>
              <w:bottom w:val="single" w:sz="4" w:space="0" w:color="auto"/>
            </w:tcBorders>
          </w:tcPr>
          <w:p w14:paraId="540E8757" w14:textId="77777777" w:rsidR="003A10A7" w:rsidRPr="001A3A0D" w:rsidRDefault="003A10A7" w:rsidP="00087E54">
            <w:pPr>
              <w:spacing w:line="360" w:lineRule="auto"/>
              <w:jc w:val="center"/>
              <w:rPr>
                <w:rFonts w:ascii="Times New Roman" w:hAnsi="Times New Roman" w:cs="Times New Roman"/>
                <w:sz w:val="20"/>
                <w:szCs w:val="20"/>
              </w:rPr>
            </w:pPr>
            <w:r w:rsidRPr="001A3A0D">
              <w:rPr>
                <w:rFonts w:ascii="Times New Roman" w:hAnsi="Times New Roman" w:cs="Times New Roman"/>
                <w:sz w:val="20"/>
                <w:szCs w:val="20"/>
              </w:rPr>
              <w:t>PL</w:t>
            </w:r>
          </w:p>
        </w:tc>
        <w:tc>
          <w:tcPr>
            <w:tcW w:w="1417" w:type="dxa"/>
            <w:tcBorders>
              <w:top w:val="single" w:sz="4" w:space="0" w:color="auto"/>
              <w:bottom w:val="single" w:sz="4" w:space="0" w:color="auto"/>
            </w:tcBorders>
          </w:tcPr>
          <w:p w14:paraId="4C6B0838" w14:textId="77777777" w:rsidR="003A10A7" w:rsidRPr="001A3A0D" w:rsidRDefault="003A10A7" w:rsidP="00087E54">
            <w:pPr>
              <w:spacing w:line="360" w:lineRule="auto"/>
              <w:jc w:val="center"/>
              <w:rPr>
                <w:rFonts w:ascii="Times New Roman" w:hAnsi="Times New Roman" w:cs="Times New Roman"/>
                <w:sz w:val="20"/>
                <w:szCs w:val="20"/>
              </w:rPr>
            </w:pPr>
            <w:r w:rsidRPr="001A3A0D">
              <w:rPr>
                <w:rFonts w:ascii="Times New Roman" w:hAnsi="Times New Roman" w:cs="Times New Roman"/>
                <w:sz w:val="20"/>
                <w:szCs w:val="20"/>
              </w:rPr>
              <w:t>RL</w:t>
            </w:r>
          </w:p>
        </w:tc>
        <w:tc>
          <w:tcPr>
            <w:tcW w:w="851" w:type="dxa"/>
            <w:vMerge/>
            <w:tcBorders>
              <w:bottom w:val="single" w:sz="4" w:space="0" w:color="auto"/>
            </w:tcBorders>
          </w:tcPr>
          <w:p w14:paraId="41273099" w14:textId="77777777" w:rsidR="003A10A7" w:rsidRPr="001A3A0D" w:rsidRDefault="003A10A7" w:rsidP="00087E54">
            <w:pPr>
              <w:spacing w:line="360" w:lineRule="auto"/>
              <w:jc w:val="right"/>
              <w:rPr>
                <w:rFonts w:ascii="Times New Roman" w:hAnsi="Times New Roman" w:cs="Times New Roman"/>
                <w:sz w:val="20"/>
                <w:szCs w:val="20"/>
              </w:rPr>
            </w:pPr>
          </w:p>
        </w:tc>
      </w:tr>
      <w:tr w:rsidR="003A10A7" w:rsidRPr="001A3A0D" w14:paraId="76D137E8" w14:textId="77777777" w:rsidTr="00087E54">
        <w:trPr>
          <w:jc w:val="center"/>
        </w:trPr>
        <w:tc>
          <w:tcPr>
            <w:tcW w:w="862" w:type="dxa"/>
            <w:vMerge w:val="restart"/>
            <w:tcBorders>
              <w:top w:val="single" w:sz="4" w:space="0" w:color="auto"/>
            </w:tcBorders>
          </w:tcPr>
          <w:p w14:paraId="2D0EB994"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LAP</w:t>
            </w:r>
          </w:p>
        </w:tc>
        <w:tc>
          <w:tcPr>
            <w:tcW w:w="1402" w:type="dxa"/>
            <w:tcBorders>
              <w:top w:val="single" w:sz="4" w:space="0" w:color="auto"/>
            </w:tcBorders>
          </w:tcPr>
          <w:p w14:paraId="28F23EB4" w14:textId="77777777" w:rsidR="003A10A7" w:rsidRPr="001A3A0D" w:rsidRDefault="003A10A7" w:rsidP="00087E54">
            <w:pPr>
              <w:spacing w:line="360" w:lineRule="auto"/>
              <w:jc w:val="both"/>
              <w:rPr>
                <w:rFonts w:ascii="Times New Roman" w:hAnsi="Times New Roman" w:cs="Times New Roman"/>
                <w:i/>
                <w:iCs/>
                <w:sz w:val="20"/>
                <w:szCs w:val="20"/>
              </w:rPr>
            </w:pPr>
            <w:r w:rsidRPr="001A3A0D">
              <w:rPr>
                <w:rFonts w:ascii="Times New Roman" w:hAnsi="Times New Roman" w:cs="Times New Roman"/>
                <w:i/>
                <w:iCs/>
                <w:sz w:val="20"/>
                <w:szCs w:val="20"/>
              </w:rPr>
              <w:t>S. undatus</w:t>
            </w:r>
          </w:p>
        </w:tc>
        <w:tc>
          <w:tcPr>
            <w:tcW w:w="1422" w:type="dxa"/>
            <w:tcBorders>
              <w:top w:val="single" w:sz="4" w:space="0" w:color="auto"/>
            </w:tcBorders>
          </w:tcPr>
          <w:p w14:paraId="705C545B"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1.361</w:t>
            </w:r>
            <w:r w:rsidRPr="001A3A0D">
              <w:rPr>
                <w:rFonts w:ascii="Times New Roman" w:hAnsi="Times New Roman" w:cs="Times New Roman"/>
                <w:sz w:val="20"/>
                <w:szCs w:val="20"/>
                <w:vertAlign w:val="superscript"/>
              </w:rPr>
              <w:t>0.132</w:t>
            </w:r>
            <w:r w:rsidRPr="001A3A0D">
              <w:rPr>
                <w:rFonts w:ascii="Times New Roman" w:hAnsi="Times New Roman" w:cs="Times New Roman"/>
                <w:sz w:val="20"/>
                <w:szCs w:val="20"/>
              </w:rPr>
              <w:t>Ba</w:t>
            </w:r>
          </w:p>
        </w:tc>
        <w:tc>
          <w:tcPr>
            <w:tcW w:w="1417" w:type="dxa"/>
            <w:tcBorders>
              <w:top w:val="single" w:sz="4" w:space="0" w:color="auto"/>
            </w:tcBorders>
          </w:tcPr>
          <w:p w14:paraId="211D2684"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1.410</w:t>
            </w:r>
            <w:r w:rsidRPr="001A3A0D">
              <w:rPr>
                <w:rFonts w:ascii="Times New Roman" w:hAnsi="Times New Roman" w:cs="Times New Roman"/>
                <w:sz w:val="20"/>
                <w:szCs w:val="20"/>
                <w:vertAlign w:val="superscript"/>
              </w:rPr>
              <w:t>0.165</w:t>
            </w:r>
            <w:r w:rsidRPr="001A3A0D">
              <w:rPr>
                <w:rFonts w:ascii="Times New Roman" w:hAnsi="Times New Roman" w:cs="Times New Roman"/>
                <w:sz w:val="20"/>
                <w:szCs w:val="20"/>
              </w:rPr>
              <w:t>Ba</w:t>
            </w:r>
          </w:p>
        </w:tc>
        <w:tc>
          <w:tcPr>
            <w:tcW w:w="1418" w:type="dxa"/>
            <w:tcBorders>
              <w:top w:val="single" w:sz="4" w:space="0" w:color="auto"/>
            </w:tcBorders>
          </w:tcPr>
          <w:p w14:paraId="765B4860"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1.613</w:t>
            </w:r>
            <w:r w:rsidRPr="001A3A0D">
              <w:rPr>
                <w:rFonts w:ascii="Times New Roman" w:hAnsi="Times New Roman" w:cs="Times New Roman"/>
                <w:sz w:val="20"/>
                <w:szCs w:val="20"/>
                <w:vertAlign w:val="superscript"/>
              </w:rPr>
              <w:t>0.321</w:t>
            </w:r>
            <w:r w:rsidRPr="001A3A0D">
              <w:rPr>
                <w:rFonts w:ascii="Times New Roman" w:hAnsi="Times New Roman" w:cs="Times New Roman"/>
                <w:sz w:val="20"/>
                <w:szCs w:val="20"/>
              </w:rPr>
              <w:t>Aa</w:t>
            </w:r>
          </w:p>
        </w:tc>
        <w:tc>
          <w:tcPr>
            <w:tcW w:w="1417" w:type="dxa"/>
            <w:tcBorders>
              <w:top w:val="single" w:sz="4" w:space="0" w:color="auto"/>
            </w:tcBorders>
          </w:tcPr>
          <w:p w14:paraId="26F49472"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1.694</w:t>
            </w:r>
            <w:r w:rsidRPr="001A3A0D">
              <w:rPr>
                <w:rFonts w:ascii="Times New Roman" w:hAnsi="Times New Roman" w:cs="Times New Roman"/>
                <w:sz w:val="20"/>
                <w:szCs w:val="20"/>
                <w:vertAlign w:val="superscript"/>
              </w:rPr>
              <w:t>0.344</w:t>
            </w:r>
            <w:r w:rsidRPr="001A3A0D">
              <w:rPr>
                <w:rFonts w:ascii="Times New Roman" w:hAnsi="Times New Roman" w:cs="Times New Roman"/>
                <w:sz w:val="20"/>
                <w:szCs w:val="20"/>
              </w:rPr>
              <w:t>Aa</w:t>
            </w:r>
          </w:p>
        </w:tc>
        <w:tc>
          <w:tcPr>
            <w:tcW w:w="851" w:type="dxa"/>
            <w:tcBorders>
              <w:top w:val="single" w:sz="4" w:space="0" w:color="auto"/>
            </w:tcBorders>
          </w:tcPr>
          <w:p w14:paraId="0FEF9FC6" w14:textId="77777777" w:rsidR="003A10A7" w:rsidRPr="001A3A0D" w:rsidRDefault="003A10A7" w:rsidP="00087E54">
            <w:pPr>
              <w:spacing w:line="360" w:lineRule="auto"/>
              <w:jc w:val="right"/>
              <w:rPr>
                <w:rFonts w:ascii="Times New Roman" w:hAnsi="Times New Roman" w:cs="Times New Roman"/>
                <w:sz w:val="20"/>
                <w:szCs w:val="20"/>
              </w:rPr>
            </w:pPr>
            <w:r w:rsidRPr="001A3A0D">
              <w:rPr>
                <w:rFonts w:ascii="Times New Roman" w:hAnsi="Times New Roman" w:cs="Times New Roman"/>
                <w:sz w:val="20"/>
                <w:szCs w:val="20"/>
              </w:rPr>
              <w:t>8.97</w:t>
            </w:r>
          </w:p>
        </w:tc>
      </w:tr>
      <w:tr w:rsidR="003A10A7" w:rsidRPr="001A3A0D" w14:paraId="794D97FA" w14:textId="77777777" w:rsidTr="00087E54">
        <w:trPr>
          <w:jc w:val="center"/>
        </w:trPr>
        <w:tc>
          <w:tcPr>
            <w:tcW w:w="862" w:type="dxa"/>
            <w:vMerge/>
            <w:tcBorders>
              <w:bottom w:val="dotted" w:sz="2" w:space="0" w:color="auto"/>
            </w:tcBorders>
          </w:tcPr>
          <w:p w14:paraId="535ABC56" w14:textId="77777777" w:rsidR="003A10A7" w:rsidRPr="001A3A0D" w:rsidRDefault="003A10A7" w:rsidP="00087E54">
            <w:pPr>
              <w:spacing w:line="360" w:lineRule="auto"/>
              <w:jc w:val="both"/>
              <w:rPr>
                <w:rFonts w:ascii="Times New Roman" w:hAnsi="Times New Roman" w:cs="Times New Roman"/>
                <w:sz w:val="20"/>
                <w:szCs w:val="20"/>
              </w:rPr>
            </w:pPr>
          </w:p>
        </w:tc>
        <w:tc>
          <w:tcPr>
            <w:tcW w:w="1402" w:type="dxa"/>
            <w:tcBorders>
              <w:bottom w:val="dotted" w:sz="2" w:space="0" w:color="auto"/>
            </w:tcBorders>
          </w:tcPr>
          <w:p w14:paraId="5AF80F39" w14:textId="77777777" w:rsidR="003A10A7" w:rsidRPr="001A3A0D" w:rsidRDefault="003A10A7" w:rsidP="00087E54">
            <w:pPr>
              <w:spacing w:line="360" w:lineRule="auto"/>
              <w:jc w:val="both"/>
              <w:rPr>
                <w:rFonts w:ascii="Times New Roman" w:hAnsi="Times New Roman" w:cs="Times New Roman"/>
                <w:i/>
                <w:iCs/>
                <w:sz w:val="20"/>
                <w:szCs w:val="20"/>
              </w:rPr>
            </w:pPr>
            <w:r w:rsidRPr="001A3A0D">
              <w:rPr>
                <w:rFonts w:ascii="Times New Roman" w:hAnsi="Times New Roman" w:cs="Times New Roman"/>
                <w:i/>
                <w:iCs/>
                <w:sz w:val="20"/>
                <w:szCs w:val="20"/>
              </w:rPr>
              <w:t xml:space="preserve">H. </w:t>
            </w:r>
            <w:proofErr w:type="spellStart"/>
            <w:r w:rsidRPr="001A3A0D">
              <w:rPr>
                <w:rFonts w:ascii="Times New Roman" w:hAnsi="Times New Roman" w:cs="Times New Roman"/>
                <w:i/>
                <w:iCs/>
                <w:sz w:val="20"/>
                <w:szCs w:val="20"/>
              </w:rPr>
              <w:t>polyrhizus</w:t>
            </w:r>
            <w:proofErr w:type="spellEnd"/>
          </w:p>
        </w:tc>
        <w:tc>
          <w:tcPr>
            <w:tcW w:w="1422" w:type="dxa"/>
            <w:tcBorders>
              <w:bottom w:val="dotted" w:sz="2" w:space="0" w:color="auto"/>
            </w:tcBorders>
          </w:tcPr>
          <w:p w14:paraId="796CF1B1"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1.354</w:t>
            </w:r>
            <w:r w:rsidRPr="001A3A0D">
              <w:rPr>
                <w:rFonts w:ascii="Times New Roman" w:hAnsi="Times New Roman" w:cs="Times New Roman"/>
                <w:sz w:val="20"/>
                <w:szCs w:val="20"/>
                <w:vertAlign w:val="superscript"/>
              </w:rPr>
              <w:t>0.176</w:t>
            </w:r>
            <w:r w:rsidRPr="001A3A0D">
              <w:rPr>
                <w:rFonts w:ascii="Times New Roman" w:hAnsi="Times New Roman" w:cs="Times New Roman"/>
                <w:sz w:val="20"/>
                <w:szCs w:val="20"/>
              </w:rPr>
              <w:t>Ba</w:t>
            </w:r>
          </w:p>
        </w:tc>
        <w:tc>
          <w:tcPr>
            <w:tcW w:w="1417" w:type="dxa"/>
            <w:tcBorders>
              <w:bottom w:val="dotted" w:sz="2" w:space="0" w:color="auto"/>
            </w:tcBorders>
          </w:tcPr>
          <w:p w14:paraId="63811A65"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1.253</w:t>
            </w:r>
            <w:r w:rsidRPr="001A3A0D">
              <w:rPr>
                <w:rFonts w:ascii="Times New Roman" w:hAnsi="Times New Roman" w:cs="Times New Roman"/>
                <w:sz w:val="20"/>
                <w:szCs w:val="20"/>
                <w:vertAlign w:val="superscript"/>
              </w:rPr>
              <w:t>0.116</w:t>
            </w:r>
            <w:r w:rsidRPr="001A3A0D">
              <w:rPr>
                <w:rFonts w:ascii="Times New Roman" w:hAnsi="Times New Roman" w:cs="Times New Roman"/>
                <w:sz w:val="20"/>
                <w:szCs w:val="20"/>
              </w:rPr>
              <w:t>Cb</w:t>
            </w:r>
          </w:p>
        </w:tc>
        <w:tc>
          <w:tcPr>
            <w:tcW w:w="1418" w:type="dxa"/>
            <w:tcBorders>
              <w:bottom w:val="dotted" w:sz="2" w:space="0" w:color="auto"/>
            </w:tcBorders>
          </w:tcPr>
          <w:p w14:paraId="6ADE81B6"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1.372</w:t>
            </w:r>
            <w:r w:rsidRPr="001A3A0D">
              <w:rPr>
                <w:rFonts w:ascii="Times New Roman" w:hAnsi="Times New Roman" w:cs="Times New Roman"/>
                <w:sz w:val="20"/>
                <w:szCs w:val="20"/>
                <w:vertAlign w:val="superscript"/>
              </w:rPr>
              <w:t>0.143</w:t>
            </w:r>
            <w:r w:rsidRPr="001A3A0D">
              <w:rPr>
                <w:rFonts w:ascii="Times New Roman" w:hAnsi="Times New Roman" w:cs="Times New Roman"/>
                <w:sz w:val="20"/>
                <w:szCs w:val="20"/>
              </w:rPr>
              <w:t>Bb</w:t>
            </w:r>
          </w:p>
        </w:tc>
        <w:tc>
          <w:tcPr>
            <w:tcW w:w="1417" w:type="dxa"/>
            <w:tcBorders>
              <w:bottom w:val="dotted" w:sz="2" w:space="0" w:color="auto"/>
            </w:tcBorders>
          </w:tcPr>
          <w:p w14:paraId="752307F8"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1.502</w:t>
            </w:r>
            <w:r w:rsidRPr="001A3A0D">
              <w:rPr>
                <w:rFonts w:ascii="Times New Roman" w:hAnsi="Times New Roman" w:cs="Times New Roman"/>
                <w:sz w:val="20"/>
                <w:szCs w:val="20"/>
                <w:vertAlign w:val="superscript"/>
              </w:rPr>
              <w:t>0.118</w:t>
            </w:r>
            <w:r w:rsidRPr="001A3A0D">
              <w:rPr>
                <w:rFonts w:ascii="Times New Roman" w:hAnsi="Times New Roman" w:cs="Times New Roman"/>
                <w:sz w:val="20"/>
                <w:szCs w:val="20"/>
              </w:rPr>
              <w:t>Ab</w:t>
            </w:r>
          </w:p>
        </w:tc>
        <w:tc>
          <w:tcPr>
            <w:tcW w:w="851" w:type="dxa"/>
            <w:tcBorders>
              <w:bottom w:val="dotted" w:sz="2" w:space="0" w:color="auto"/>
            </w:tcBorders>
          </w:tcPr>
          <w:p w14:paraId="5BF5A1D0" w14:textId="77777777" w:rsidR="003A10A7" w:rsidRPr="001A3A0D" w:rsidRDefault="003A10A7" w:rsidP="00087E54">
            <w:pPr>
              <w:spacing w:line="360" w:lineRule="auto"/>
              <w:jc w:val="right"/>
              <w:rPr>
                <w:rFonts w:ascii="Times New Roman" w:hAnsi="Times New Roman" w:cs="Times New Roman"/>
                <w:sz w:val="20"/>
                <w:szCs w:val="20"/>
              </w:rPr>
            </w:pPr>
          </w:p>
        </w:tc>
      </w:tr>
      <w:tr w:rsidR="003A10A7" w:rsidRPr="001A3A0D" w14:paraId="4B4BB549" w14:textId="77777777" w:rsidTr="00087E54">
        <w:trPr>
          <w:jc w:val="center"/>
        </w:trPr>
        <w:tc>
          <w:tcPr>
            <w:tcW w:w="862" w:type="dxa"/>
            <w:vMerge w:val="restart"/>
            <w:tcBorders>
              <w:top w:val="dotted" w:sz="2" w:space="0" w:color="auto"/>
            </w:tcBorders>
          </w:tcPr>
          <w:p w14:paraId="30CC55D8"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FMAP</w:t>
            </w:r>
          </w:p>
        </w:tc>
        <w:tc>
          <w:tcPr>
            <w:tcW w:w="1402" w:type="dxa"/>
            <w:tcBorders>
              <w:top w:val="dotted" w:sz="2" w:space="0" w:color="auto"/>
            </w:tcBorders>
          </w:tcPr>
          <w:p w14:paraId="2A061B68" w14:textId="77777777" w:rsidR="003A10A7" w:rsidRPr="001A3A0D" w:rsidRDefault="003A10A7" w:rsidP="00087E54">
            <w:pPr>
              <w:spacing w:line="360" w:lineRule="auto"/>
              <w:jc w:val="both"/>
              <w:rPr>
                <w:rFonts w:ascii="Times New Roman" w:hAnsi="Times New Roman" w:cs="Times New Roman"/>
                <w:i/>
                <w:iCs/>
                <w:sz w:val="20"/>
                <w:szCs w:val="20"/>
              </w:rPr>
            </w:pPr>
            <w:r w:rsidRPr="001A3A0D">
              <w:rPr>
                <w:rFonts w:ascii="Times New Roman" w:hAnsi="Times New Roman" w:cs="Times New Roman"/>
                <w:i/>
                <w:iCs/>
                <w:sz w:val="20"/>
                <w:szCs w:val="20"/>
              </w:rPr>
              <w:t>S. undatus</w:t>
            </w:r>
          </w:p>
        </w:tc>
        <w:tc>
          <w:tcPr>
            <w:tcW w:w="1422" w:type="dxa"/>
            <w:tcBorders>
              <w:top w:val="dotted" w:sz="2" w:space="0" w:color="auto"/>
            </w:tcBorders>
          </w:tcPr>
          <w:p w14:paraId="475639C0"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0.908</w:t>
            </w:r>
            <w:r w:rsidRPr="001A3A0D">
              <w:rPr>
                <w:rFonts w:ascii="Times New Roman" w:hAnsi="Times New Roman" w:cs="Times New Roman"/>
                <w:sz w:val="20"/>
                <w:szCs w:val="20"/>
                <w:vertAlign w:val="superscript"/>
              </w:rPr>
              <w:t>0.074</w:t>
            </w:r>
            <w:r w:rsidRPr="001A3A0D">
              <w:rPr>
                <w:rFonts w:ascii="Times New Roman" w:hAnsi="Times New Roman" w:cs="Times New Roman"/>
                <w:sz w:val="20"/>
                <w:szCs w:val="20"/>
              </w:rPr>
              <w:t>Ca</w:t>
            </w:r>
          </w:p>
        </w:tc>
        <w:tc>
          <w:tcPr>
            <w:tcW w:w="1417" w:type="dxa"/>
            <w:tcBorders>
              <w:top w:val="dotted" w:sz="2" w:space="0" w:color="auto"/>
            </w:tcBorders>
          </w:tcPr>
          <w:p w14:paraId="51F253D7"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1.029</w:t>
            </w:r>
            <w:r w:rsidRPr="001A3A0D">
              <w:rPr>
                <w:rFonts w:ascii="Times New Roman" w:hAnsi="Times New Roman" w:cs="Times New Roman"/>
                <w:sz w:val="20"/>
                <w:szCs w:val="20"/>
                <w:vertAlign w:val="superscript"/>
              </w:rPr>
              <w:t>0.133</w:t>
            </w:r>
            <w:r w:rsidRPr="001A3A0D">
              <w:rPr>
                <w:rFonts w:ascii="Times New Roman" w:hAnsi="Times New Roman" w:cs="Times New Roman"/>
                <w:sz w:val="20"/>
                <w:szCs w:val="20"/>
              </w:rPr>
              <w:t>Ba</w:t>
            </w:r>
          </w:p>
        </w:tc>
        <w:tc>
          <w:tcPr>
            <w:tcW w:w="1418" w:type="dxa"/>
            <w:tcBorders>
              <w:top w:val="dotted" w:sz="2" w:space="0" w:color="auto"/>
            </w:tcBorders>
          </w:tcPr>
          <w:p w14:paraId="588737D2"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1.256</w:t>
            </w:r>
            <w:r w:rsidRPr="001A3A0D">
              <w:rPr>
                <w:rFonts w:ascii="Times New Roman" w:hAnsi="Times New Roman" w:cs="Times New Roman"/>
                <w:sz w:val="20"/>
                <w:szCs w:val="20"/>
                <w:vertAlign w:val="superscript"/>
              </w:rPr>
              <w:t>0.276</w:t>
            </w:r>
            <w:r w:rsidRPr="001A3A0D">
              <w:rPr>
                <w:rFonts w:ascii="Times New Roman" w:hAnsi="Times New Roman" w:cs="Times New Roman"/>
                <w:sz w:val="20"/>
                <w:szCs w:val="20"/>
              </w:rPr>
              <w:t>Aa</w:t>
            </w:r>
          </w:p>
        </w:tc>
        <w:tc>
          <w:tcPr>
            <w:tcW w:w="1417" w:type="dxa"/>
            <w:tcBorders>
              <w:top w:val="dotted" w:sz="2" w:space="0" w:color="auto"/>
            </w:tcBorders>
          </w:tcPr>
          <w:p w14:paraId="56754F86"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1.218</w:t>
            </w:r>
            <w:r w:rsidRPr="001A3A0D">
              <w:rPr>
                <w:rFonts w:ascii="Times New Roman" w:hAnsi="Times New Roman" w:cs="Times New Roman"/>
                <w:sz w:val="20"/>
                <w:szCs w:val="20"/>
                <w:vertAlign w:val="superscript"/>
              </w:rPr>
              <w:t>0.330</w:t>
            </w:r>
            <w:r w:rsidRPr="001A3A0D">
              <w:rPr>
                <w:rFonts w:ascii="Times New Roman" w:hAnsi="Times New Roman" w:cs="Times New Roman"/>
                <w:sz w:val="20"/>
                <w:szCs w:val="20"/>
              </w:rPr>
              <w:t>Aa</w:t>
            </w:r>
          </w:p>
        </w:tc>
        <w:tc>
          <w:tcPr>
            <w:tcW w:w="851" w:type="dxa"/>
            <w:tcBorders>
              <w:top w:val="dotted" w:sz="2" w:space="0" w:color="auto"/>
            </w:tcBorders>
          </w:tcPr>
          <w:p w14:paraId="6D78B885" w14:textId="77777777" w:rsidR="003A10A7" w:rsidRPr="001A3A0D" w:rsidRDefault="003A10A7" w:rsidP="00087E54">
            <w:pPr>
              <w:spacing w:line="360" w:lineRule="auto"/>
              <w:jc w:val="right"/>
              <w:rPr>
                <w:rFonts w:ascii="Times New Roman" w:hAnsi="Times New Roman" w:cs="Times New Roman"/>
                <w:sz w:val="20"/>
                <w:szCs w:val="20"/>
              </w:rPr>
            </w:pPr>
            <w:r w:rsidRPr="001A3A0D">
              <w:rPr>
                <w:rFonts w:ascii="Times New Roman" w:hAnsi="Times New Roman" w:cs="Times New Roman"/>
                <w:sz w:val="20"/>
                <w:szCs w:val="20"/>
              </w:rPr>
              <w:t>8.99</w:t>
            </w:r>
          </w:p>
        </w:tc>
      </w:tr>
      <w:tr w:rsidR="003A10A7" w:rsidRPr="001A3A0D" w14:paraId="3F090D7E" w14:textId="77777777" w:rsidTr="00087E54">
        <w:trPr>
          <w:jc w:val="center"/>
        </w:trPr>
        <w:tc>
          <w:tcPr>
            <w:tcW w:w="862" w:type="dxa"/>
            <w:vMerge/>
            <w:tcBorders>
              <w:bottom w:val="dotted" w:sz="4" w:space="0" w:color="auto"/>
            </w:tcBorders>
          </w:tcPr>
          <w:p w14:paraId="32768BCF" w14:textId="77777777" w:rsidR="003A10A7" w:rsidRPr="001A3A0D" w:rsidRDefault="003A10A7" w:rsidP="00087E54">
            <w:pPr>
              <w:spacing w:line="360" w:lineRule="auto"/>
              <w:jc w:val="both"/>
              <w:rPr>
                <w:rFonts w:ascii="Times New Roman" w:hAnsi="Times New Roman" w:cs="Times New Roman"/>
                <w:sz w:val="20"/>
                <w:szCs w:val="20"/>
              </w:rPr>
            </w:pPr>
          </w:p>
        </w:tc>
        <w:tc>
          <w:tcPr>
            <w:tcW w:w="1402" w:type="dxa"/>
            <w:tcBorders>
              <w:bottom w:val="dotted" w:sz="4" w:space="0" w:color="auto"/>
            </w:tcBorders>
          </w:tcPr>
          <w:p w14:paraId="08DE5952" w14:textId="77777777" w:rsidR="003A10A7" w:rsidRPr="001A3A0D" w:rsidRDefault="003A10A7" w:rsidP="00087E54">
            <w:pPr>
              <w:spacing w:line="360" w:lineRule="auto"/>
              <w:jc w:val="both"/>
              <w:rPr>
                <w:rFonts w:ascii="Times New Roman" w:hAnsi="Times New Roman" w:cs="Times New Roman"/>
                <w:i/>
                <w:iCs/>
                <w:sz w:val="20"/>
                <w:szCs w:val="20"/>
              </w:rPr>
            </w:pPr>
            <w:r w:rsidRPr="001A3A0D">
              <w:rPr>
                <w:rFonts w:ascii="Times New Roman" w:hAnsi="Times New Roman" w:cs="Times New Roman"/>
                <w:i/>
                <w:iCs/>
                <w:sz w:val="20"/>
                <w:szCs w:val="20"/>
              </w:rPr>
              <w:t xml:space="preserve">H. </w:t>
            </w:r>
            <w:proofErr w:type="spellStart"/>
            <w:r w:rsidRPr="001A3A0D">
              <w:rPr>
                <w:rFonts w:ascii="Times New Roman" w:hAnsi="Times New Roman" w:cs="Times New Roman"/>
                <w:i/>
                <w:iCs/>
                <w:sz w:val="20"/>
                <w:szCs w:val="20"/>
              </w:rPr>
              <w:t>polyrhizus</w:t>
            </w:r>
            <w:proofErr w:type="spellEnd"/>
          </w:p>
        </w:tc>
        <w:tc>
          <w:tcPr>
            <w:tcW w:w="1422" w:type="dxa"/>
            <w:tcBorders>
              <w:bottom w:val="dotted" w:sz="4" w:space="0" w:color="auto"/>
            </w:tcBorders>
          </w:tcPr>
          <w:p w14:paraId="55155F74"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0.886</w:t>
            </w:r>
            <w:r w:rsidRPr="001A3A0D">
              <w:rPr>
                <w:rFonts w:ascii="Times New Roman" w:hAnsi="Times New Roman" w:cs="Times New Roman"/>
                <w:sz w:val="20"/>
                <w:szCs w:val="20"/>
                <w:vertAlign w:val="superscript"/>
              </w:rPr>
              <w:t>0.097</w:t>
            </w:r>
            <w:r w:rsidRPr="001A3A0D">
              <w:rPr>
                <w:rFonts w:ascii="Times New Roman" w:hAnsi="Times New Roman" w:cs="Times New Roman"/>
                <w:sz w:val="20"/>
                <w:szCs w:val="20"/>
              </w:rPr>
              <w:t>Aa</w:t>
            </w:r>
          </w:p>
        </w:tc>
        <w:tc>
          <w:tcPr>
            <w:tcW w:w="1417" w:type="dxa"/>
            <w:tcBorders>
              <w:bottom w:val="dotted" w:sz="4" w:space="0" w:color="auto"/>
            </w:tcBorders>
          </w:tcPr>
          <w:p w14:paraId="2FFBB59D"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0.876</w:t>
            </w:r>
            <w:r w:rsidRPr="001A3A0D">
              <w:rPr>
                <w:rFonts w:ascii="Times New Roman" w:hAnsi="Times New Roman" w:cs="Times New Roman"/>
                <w:sz w:val="20"/>
                <w:szCs w:val="20"/>
                <w:vertAlign w:val="superscript"/>
              </w:rPr>
              <w:t>0.020</w:t>
            </w:r>
            <w:r w:rsidRPr="001A3A0D">
              <w:rPr>
                <w:rFonts w:ascii="Times New Roman" w:hAnsi="Times New Roman" w:cs="Times New Roman"/>
                <w:sz w:val="20"/>
                <w:szCs w:val="20"/>
              </w:rPr>
              <w:t>Ab</w:t>
            </w:r>
          </w:p>
        </w:tc>
        <w:tc>
          <w:tcPr>
            <w:tcW w:w="1418" w:type="dxa"/>
            <w:tcBorders>
              <w:bottom w:val="dotted" w:sz="4" w:space="0" w:color="auto"/>
            </w:tcBorders>
          </w:tcPr>
          <w:p w14:paraId="66732505"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0.870</w:t>
            </w:r>
            <w:r w:rsidRPr="001A3A0D">
              <w:rPr>
                <w:rFonts w:ascii="Times New Roman" w:hAnsi="Times New Roman" w:cs="Times New Roman"/>
                <w:sz w:val="20"/>
                <w:szCs w:val="20"/>
                <w:vertAlign w:val="superscript"/>
              </w:rPr>
              <w:t>0.046</w:t>
            </w:r>
            <w:r w:rsidRPr="001A3A0D">
              <w:rPr>
                <w:rFonts w:ascii="Times New Roman" w:hAnsi="Times New Roman" w:cs="Times New Roman"/>
                <w:sz w:val="20"/>
                <w:szCs w:val="20"/>
              </w:rPr>
              <w:t>Ab</w:t>
            </w:r>
          </w:p>
        </w:tc>
        <w:tc>
          <w:tcPr>
            <w:tcW w:w="1417" w:type="dxa"/>
            <w:tcBorders>
              <w:bottom w:val="dotted" w:sz="4" w:space="0" w:color="auto"/>
            </w:tcBorders>
          </w:tcPr>
          <w:p w14:paraId="6A601A9D"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0.847</w:t>
            </w:r>
            <w:r w:rsidRPr="001A3A0D">
              <w:rPr>
                <w:rFonts w:ascii="Times New Roman" w:hAnsi="Times New Roman" w:cs="Times New Roman"/>
                <w:sz w:val="20"/>
                <w:szCs w:val="20"/>
                <w:vertAlign w:val="superscript"/>
              </w:rPr>
              <w:t>0.043</w:t>
            </w:r>
            <w:r w:rsidRPr="001A3A0D">
              <w:rPr>
                <w:rFonts w:ascii="Times New Roman" w:hAnsi="Times New Roman" w:cs="Times New Roman"/>
                <w:sz w:val="20"/>
                <w:szCs w:val="20"/>
              </w:rPr>
              <w:t>Ab</w:t>
            </w:r>
          </w:p>
        </w:tc>
        <w:tc>
          <w:tcPr>
            <w:tcW w:w="851" w:type="dxa"/>
            <w:tcBorders>
              <w:bottom w:val="dotted" w:sz="4" w:space="0" w:color="auto"/>
            </w:tcBorders>
          </w:tcPr>
          <w:p w14:paraId="03E9E529" w14:textId="77777777" w:rsidR="003A10A7" w:rsidRPr="001A3A0D" w:rsidRDefault="003A10A7" w:rsidP="00087E54">
            <w:pPr>
              <w:spacing w:line="360" w:lineRule="auto"/>
              <w:jc w:val="right"/>
              <w:rPr>
                <w:rFonts w:ascii="Times New Roman" w:hAnsi="Times New Roman" w:cs="Times New Roman"/>
                <w:sz w:val="20"/>
                <w:szCs w:val="20"/>
              </w:rPr>
            </w:pPr>
          </w:p>
        </w:tc>
      </w:tr>
      <w:tr w:rsidR="003A10A7" w:rsidRPr="001A3A0D" w14:paraId="319E300D" w14:textId="77777777" w:rsidTr="00087E54">
        <w:trPr>
          <w:jc w:val="center"/>
        </w:trPr>
        <w:tc>
          <w:tcPr>
            <w:tcW w:w="862" w:type="dxa"/>
            <w:vMerge w:val="restart"/>
            <w:tcBorders>
              <w:top w:val="dotted" w:sz="4" w:space="0" w:color="auto"/>
            </w:tcBorders>
          </w:tcPr>
          <w:p w14:paraId="59576C12"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DMAP</w:t>
            </w:r>
          </w:p>
        </w:tc>
        <w:tc>
          <w:tcPr>
            <w:tcW w:w="1402" w:type="dxa"/>
            <w:tcBorders>
              <w:top w:val="dotted" w:sz="4" w:space="0" w:color="auto"/>
            </w:tcBorders>
          </w:tcPr>
          <w:p w14:paraId="09D9CB74" w14:textId="77777777" w:rsidR="003A10A7" w:rsidRPr="001A3A0D" w:rsidRDefault="003A10A7" w:rsidP="00087E54">
            <w:pPr>
              <w:spacing w:line="360" w:lineRule="auto"/>
              <w:jc w:val="both"/>
              <w:rPr>
                <w:rFonts w:ascii="Times New Roman" w:hAnsi="Times New Roman" w:cs="Times New Roman"/>
                <w:i/>
                <w:iCs/>
                <w:sz w:val="20"/>
                <w:szCs w:val="20"/>
              </w:rPr>
            </w:pPr>
            <w:r w:rsidRPr="001A3A0D">
              <w:rPr>
                <w:rFonts w:ascii="Times New Roman" w:hAnsi="Times New Roman" w:cs="Times New Roman"/>
                <w:i/>
                <w:iCs/>
                <w:sz w:val="20"/>
                <w:szCs w:val="20"/>
              </w:rPr>
              <w:t>S. undatus</w:t>
            </w:r>
          </w:p>
        </w:tc>
        <w:tc>
          <w:tcPr>
            <w:tcW w:w="1422" w:type="dxa"/>
            <w:tcBorders>
              <w:top w:val="dotted" w:sz="4" w:space="0" w:color="auto"/>
            </w:tcBorders>
          </w:tcPr>
          <w:p w14:paraId="035EDD9D"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0.303</w:t>
            </w:r>
            <w:r w:rsidRPr="001A3A0D">
              <w:rPr>
                <w:rFonts w:ascii="Times New Roman" w:hAnsi="Times New Roman" w:cs="Times New Roman"/>
                <w:sz w:val="20"/>
                <w:szCs w:val="20"/>
                <w:vertAlign w:val="superscript"/>
              </w:rPr>
              <w:t>0.003</w:t>
            </w:r>
            <w:r w:rsidRPr="001A3A0D">
              <w:rPr>
                <w:rFonts w:ascii="Times New Roman" w:hAnsi="Times New Roman" w:cs="Times New Roman"/>
                <w:sz w:val="20"/>
                <w:szCs w:val="20"/>
              </w:rPr>
              <w:t>Ba</w:t>
            </w:r>
          </w:p>
        </w:tc>
        <w:tc>
          <w:tcPr>
            <w:tcW w:w="1417" w:type="dxa"/>
            <w:tcBorders>
              <w:top w:val="dotted" w:sz="4" w:space="0" w:color="auto"/>
            </w:tcBorders>
          </w:tcPr>
          <w:p w14:paraId="6968738D"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0.362</w:t>
            </w:r>
            <w:r w:rsidRPr="001A3A0D">
              <w:rPr>
                <w:rFonts w:ascii="Times New Roman" w:hAnsi="Times New Roman" w:cs="Times New Roman"/>
                <w:sz w:val="20"/>
                <w:szCs w:val="20"/>
                <w:vertAlign w:val="superscript"/>
              </w:rPr>
              <w:t>0.006</w:t>
            </w:r>
            <w:r w:rsidRPr="001A3A0D">
              <w:rPr>
                <w:rFonts w:ascii="Times New Roman" w:hAnsi="Times New Roman" w:cs="Times New Roman"/>
                <w:sz w:val="20"/>
                <w:szCs w:val="20"/>
              </w:rPr>
              <w:t>Aa</w:t>
            </w:r>
          </w:p>
        </w:tc>
        <w:tc>
          <w:tcPr>
            <w:tcW w:w="1418" w:type="dxa"/>
            <w:tcBorders>
              <w:top w:val="dotted" w:sz="4" w:space="0" w:color="auto"/>
            </w:tcBorders>
          </w:tcPr>
          <w:p w14:paraId="6725C5CE"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0.408</w:t>
            </w:r>
            <w:r w:rsidRPr="001A3A0D">
              <w:rPr>
                <w:rFonts w:ascii="Times New Roman" w:hAnsi="Times New Roman" w:cs="Times New Roman"/>
                <w:sz w:val="20"/>
                <w:szCs w:val="20"/>
                <w:vertAlign w:val="superscript"/>
              </w:rPr>
              <w:t>0.007</w:t>
            </w:r>
            <w:r w:rsidRPr="001A3A0D">
              <w:rPr>
                <w:rFonts w:ascii="Times New Roman" w:hAnsi="Times New Roman" w:cs="Times New Roman"/>
                <w:sz w:val="20"/>
                <w:szCs w:val="20"/>
              </w:rPr>
              <w:t>Aa</w:t>
            </w:r>
          </w:p>
        </w:tc>
        <w:tc>
          <w:tcPr>
            <w:tcW w:w="1417" w:type="dxa"/>
            <w:tcBorders>
              <w:top w:val="dotted" w:sz="4" w:space="0" w:color="auto"/>
            </w:tcBorders>
          </w:tcPr>
          <w:p w14:paraId="2F226B05"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0.401</w:t>
            </w:r>
            <w:r w:rsidRPr="001A3A0D">
              <w:rPr>
                <w:rFonts w:ascii="Times New Roman" w:hAnsi="Times New Roman" w:cs="Times New Roman"/>
                <w:sz w:val="20"/>
                <w:szCs w:val="20"/>
                <w:vertAlign w:val="superscript"/>
              </w:rPr>
              <w:t>0.014</w:t>
            </w:r>
            <w:r w:rsidRPr="001A3A0D">
              <w:rPr>
                <w:rFonts w:ascii="Times New Roman" w:hAnsi="Times New Roman" w:cs="Times New Roman"/>
                <w:sz w:val="20"/>
                <w:szCs w:val="20"/>
              </w:rPr>
              <w:t>Aa</w:t>
            </w:r>
          </w:p>
        </w:tc>
        <w:tc>
          <w:tcPr>
            <w:tcW w:w="851" w:type="dxa"/>
            <w:tcBorders>
              <w:top w:val="dotted" w:sz="4" w:space="0" w:color="auto"/>
            </w:tcBorders>
          </w:tcPr>
          <w:p w14:paraId="567069F8" w14:textId="77777777" w:rsidR="003A10A7" w:rsidRPr="001A3A0D" w:rsidRDefault="003A10A7" w:rsidP="00087E54">
            <w:pPr>
              <w:spacing w:line="360" w:lineRule="auto"/>
              <w:jc w:val="right"/>
              <w:rPr>
                <w:rFonts w:ascii="Times New Roman" w:hAnsi="Times New Roman" w:cs="Times New Roman"/>
                <w:sz w:val="20"/>
                <w:szCs w:val="20"/>
              </w:rPr>
            </w:pPr>
            <w:r w:rsidRPr="001A3A0D">
              <w:rPr>
                <w:rFonts w:ascii="Times New Roman" w:hAnsi="Times New Roman" w:cs="Times New Roman"/>
                <w:sz w:val="20"/>
                <w:szCs w:val="20"/>
              </w:rPr>
              <w:t>10.17</w:t>
            </w:r>
          </w:p>
        </w:tc>
      </w:tr>
      <w:tr w:rsidR="003A10A7" w:rsidRPr="001A3A0D" w14:paraId="4B9C7187" w14:textId="77777777" w:rsidTr="00087E54">
        <w:trPr>
          <w:jc w:val="center"/>
        </w:trPr>
        <w:tc>
          <w:tcPr>
            <w:tcW w:w="862" w:type="dxa"/>
            <w:vMerge/>
            <w:tcBorders>
              <w:bottom w:val="dotted" w:sz="2" w:space="0" w:color="auto"/>
            </w:tcBorders>
          </w:tcPr>
          <w:p w14:paraId="1CA63E36" w14:textId="77777777" w:rsidR="003A10A7" w:rsidRPr="001A3A0D" w:rsidRDefault="003A10A7" w:rsidP="00087E54">
            <w:pPr>
              <w:spacing w:line="360" w:lineRule="auto"/>
              <w:jc w:val="both"/>
              <w:rPr>
                <w:rFonts w:ascii="Times New Roman" w:hAnsi="Times New Roman" w:cs="Times New Roman"/>
                <w:sz w:val="20"/>
                <w:szCs w:val="20"/>
              </w:rPr>
            </w:pPr>
          </w:p>
        </w:tc>
        <w:tc>
          <w:tcPr>
            <w:tcW w:w="1402" w:type="dxa"/>
            <w:tcBorders>
              <w:bottom w:val="dotted" w:sz="2" w:space="0" w:color="auto"/>
            </w:tcBorders>
          </w:tcPr>
          <w:p w14:paraId="30AD6F24" w14:textId="77777777" w:rsidR="003A10A7" w:rsidRPr="001A3A0D" w:rsidRDefault="003A10A7" w:rsidP="00087E54">
            <w:pPr>
              <w:spacing w:line="360" w:lineRule="auto"/>
              <w:jc w:val="both"/>
              <w:rPr>
                <w:rFonts w:ascii="Times New Roman" w:hAnsi="Times New Roman" w:cs="Times New Roman"/>
                <w:i/>
                <w:iCs/>
                <w:sz w:val="20"/>
                <w:szCs w:val="20"/>
              </w:rPr>
            </w:pPr>
            <w:r w:rsidRPr="001A3A0D">
              <w:rPr>
                <w:rFonts w:ascii="Times New Roman" w:hAnsi="Times New Roman" w:cs="Times New Roman"/>
                <w:i/>
                <w:iCs/>
                <w:sz w:val="20"/>
                <w:szCs w:val="20"/>
              </w:rPr>
              <w:t xml:space="preserve">H. </w:t>
            </w:r>
            <w:proofErr w:type="spellStart"/>
            <w:r w:rsidRPr="001A3A0D">
              <w:rPr>
                <w:rFonts w:ascii="Times New Roman" w:hAnsi="Times New Roman" w:cs="Times New Roman"/>
                <w:i/>
                <w:iCs/>
                <w:sz w:val="20"/>
                <w:szCs w:val="20"/>
              </w:rPr>
              <w:t>polyrhizus</w:t>
            </w:r>
            <w:proofErr w:type="spellEnd"/>
          </w:p>
        </w:tc>
        <w:tc>
          <w:tcPr>
            <w:tcW w:w="1422" w:type="dxa"/>
            <w:tcBorders>
              <w:bottom w:val="dotted" w:sz="2" w:space="0" w:color="auto"/>
            </w:tcBorders>
          </w:tcPr>
          <w:p w14:paraId="088D8389"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0.304</w:t>
            </w:r>
            <w:r w:rsidRPr="001A3A0D">
              <w:rPr>
                <w:rFonts w:ascii="Times New Roman" w:hAnsi="Times New Roman" w:cs="Times New Roman"/>
                <w:sz w:val="20"/>
                <w:szCs w:val="20"/>
                <w:vertAlign w:val="superscript"/>
              </w:rPr>
              <w:t>0.005</w:t>
            </w:r>
            <w:r w:rsidRPr="001A3A0D">
              <w:rPr>
                <w:rFonts w:ascii="Times New Roman" w:hAnsi="Times New Roman" w:cs="Times New Roman"/>
                <w:sz w:val="20"/>
                <w:szCs w:val="20"/>
              </w:rPr>
              <w:t>Aa</w:t>
            </w:r>
          </w:p>
        </w:tc>
        <w:tc>
          <w:tcPr>
            <w:tcW w:w="1417" w:type="dxa"/>
            <w:tcBorders>
              <w:bottom w:val="dotted" w:sz="2" w:space="0" w:color="auto"/>
            </w:tcBorders>
          </w:tcPr>
          <w:p w14:paraId="37FBCEE0"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0.288</w:t>
            </w:r>
            <w:r w:rsidRPr="001A3A0D">
              <w:rPr>
                <w:rFonts w:ascii="Times New Roman" w:hAnsi="Times New Roman" w:cs="Times New Roman"/>
                <w:sz w:val="20"/>
                <w:szCs w:val="20"/>
                <w:vertAlign w:val="superscript"/>
              </w:rPr>
              <w:t>0.003</w:t>
            </w:r>
            <w:r w:rsidRPr="001A3A0D">
              <w:rPr>
                <w:rFonts w:ascii="Times New Roman" w:hAnsi="Times New Roman" w:cs="Times New Roman"/>
                <w:sz w:val="20"/>
                <w:szCs w:val="20"/>
              </w:rPr>
              <w:t>Ab</w:t>
            </w:r>
          </w:p>
        </w:tc>
        <w:tc>
          <w:tcPr>
            <w:tcW w:w="1418" w:type="dxa"/>
            <w:tcBorders>
              <w:bottom w:val="dotted" w:sz="2" w:space="0" w:color="auto"/>
            </w:tcBorders>
          </w:tcPr>
          <w:p w14:paraId="523C3261"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0.295</w:t>
            </w:r>
            <w:r w:rsidRPr="001A3A0D">
              <w:rPr>
                <w:rFonts w:ascii="Times New Roman" w:hAnsi="Times New Roman" w:cs="Times New Roman"/>
                <w:sz w:val="20"/>
                <w:szCs w:val="20"/>
                <w:vertAlign w:val="superscript"/>
              </w:rPr>
              <w:t>0.002</w:t>
            </w:r>
            <w:r w:rsidRPr="001A3A0D">
              <w:rPr>
                <w:rFonts w:ascii="Times New Roman" w:hAnsi="Times New Roman" w:cs="Times New Roman"/>
                <w:sz w:val="20"/>
                <w:szCs w:val="20"/>
              </w:rPr>
              <w:t>Ab</w:t>
            </w:r>
          </w:p>
        </w:tc>
        <w:tc>
          <w:tcPr>
            <w:tcW w:w="1417" w:type="dxa"/>
            <w:tcBorders>
              <w:bottom w:val="dotted" w:sz="2" w:space="0" w:color="auto"/>
            </w:tcBorders>
          </w:tcPr>
          <w:p w14:paraId="6A658642"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0.300</w:t>
            </w:r>
            <w:r w:rsidRPr="001A3A0D">
              <w:rPr>
                <w:rFonts w:ascii="Times New Roman" w:hAnsi="Times New Roman" w:cs="Times New Roman"/>
                <w:sz w:val="20"/>
                <w:szCs w:val="20"/>
                <w:vertAlign w:val="superscript"/>
              </w:rPr>
              <w:t>0.001</w:t>
            </w:r>
            <w:r w:rsidRPr="001A3A0D">
              <w:rPr>
                <w:rFonts w:ascii="Times New Roman" w:hAnsi="Times New Roman" w:cs="Times New Roman"/>
                <w:sz w:val="20"/>
                <w:szCs w:val="20"/>
              </w:rPr>
              <w:t>Ab</w:t>
            </w:r>
          </w:p>
        </w:tc>
        <w:tc>
          <w:tcPr>
            <w:tcW w:w="851" w:type="dxa"/>
            <w:tcBorders>
              <w:bottom w:val="dotted" w:sz="2" w:space="0" w:color="auto"/>
            </w:tcBorders>
          </w:tcPr>
          <w:p w14:paraId="53DC75B5" w14:textId="77777777" w:rsidR="003A10A7" w:rsidRPr="001A3A0D" w:rsidRDefault="003A10A7" w:rsidP="00087E54">
            <w:pPr>
              <w:spacing w:line="360" w:lineRule="auto"/>
              <w:jc w:val="right"/>
              <w:rPr>
                <w:rFonts w:ascii="Times New Roman" w:hAnsi="Times New Roman" w:cs="Times New Roman"/>
                <w:sz w:val="20"/>
                <w:szCs w:val="20"/>
              </w:rPr>
            </w:pPr>
          </w:p>
        </w:tc>
      </w:tr>
      <w:tr w:rsidR="003A10A7" w:rsidRPr="001A3A0D" w14:paraId="05D3807C" w14:textId="77777777" w:rsidTr="00087E54">
        <w:trPr>
          <w:jc w:val="center"/>
        </w:trPr>
        <w:tc>
          <w:tcPr>
            <w:tcW w:w="862" w:type="dxa"/>
            <w:vMerge w:val="restart"/>
            <w:tcBorders>
              <w:top w:val="dotted" w:sz="2" w:space="0" w:color="auto"/>
            </w:tcBorders>
          </w:tcPr>
          <w:p w14:paraId="4BBC1A8A"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FMR</w:t>
            </w:r>
          </w:p>
        </w:tc>
        <w:tc>
          <w:tcPr>
            <w:tcW w:w="1402" w:type="dxa"/>
            <w:tcBorders>
              <w:top w:val="dotted" w:sz="2" w:space="0" w:color="auto"/>
            </w:tcBorders>
          </w:tcPr>
          <w:p w14:paraId="0A52F973" w14:textId="77777777" w:rsidR="003A10A7" w:rsidRPr="001A3A0D" w:rsidRDefault="003A10A7" w:rsidP="00087E54">
            <w:pPr>
              <w:spacing w:line="360" w:lineRule="auto"/>
              <w:jc w:val="both"/>
              <w:rPr>
                <w:rFonts w:ascii="Times New Roman" w:hAnsi="Times New Roman" w:cs="Times New Roman"/>
                <w:i/>
                <w:iCs/>
                <w:sz w:val="20"/>
                <w:szCs w:val="20"/>
              </w:rPr>
            </w:pPr>
            <w:r w:rsidRPr="001A3A0D">
              <w:rPr>
                <w:rFonts w:ascii="Times New Roman" w:hAnsi="Times New Roman" w:cs="Times New Roman"/>
                <w:i/>
                <w:iCs/>
                <w:sz w:val="20"/>
                <w:szCs w:val="20"/>
              </w:rPr>
              <w:t>S. undatus</w:t>
            </w:r>
          </w:p>
        </w:tc>
        <w:tc>
          <w:tcPr>
            <w:tcW w:w="1422" w:type="dxa"/>
            <w:tcBorders>
              <w:top w:val="dotted" w:sz="2" w:space="0" w:color="auto"/>
            </w:tcBorders>
          </w:tcPr>
          <w:p w14:paraId="2C387809"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0.477</w:t>
            </w:r>
            <w:r w:rsidRPr="001A3A0D">
              <w:rPr>
                <w:rFonts w:ascii="Times New Roman" w:hAnsi="Times New Roman" w:cs="Times New Roman"/>
                <w:sz w:val="20"/>
                <w:szCs w:val="20"/>
                <w:vertAlign w:val="superscript"/>
              </w:rPr>
              <w:t>0.037</w:t>
            </w:r>
            <w:r w:rsidRPr="001A3A0D">
              <w:rPr>
                <w:rFonts w:ascii="Times New Roman" w:hAnsi="Times New Roman" w:cs="Times New Roman"/>
                <w:sz w:val="20"/>
                <w:szCs w:val="20"/>
              </w:rPr>
              <w:t>Ba</w:t>
            </w:r>
          </w:p>
        </w:tc>
        <w:tc>
          <w:tcPr>
            <w:tcW w:w="1417" w:type="dxa"/>
            <w:tcBorders>
              <w:top w:val="dotted" w:sz="2" w:space="0" w:color="auto"/>
            </w:tcBorders>
          </w:tcPr>
          <w:p w14:paraId="0D61C126"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0.698</w:t>
            </w:r>
            <w:r w:rsidRPr="001A3A0D">
              <w:rPr>
                <w:rFonts w:ascii="Times New Roman" w:hAnsi="Times New Roman" w:cs="Times New Roman"/>
                <w:sz w:val="20"/>
                <w:szCs w:val="20"/>
                <w:vertAlign w:val="superscript"/>
              </w:rPr>
              <w:t>0.078</w:t>
            </w:r>
            <w:r w:rsidRPr="001A3A0D">
              <w:rPr>
                <w:rFonts w:ascii="Times New Roman" w:hAnsi="Times New Roman" w:cs="Times New Roman"/>
                <w:sz w:val="20"/>
                <w:szCs w:val="20"/>
              </w:rPr>
              <w:t>Aa</w:t>
            </w:r>
          </w:p>
        </w:tc>
        <w:tc>
          <w:tcPr>
            <w:tcW w:w="1418" w:type="dxa"/>
            <w:tcBorders>
              <w:top w:val="dotted" w:sz="2" w:space="0" w:color="auto"/>
            </w:tcBorders>
          </w:tcPr>
          <w:p w14:paraId="7A3B740A"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0.904</w:t>
            </w:r>
            <w:r w:rsidRPr="001A3A0D">
              <w:rPr>
                <w:rFonts w:ascii="Times New Roman" w:hAnsi="Times New Roman" w:cs="Times New Roman"/>
                <w:sz w:val="20"/>
                <w:szCs w:val="20"/>
                <w:vertAlign w:val="superscript"/>
              </w:rPr>
              <w:t>0.163</w:t>
            </w:r>
            <w:r w:rsidRPr="001A3A0D">
              <w:rPr>
                <w:rFonts w:ascii="Times New Roman" w:hAnsi="Times New Roman" w:cs="Times New Roman"/>
                <w:sz w:val="20"/>
                <w:szCs w:val="20"/>
              </w:rPr>
              <w:t>Aa</w:t>
            </w:r>
          </w:p>
        </w:tc>
        <w:tc>
          <w:tcPr>
            <w:tcW w:w="1417" w:type="dxa"/>
            <w:tcBorders>
              <w:top w:val="dotted" w:sz="2" w:space="0" w:color="auto"/>
            </w:tcBorders>
          </w:tcPr>
          <w:p w14:paraId="55DFAE66"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0.816</w:t>
            </w:r>
            <w:r w:rsidRPr="001A3A0D">
              <w:rPr>
                <w:rFonts w:ascii="Times New Roman" w:hAnsi="Times New Roman" w:cs="Times New Roman"/>
                <w:sz w:val="20"/>
                <w:szCs w:val="20"/>
                <w:vertAlign w:val="superscript"/>
              </w:rPr>
              <w:t>0.339</w:t>
            </w:r>
            <w:r w:rsidRPr="001A3A0D">
              <w:rPr>
                <w:rFonts w:ascii="Times New Roman" w:hAnsi="Times New Roman" w:cs="Times New Roman"/>
                <w:sz w:val="20"/>
                <w:szCs w:val="20"/>
              </w:rPr>
              <w:t>Aa</w:t>
            </w:r>
          </w:p>
        </w:tc>
        <w:tc>
          <w:tcPr>
            <w:tcW w:w="851" w:type="dxa"/>
            <w:tcBorders>
              <w:top w:val="dotted" w:sz="2" w:space="0" w:color="auto"/>
            </w:tcBorders>
          </w:tcPr>
          <w:p w14:paraId="0132682F" w14:textId="77777777" w:rsidR="003A10A7" w:rsidRPr="001A3A0D" w:rsidRDefault="003A10A7" w:rsidP="00087E54">
            <w:pPr>
              <w:spacing w:line="360" w:lineRule="auto"/>
              <w:jc w:val="right"/>
              <w:rPr>
                <w:rFonts w:ascii="Times New Roman" w:hAnsi="Times New Roman" w:cs="Times New Roman"/>
                <w:sz w:val="20"/>
                <w:szCs w:val="20"/>
              </w:rPr>
            </w:pPr>
            <w:r w:rsidRPr="001A3A0D">
              <w:rPr>
                <w:rFonts w:ascii="Times New Roman" w:hAnsi="Times New Roman" w:cs="Times New Roman"/>
                <w:sz w:val="20"/>
                <w:szCs w:val="20"/>
              </w:rPr>
              <w:t>24.57</w:t>
            </w:r>
          </w:p>
        </w:tc>
      </w:tr>
      <w:tr w:rsidR="003A10A7" w:rsidRPr="001A3A0D" w14:paraId="6136D050" w14:textId="77777777" w:rsidTr="00087E54">
        <w:trPr>
          <w:jc w:val="center"/>
        </w:trPr>
        <w:tc>
          <w:tcPr>
            <w:tcW w:w="862" w:type="dxa"/>
            <w:vMerge/>
            <w:tcBorders>
              <w:bottom w:val="dotted" w:sz="4" w:space="0" w:color="auto"/>
            </w:tcBorders>
          </w:tcPr>
          <w:p w14:paraId="1DF4CB60" w14:textId="77777777" w:rsidR="003A10A7" w:rsidRPr="001A3A0D" w:rsidRDefault="003A10A7" w:rsidP="00087E54">
            <w:pPr>
              <w:spacing w:line="360" w:lineRule="auto"/>
              <w:jc w:val="both"/>
              <w:rPr>
                <w:rFonts w:ascii="Times New Roman" w:hAnsi="Times New Roman" w:cs="Times New Roman"/>
                <w:sz w:val="20"/>
                <w:szCs w:val="20"/>
              </w:rPr>
            </w:pPr>
          </w:p>
        </w:tc>
        <w:tc>
          <w:tcPr>
            <w:tcW w:w="1402" w:type="dxa"/>
            <w:tcBorders>
              <w:bottom w:val="dotted" w:sz="4" w:space="0" w:color="auto"/>
            </w:tcBorders>
          </w:tcPr>
          <w:p w14:paraId="532AD4EF" w14:textId="77777777" w:rsidR="003A10A7" w:rsidRPr="001A3A0D" w:rsidRDefault="003A10A7" w:rsidP="00087E54">
            <w:pPr>
              <w:spacing w:line="360" w:lineRule="auto"/>
              <w:jc w:val="both"/>
              <w:rPr>
                <w:rFonts w:ascii="Times New Roman" w:hAnsi="Times New Roman" w:cs="Times New Roman"/>
                <w:i/>
                <w:iCs/>
                <w:sz w:val="20"/>
                <w:szCs w:val="20"/>
              </w:rPr>
            </w:pPr>
            <w:r w:rsidRPr="001A3A0D">
              <w:rPr>
                <w:rFonts w:ascii="Times New Roman" w:hAnsi="Times New Roman" w:cs="Times New Roman"/>
                <w:i/>
                <w:iCs/>
                <w:sz w:val="20"/>
                <w:szCs w:val="20"/>
              </w:rPr>
              <w:t xml:space="preserve">H. </w:t>
            </w:r>
            <w:proofErr w:type="spellStart"/>
            <w:r w:rsidRPr="001A3A0D">
              <w:rPr>
                <w:rFonts w:ascii="Times New Roman" w:hAnsi="Times New Roman" w:cs="Times New Roman"/>
                <w:i/>
                <w:iCs/>
                <w:sz w:val="20"/>
                <w:szCs w:val="20"/>
              </w:rPr>
              <w:t>polyrhizus</w:t>
            </w:r>
            <w:proofErr w:type="spellEnd"/>
          </w:p>
        </w:tc>
        <w:tc>
          <w:tcPr>
            <w:tcW w:w="1422" w:type="dxa"/>
            <w:tcBorders>
              <w:bottom w:val="dotted" w:sz="4" w:space="0" w:color="auto"/>
            </w:tcBorders>
          </w:tcPr>
          <w:p w14:paraId="2D37B213"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0.564</w:t>
            </w:r>
            <w:r w:rsidRPr="001A3A0D">
              <w:rPr>
                <w:rFonts w:ascii="Times New Roman" w:hAnsi="Times New Roman" w:cs="Times New Roman"/>
                <w:sz w:val="20"/>
                <w:szCs w:val="20"/>
                <w:vertAlign w:val="superscript"/>
              </w:rPr>
              <w:t>0.082</w:t>
            </w:r>
            <w:r w:rsidRPr="001A3A0D">
              <w:rPr>
                <w:rFonts w:ascii="Times New Roman" w:hAnsi="Times New Roman" w:cs="Times New Roman"/>
                <w:sz w:val="20"/>
                <w:szCs w:val="20"/>
              </w:rPr>
              <w:t>Aa</w:t>
            </w:r>
          </w:p>
        </w:tc>
        <w:tc>
          <w:tcPr>
            <w:tcW w:w="1417" w:type="dxa"/>
            <w:tcBorders>
              <w:bottom w:val="dotted" w:sz="4" w:space="0" w:color="auto"/>
            </w:tcBorders>
          </w:tcPr>
          <w:p w14:paraId="4CB74B95"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0.462</w:t>
            </w:r>
            <w:r w:rsidRPr="001A3A0D">
              <w:rPr>
                <w:rFonts w:ascii="Times New Roman" w:hAnsi="Times New Roman" w:cs="Times New Roman"/>
                <w:sz w:val="20"/>
                <w:szCs w:val="20"/>
                <w:vertAlign w:val="superscript"/>
              </w:rPr>
              <w:t>0.002</w:t>
            </w:r>
            <w:r w:rsidRPr="001A3A0D">
              <w:rPr>
                <w:rFonts w:ascii="Times New Roman" w:hAnsi="Times New Roman" w:cs="Times New Roman"/>
                <w:sz w:val="20"/>
                <w:szCs w:val="20"/>
              </w:rPr>
              <w:t>Ab</w:t>
            </w:r>
          </w:p>
        </w:tc>
        <w:tc>
          <w:tcPr>
            <w:tcW w:w="1418" w:type="dxa"/>
            <w:tcBorders>
              <w:bottom w:val="dotted" w:sz="4" w:space="0" w:color="auto"/>
            </w:tcBorders>
          </w:tcPr>
          <w:p w14:paraId="2EDB7450"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0.597</w:t>
            </w:r>
            <w:r w:rsidRPr="001A3A0D">
              <w:rPr>
                <w:rFonts w:ascii="Times New Roman" w:hAnsi="Times New Roman" w:cs="Times New Roman"/>
                <w:sz w:val="20"/>
                <w:szCs w:val="20"/>
                <w:vertAlign w:val="superscript"/>
              </w:rPr>
              <w:t>0.072</w:t>
            </w:r>
            <w:r w:rsidRPr="001A3A0D">
              <w:rPr>
                <w:rFonts w:ascii="Times New Roman" w:hAnsi="Times New Roman" w:cs="Times New Roman"/>
                <w:sz w:val="20"/>
                <w:szCs w:val="20"/>
              </w:rPr>
              <w:t>Ab</w:t>
            </w:r>
          </w:p>
        </w:tc>
        <w:tc>
          <w:tcPr>
            <w:tcW w:w="1417" w:type="dxa"/>
            <w:tcBorders>
              <w:bottom w:val="dotted" w:sz="4" w:space="0" w:color="auto"/>
            </w:tcBorders>
          </w:tcPr>
          <w:p w14:paraId="3409EB18"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0.415</w:t>
            </w:r>
            <w:r w:rsidRPr="001A3A0D">
              <w:rPr>
                <w:rFonts w:ascii="Times New Roman" w:hAnsi="Times New Roman" w:cs="Times New Roman"/>
                <w:sz w:val="20"/>
                <w:szCs w:val="20"/>
                <w:vertAlign w:val="superscript"/>
              </w:rPr>
              <w:t>0.021</w:t>
            </w:r>
            <w:r w:rsidRPr="001A3A0D">
              <w:rPr>
                <w:rFonts w:ascii="Times New Roman" w:hAnsi="Times New Roman" w:cs="Times New Roman"/>
                <w:sz w:val="20"/>
                <w:szCs w:val="20"/>
              </w:rPr>
              <w:t>Ab</w:t>
            </w:r>
          </w:p>
        </w:tc>
        <w:tc>
          <w:tcPr>
            <w:tcW w:w="851" w:type="dxa"/>
            <w:tcBorders>
              <w:bottom w:val="dotted" w:sz="4" w:space="0" w:color="auto"/>
            </w:tcBorders>
          </w:tcPr>
          <w:p w14:paraId="7B8CBCE0" w14:textId="77777777" w:rsidR="003A10A7" w:rsidRPr="001A3A0D" w:rsidRDefault="003A10A7" w:rsidP="00087E54">
            <w:pPr>
              <w:spacing w:line="360" w:lineRule="auto"/>
              <w:jc w:val="right"/>
              <w:rPr>
                <w:rFonts w:ascii="Times New Roman" w:hAnsi="Times New Roman" w:cs="Times New Roman"/>
                <w:sz w:val="20"/>
                <w:szCs w:val="20"/>
              </w:rPr>
            </w:pPr>
          </w:p>
        </w:tc>
      </w:tr>
      <w:tr w:rsidR="003A10A7" w:rsidRPr="001A3A0D" w14:paraId="0ED97623" w14:textId="77777777" w:rsidTr="00087E54">
        <w:trPr>
          <w:jc w:val="center"/>
        </w:trPr>
        <w:tc>
          <w:tcPr>
            <w:tcW w:w="862" w:type="dxa"/>
            <w:vMerge w:val="restart"/>
            <w:tcBorders>
              <w:top w:val="dotted" w:sz="4" w:space="0" w:color="auto"/>
            </w:tcBorders>
          </w:tcPr>
          <w:p w14:paraId="0EE27F7B"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DMR</w:t>
            </w:r>
          </w:p>
        </w:tc>
        <w:tc>
          <w:tcPr>
            <w:tcW w:w="1402" w:type="dxa"/>
            <w:tcBorders>
              <w:top w:val="dotted" w:sz="4" w:space="0" w:color="auto"/>
            </w:tcBorders>
          </w:tcPr>
          <w:p w14:paraId="2241532C" w14:textId="77777777" w:rsidR="003A10A7" w:rsidRPr="001A3A0D" w:rsidRDefault="003A10A7" w:rsidP="00087E54">
            <w:pPr>
              <w:spacing w:line="360" w:lineRule="auto"/>
              <w:jc w:val="both"/>
              <w:rPr>
                <w:rFonts w:ascii="Times New Roman" w:hAnsi="Times New Roman" w:cs="Times New Roman"/>
                <w:i/>
                <w:iCs/>
                <w:sz w:val="20"/>
                <w:szCs w:val="20"/>
              </w:rPr>
            </w:pPr>
            <w:r w:rsidRPr="001A3A0D">
              <w:rPr>
                <w:rFonts w:ascii="Times New Roman" w:hAnsi="Times New Roman" w:cs="Times New Roman"/>
                <w:i/>
                <w:iCs/>
                <w:sz w:val="20"/>
                <w:szCs w:val="20"/>
              </w:rPr>
              <w:t>S. undatus</w:t>
            </w:r>
          </w:p>
        </w:tc>
        <w:tc>
          <w:tcPr>
            <w:tcW w:w="1422" w:type="dxa"/>
            <w:tcBorders>
              <w:top w:val="dotted" w:sz="4" w:space="0" w:color="auto"/>
            </w:tcBorders>
          </w:tcPr>
          <w:p w14:paraId="3F208F62"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0.011</w:t>
            </w:r>
            <w:r w:rsidRPr="001A3A0D">
              <w:rPr>
                <w:rFonts w:ascii="Times New Roman" w:hAnsi="Times New Roman" w:cs="Times New Roman"/>
                <w:sz w:val="20"/>
                <w:szCs w:val="20"/>
                <w:vertAlign w:val="superscript"/>
              </w:rPr>
              <w:t>0.002</w:t>
            </w:r>
            <w:r w:rsidRPr="001A3A0D">
              <w:rPr>
                <w:rFonts w:ascii="Times New Roman" w:hAnsi="Times New Roman" w:cs="Times New Roman"/>
                <w:sz w:val="20"/>
                <w:szCs w:val="20"/>
              </w:rPr>
              <w:t>Ba</w:t>
            </w:r>
          </w:p>
        </w:tc>
        <w:tc>
          <w:tcPr>
            <w:tcW w:w="1417" w:type="dxa"/>
            <w:tcBorders>
              <w:top w:val="dotted" w:sz="4" w:space="0" w:color="auto"/>
            </w:tcBorders>
          </w:tcPr>
          <w:p w14:paraId="5F29789E"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0.017</w:t>
            </w:r>
            <w:r w:rsidRPr="001A3A0D">
              <w:rPr>
                <w:rFonts w:ascii="Times New Roman" w:hAnsi="Times New Roman" w:cs="Times New Roman"/>
                <w:sz w:val="20"/>
                <w:szCs w:val="20"/>
                <w:vertAlign w:val="superscript"/>
              </w:rPr>
              <w:t>0.002</w:t>
            </w:r>
            <w:r w:rsidRPr="001A3A0D">
              <w:rPr>
                <w:rFonts w:ascii="Times New Roman" w:hAnsi="Times New Roman" w:cs="Times New Roman"/>
                <w:sz w:val="20"/>
                <w:szCs w:val="20"/>
              </w:rPr>
              <w:t>Aa</w:t>
            </w:r>
          </w:p>
        </w:tc>
        <w:tc>
          <w:tcPr>
            <w:tcW w:w="1418" w:type="dxa"/>
            <w:tcBorders>
              <w:top w:val="dotted" w:sz="4" w:space="0" w:color="auto"/>
            </w:tcBorders>
          </w:tcPr>
          <w:p w14:paraId="55053351"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0.023</w:t>
            </w:r>
            <w:r w:rsidRPr="001A3A0D">
              <w:rPr>
                <w:rFonts w:ascii="Times New Roman" w:hAnsi="Times New Roman" w:cs="Times New Roman"/>
                <w:sz w:val="20"/>
                <w:szCs w:val="20"/>
                <w:vertAlign w:val="superscript"/>
              </w:rPr>
              <w:t>0.003</w:t>
            </w:r>
            <w:r w:rsidRPr="001A3A0D">
              <w:rPr>
                <w:rFonts w:ascii="Times New Roman" w:hAnsi="Times New Roman" w:cs="Times New Roman"/>
                <w:sz w:val="20"/>
                <w:szCs w:val="20"/>
              </w:rPr>
              <w:t>Aa</w:t>
            </w:r>
          </w:p>
        </w:tc>
        <w:tc>
          <w:tcPr>
            <w:tcW w:w="1417" w:type="dxa"/>
            <w:tcBorders>
              <w:top w:val="dotted" w:sz="4" w:space="0" w:color="auto"/>
            </w:tcBorders>
          </w:tcPr>
          <w:p w14:paraId="438E962C"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0.026</w:t>
            </w:r>
            <w:r w:rsidRPr="001A3A0D">
              <w:rPr>
                <w:rFonts w:ascii="Times New Roman" w:hAnsi="Times New Roman" w:cs="Times New Roman"/>
                <w:sz w:val="20"/>
                <w:szCs w:val="20"/>
                <w:vertAlign w:val="superscript"/>
              </w:rPr>
              <w:t>0.008</w:t>
            </w:r>
            <w:r w:rsidRPr="001A3A0D">
              <w:rPr>
                <w:rFonts w:ascii="Times New Roman" w:hAnsi="Times New Roman" w:cs="Times New Roman"/>
                <w:sz w:val="20"/>
                <w:szCs w:val="20"/>
              </w:rPr>
              <w:t>Aa</w:t>
            </w:r>
          </w:p>
        </w:tc>
        <w:tc>
          <w:tcPr>
            <w:tcW w:w="851" w:type="dxa"/>
            <w:tcBorders>
              <w:top w:val="dotted" w:sz="4" w:space="0" w:color="auto"/>
            </w:tcBorders>
          </w:tcPr>
          <w:p w14:paraId="5023F777" w14:textId="77777777" w:rsidR="003A10A7" w:rsidRPr="001A3A0D" w:rsidRDefault="003A10A7" w:rsidP="00087E54">
            <w:pPr>
              <w:spacing w:line="360" w:lineRule="auto"/>
              <w:jc w:val="right"/>
              <w:rPr>
                <w:rFonts w:ascii="Times New Roman" w:hAnsi="Times New Roman" w:cs="Times New Roman"/>
                <w:sz w:val="20"/>
                <w:szCs w:val="20"/>
              </w:rPr>
            </w:pPr>
            <w:r w:rsidRPr="001A3A0D">
              <w:rPr>
                <w:rFonts w:ascii="Times New Roman" w:hAnsi="Times New Roman" w:cs="Times New Roman"/>
                <w:sz w:val="20"/>
                <w:szCs w:val="20"/>
              </w:rPr>
              <w:t>14.39</w:t>
            </w:r>
          </w:p>
        </w:tc>
      </w:tr>
      <w:tr w:rsidR="003A10A7" w:rsidRPr="001A3A0D" w14:paraId="16F9EEF0" w14:textId="77777777" w:rsidTr="00087E54">
        <w:trPr>
          <w:jc w:val="center"/>
        </w:trPr>
        <w:tc>
          <w:tcPr>
            <w:tcW w:w="862" w:type="dxa"/>
            <w:vMerge/>
            <w:tcBorders>
              <w:bottom w:val="single" w:sz="4" w:space="0" w:color="auto"/>
            </w:tcBorders>
          </w:tcPr>
          <w:p w14:paraId="4795D164" w14:textId="77777777" w:rsidR="003A10A7" w:rsidRPr="001A3A0D" w:rsidRDefault="003A10A7" w:rsidP="00087E54">
            <w:pPr>
              <w:spacing w:line="360" w:lineRule="auto"/>
              <w:jc w:val="both"/>
              <w:rPr>
                <w:rFonts w:ascii="Times New Roman" w:hAnsi="Times New Roman" w:cs="Times New Roman"/>
                <w:sz w:val="20"/>
                <w:szCs w:val="20"/>
              </w:rPr>
            </w:pPr>
          </w:p>
        </w:tc>
        <w:tc>
          <w:tcPr>
            <w:tcW w:w="1402" w:type="dxa"/>
            <w:tcBorders>
              <w:bottom w:val="single" w:sz="4" w:space="0" w:color="auto"/>
            </w:tcBorders>
          </w:tcPr>
          <w:p w14:paraId="598EB767" w14:textId="77777777" w:rsidR="003A10A7" w:rsidRPr="001A3A0D" w:rsidRDefault="003A10A7" w:rsidP="00087E54">
            <w:pPr>
              <w:spacing w:line="360" w:lineRule="auto"/>
              <w:jc w:val="both"/>
              <w:rPr>
                <w:rFonts w:ascii="Times New Roman" w:hAnsi="Times New Roman" w:cs="Times New Roman"/>
                <w:i/>
                <w:iCs/>
                <w:sz w:val="20"/>
                <w:szCs w:val="20"/>
              </w:rPr>
            </w:pPr>
            <w:r w:rsidRPr="001A3A0D">
              <w:rPr>
                <w:rFonts w:ascii="Times New Roman" w:hAnsi="Times New Roman" w:cs="Times New Roman"/>
                <w:i/>
                <w:iCs/>
                <w:sz w:val="20"/>
                <w:szCs w:val="20"/>
              </w:rPr>
              <w:t xml:space="preserve">H. </w:t>
            </w:r>
            <w:proofErr w:type="spellStart"/>
            <w:r w:rsidRPr="001A3A0D">
              <w:rPr>
                <w:rFonts w:ascii="Times New Roman" w:hAnsi="Times New Roman" w:cs="Times New Roman"/>
                <w:i/>
                <w:iCs/>
                <w:sz w:val="20"/>
                <w:szCs w:val="20"/>
              </w:rPr>
              <w:t>polyrhizus</w:t>
            </w:r>
            <w:proofErr w:type="spellEnd"/>
          </w:p>
        </w:tc>
        <w:tc>
          <w:tcPr>
            <w:tcW w:w="1422" w:type="dxa"/>
            <w:tcBorders>
              <w:bottom w:val="single" w:sz="4" w:space="0" w:color="auto"/>
            </w:tcBorders>
          </w:tcPr>
          <w:p w14:paraId="531ECE99"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0.006</w:t>
            </w:r>
            <w:r w:rsidRPr="001A3A0D">
              <w:rPr>
                <w:rFonts w:ascii="Times New Roman" w:hAnsi="Times New Roman" w:cs="Times New Roman"/>
                <w:sz w:val="20"/>
                <w:szCs w:val="20"/>
                <w:vertAlign w:val="superscript"/>
              </w:rPr>
              <w:t>0.001</w:t>
            </w:r>
            <w:r w:rsidRPr="001A3A0D">
              <w:rPr>
                <w:rFonts w:ascii="Times New Roman" w:hAnsi="Times New Roman" w:cs="Times New Roman"/>
                <w:sz w:val="20"/>
                <w:szCs w:val="20"/>
              </w:rPr>
              <w:t>Aa</w:t>
            </w:r>
          </w:p>
        </w:tc>
        <w:tc>
          <w:tcPr>
            <w:tcW w:w="1417" w:type="dxa"/>
            <w:tcBorders>
              <w:bottom w:val="single" w:sz="4" w:space="0" w:color="auto"/>
            </w:tcBorders>
          </w:tcPr>
          <w:p w14:paraId="5FE897CD"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0.004</w:t>
            </w:r>
            <w:r w:rsidRPr="001A3A0D">
              <w:rPr>
                <w:rFonts w:ascii="Times New Roman" w:hAnsi="Times New Roman" w:cs="Times New Roman"/>
                <w:sz w:val="20"/>
                <w:szCs w:val="20"/>
                <w:vertAlign w:val="superscript"/>
              </w:rPr>
              <w:t>0.001</w:t>
            </w:r>
            <w:r w:rsidRPr="001A3A0D">
              <w:rPr>
                <w:rFonts w:ascii="Times New Roman" w:hAnsi="Times New Roman" w:cs="Times New Roman"/>
                <w:sz w:val="20"/>
                <w:szCs w:val="20"/>
              </w:rPr>
              <w:t>Ab</w:t>
            </w:r>
          </w:p>
        </w:tc>
        <w:tc>
          <w:tcPr>
            <w:tcW w:w="1418" w:type="dxa"/>
            <w:tcBorders>
              <w:bottom w:val="single" w:sz="4" w:space="0" w:color="auto"/>
            </w:tcBorders>
          </w:tcPr>
          <w:p w14:paraId="7914739A"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0.010</w:t>
            </w:r>
            <w:r w:rsidRPr="001A3A0D">
              <w:rPr>
                <w:rFonts w:ascii="Times New Roman" w:hAnsi="Times New Roman" w:cs="Times New Roman"/>
                <w:sz w:val="20"/>
                <w:szCs w:val="20"/>
                <w:vertAlign w:val="superscript"/>
              </w:rPr>
              <w:t>0.001</w:t>
            </w:r>
            <w:r w:rsidRPr="001A3A0D">
              <w:rPr>
                <w:rFonts w:ascii="Times New Roman" w:hAnsi="Times New Roman" w:cs="Times New Roman"/>
                <w:sz w:val="20"/>
                <w:szCs w:val="20"/>
              </w:rPr>
              <w:t>Ab</w:t>
            </w:r>
          </w:p>
        </w:tc>
        <w:tc>
          <w:tcPr>
            <w:tcW w:w="1417" w:type="dxa"/>
            <w:tcBorders>
              <w:bottom w:val="single" w:sz="4" w:space="0" w:color="auto"/>
            </w:tcBorders>
          </w:tcPr>
          <w:p w14:paraId="20A3DCE0" w14:textId="77777777" w:rsidR="003A10A7" w:rsidRPr="001A3A0D" w:rsidRDefault="003A10A7" w:rsidP="00087E54">
            <w:pPr>
              <w:spacing w:line="360" w:lineRule="auto"/>
              <w:jc w:val="both"/>
              <w:rPr>
                <w:rFonts w:ascii="Times New Roman" w:hAnsi="Times New Roman" w:cs="Times New Roman"/>
                <w:sz w:val="20"/>
                <w:szCs w:val="20"/>
              </w:rPr>
            </w:pPr>
            <w:r w:rsidRPr="001A3A0D">
              <w:rPr>
                <w:rFonts w:ascii="Times New Roman" w:hAnsi="Times New Roman" w:cs="Times New Roman"/>
                <w:sz w:val="20"/>
                <w:szCs w:val="20"/>
              </w:rPr>
              <w:t>0.006</w:t>
            </w:r>
            <w:r w:rsidRPr="001A3A0D">
              <w:rPr>
                <w:rFonts w:ascii="Times New Roman" w:hAnsi="Times New Roman" w:cs="Times New Roman"/>
                <w:sz w:val="20"/>
                <w:szCs w:val="20"/>
                <w:vertAlign w:val="superscript"/>
              </w:rPr>
              <w:t>0.001</w:t>
            </w:r>
            <w:r w:rsidRPr="001A3A0D">
              <w:rPr>
                <w:rFonts w:ascii="Times New Roman" w:hAnsi="Times New Roman" w:cs="Times New Roman"/>
                <w:sz w:val="20"/>
                <w:szCs w:val="20"/>
              </w:rPr>
              <w:t>Ab</w:t>
            </w:r>
          </w:p>
        </w:tc>
        <w:tc>
          <w:tcPr>
            <w:tcW w:w="851" w:type="dxa"/>
            <w:tcBorders>
              <w:bottom w:val="single" w:sz="4" w:space="0" w:color="auto"/>
            </w:tcBorders>
          </w:tcPr>
          <w:p w14:paraId="495D2FA7" w14:textId="77777777" w:rsidR="003A10A7" w:rsidRPr="001A3A0D" w:rsidRDefault="003A10A7" w:rsidP="00087E54">
            <w:pPr>
              <w:spacing w:line="360" w:lineRule="auto"/>
              <w:jc w:val="right"/>
              <w:rPr>
                <w:rFonts w:ascii="Times New Roman" w:hAnsi="Times New Roman" w:cs="Times New Roman"/>
                <w:sz w:val="20"/>
                <w:szCs w:val="20"/>
              </w:rPr>
            </w:pPr>
          </w:p>
        </w:tc>
      </w:tr>
    </w:tbl>
    <w:p w14:paraId="5A127C9D" w14:textId="76240504" w:rsidR="003A10A7" w:rsidRPr="004D633B" w:rsidRDefault="00555487" w:rsidP="003A10A7">
      <w:pPr>
        <w:spacing w:line="360" w:lineRule="auto"/>
        <w:jc w:val="both"/>
        <w:rPr>
          <w:rFonts w:ascii="Times New Roman" w:hAnsi="Times New Roman" w:cs="Times New Roman"/>
          <w:sz w:val="20"/>
          <w:szCs w:val="20"/>
          <w:lang w:val="en-US"/>
        </w:rPr>
      </w:pPr>
      <w:r w:rsidRPr="00555487">
        <w:rPr>
          <w:rFonts w:ascii="Times New Roman" w:hAnsi="Times New Roman" w:cs="Times New Roman"/>
          <w:sz w:val="20"/>
          <w:szCs w:val="20"/>
          <w:lang w:val="en-US"/>
        </w:rPr>
        <w:t xml:space="preserve">Means (± standard error) followed by the same uppercase letter within rows (light quality) and the same lowercase letter within columns (species) are not significantly different according to Tukey's honestly significant difference (HSD) test (p ≤ 0.05). </w:t>
      </w:r>
      <w:r w:rsidRPr="004D633B">
        <w:rPr>
          <w:rFonts w:ascii="Times New Roman" w:hAnsi="Times New Roman" w:cs="Times New Roman"/>
          <w:sz w:val="20"/>
          <w:szCs w:val="20"/>
          <w:lang w:val="en-US"/>
        </w:rPr>
        <w:t xml:space="preserve">C.V. = coefficient of variation (%). </w:t>
      </w:r>
    </w:p>
    <w:p w14:paraId="2F1FDFE0" w14:textId="77777777" w:rsidR="00555487" w:rsidRPr="005C07C5" w:rsidRDefault="00555487" w:rsidP="003A10A7">
      <w:pPr>
        <w:spacing w:line="360" w:lineRule="auto"/>
        <w:jc w:val="both"/>
        <w:rPr>
          <w:sz w:val="24"/>
          <w:szCs w:val="24"/>
          <w:lang w:val="en-US"/>
        </w:rPr>
      </w:pPr>
    </w:p>
    <w:p w14:paraId="124370C6" w14:textId="77777777" w:rsidR="003A10A7" w:rsidRPr="001A3A0D" w:rsidRDefault="003A10A7" w:rsidP="003A10A7">
      <w:pPr>
        <w:spacing w:line="360" w:lineRule="auto"/>
        <w:ind w:firstLine="851"/>
        <w:jc w:val="both"/>
        <w:rPr>
          <w:rFonts w:ascii="Times New Roman" w:hAnsi="Times New Roman" w:cs="Times New Roman"/>
          <w:bCs/>
          <w:sz w:val="20"/>
          <w:szCs w:val="20"/>
          <w:lang w:val="en-US"/>
        </w:rPr>
      </w:pPr>
      <w:r w:rsidRPr="001A3A0D">
        <w:rPr>
          <w:rFonts w:ascii="Times New Roman" w:hAnsi="Times New Roman" w:cs="Times New Roman"/>
          <w:bCs/>
          <w:sz w:val="20"/>
          <w:szCs w:val="20"/>
          <w:lang w:val="en-US"/>
        </w:rPr>
        <w:lastRenderedPageBreak/>
        <w:t xml:space="preserve">The cladodes of </w:t>
      </w:r>
      <w:r w:rsidRPr="001A3A0D">
        <w:rPr>
          <w:rFonts w:ascii="Times New Roman" w:hAnsi="Times New Roman" w:cs="Times New Roman"/>
          <w:bCs/>
          <w:i/>
          <w:iCs/>
          <w:sz w:val="20"/>
          <w:szCs w:val="20"/>
          <w:lang w:val="en-US"/>
        </w:rPr>
        <w:t>S. undatus</w:t>
      </w:r>
      <w:r w:rsidRPr="001A3A0D">
        <w:rPr>
          <w:rFonts w:ascii="Times New Roman" w:hAnsi="Times New Roman" w:cs="Times New Roman"/>
          <w:bCs/>
          <w:sz w:val="20"/>
          <w:szCs w:val="20"/>
          <w:lang w:val="en-US"/>
        </w:rPr>
        <w:t xml:space="preserve"> exhibited the greatest shoot length under purple (1.613 cm) and red (1.694 cm) light, whereas in </w:t>
      </w:r>
      <w:r w:rsidRPr="001A3A0D">
        <w:rPr>
          <w:rFonts w:ascii="Times New Roman" w:hAnsi="Times New Roman" w:cs="Times New Roman"/>
          <w:bCs/>
          <w:i/>
          <w:iCs/>
          <w:sz w:val="20"/>
          <w:szCs w:val="20"/>
          <w:lang w:val="en-US"/>
        </w:rPr>
        <w:t xml:space="preserve">H. </w:t>
      </w:r>
      <w:proofErr w:type="spellStart"/>
      <w:r w:rsidRPr="001A3A0D">
        <w:rPr>
          <w:rFonts w:ascii="Times New Roman" w:hAnsi="Times New Roman" w:cs="Times New Roman"/>
          <w:bCs/>
          <w:i/>
          <w:iCs/>
          <w:sz w:val="20"/>
          <w:szCs w:val="20"/>
          <w:lang w:val="en-US"/>
        </w:rPr>
        <w:t>polyrhizus</w:t>
      </w:r>
      <w:proofErr w:type="spellEnd"/>
      <w:r w:rsidRPr="001A3A0D">
        <w:rPr>
          <w:rFonts w:ascii="Times New Roman" w:hAnsi="Times New Roman" w:cs="Times New Roman"/>
          <w:bCs/>
          <w:sz w:val="20"/>
          <w:szCs w:val="20"/>
          <w:lang w:val="en-US"/>
        </w:rPr>
        <w:t xml:space="preserve">, the highest value was observed under red light (1.502 cm). Similarly, the shoot fresh mass of </w:t>
      </w:r>
      <w:r w:rsidRPr="001A3A0D">
        <w:rPr>
          <w:rFonts w:ascii="Times New Roman" w:hAnsi="Times New Roman" w:cs="Times New Roman"/>
          <w:bCs/>
          <w:i/>
          <w:iCs/>
          <w:sz w:val="20"/>
          <w:szCs w:val="20"/>
          <w:lang w:val="en-US"/>
        </w:rPr>
        <w:t>S. undatus</w:t>
      </w:r>
      <w:r w:rsidRPr="001A3A0D">
        <w:rPr>
          <w:rFonts w:ascii="Times New Roman" w:hAnsi="Times New Roman" w:cs="Times New Roman"/>
          <w:bCs/>
          <w:sz w:val="20"/>
          <w:szCs w:val="20"/>
          <w:lang w:val="en-US"/>
        </w:rPr>
        <w:t xml:space="preserve"> cladodes was highest under purple (1.256 g) and red (1.218 g) light. </w:t>
      </w:r>
    </w:p>
    <w:p w14:paraId="404A1852" w14:textId="77777777" w:rsidR="003A10A7" w:rsidRPr="001A3A0D" w:rsidRDefault="003A10A7" w:rsidP="003A10A7">
      <w:pPr>
        <w:spacing w:line="360" w:lineRule="auto"/>
        <w:ind w:firstLine="851"/>
        <w:jc w:val="both"/>
        <w:rPr>
          <w:rFonts w:ascii="Times New Roman" w:hAnsi="Times New Roman" w:cs="Times New Roman"/>
          <w:bCs/>
          <w:sz w:val="20"/>
          <w:szCs w:val="20"/>
          <w:lang w:val="en-US"/>
        </w:rPr>
      </w:pPr>
      <w:r w:rsidRPr="001A3A0D">
        <w:rPr>
          <w:rFonts w:ascii="Times New Roman" w:hAnsi="Times New Roman" w:cs="Times New Roman"/>
          <w:bCs/>
          <w:sz w:val="20"/>
          <w:szCs w:val="20"/>
          <w:lang w:val="en-US"/>
        </w:rPr>
        <w:t xml:space="preserve">Shoot dry mass, as well as root fresh and dry mass, were also greater under purple (0.408, 0.904, and 0.023 g, respectively), red (0.401, 0.816, and 0.026 g, respectively), and blue (0.362, 0.698, and 0.017 g, respectively) light. In contrast, no significant differences in fresh or dry mass were observed among light qualities for </w:t>
      </w:r>
      <w:r w:rsidRPr="001A3A0D">
        <w:rPr>
          <w:rFonts w:ascii="Times New Roman" w:hAnsi="Times New Roman" w:cs="Times New Roman"/>
          <w:bCs/>
          <w:i/>
          <w:iCs/>
          <w:sz w:val="20"/>
          <w:szCs w:val="20"/>
          <w:lang w:val="en-US"/>
        </w:rPr>
        <w:t xml:space="preserve">H. </w:t>
      </w:r>
      <w:proofErr w:type="spellStart"/>
      <w:r w:rsidRPr="001A3A0D">
        <w:rPr>
          <w:rFonts w:ascii="Times New Roman" w:hAnsi="Times New Roman" w:cs="Times New Roman"/>
          <w:bCs/>
          <w:i/>
          <w:iCs/>
          <w:sz w:val="20"/>
          <w:szCs w:val="20"/>
          <w:lang w:val="en-US"/>
        </w:rPr>
        <w:t>polyrhizus</w:t>
      </w:r>
      <w:proofErr w:type="spellEnd"/>
      <w:r w:rsidRPr="001A3A0D">
        <w:rPr>
          <w:rFonts w:ascii="Times New Roman" w:hAnsi="Times New Roman" w:cs="Times New Roman"/>
          <w:bCs/>
          <w:sz w:val="20"/>
          <w:szCs w:val="20"/>
          <w:lang w:val="en-US"/>
        </w:rPr>
        <w:t xml:space="preserve"> cladodes (Table 2).</w:t>
      </w:r>
    </w:p>
    <w:p w14:paraId="708710EB" w14:textId="77777777" w:rsidR="001C35D8" w:rsidRPr="001C35D8" w:rsidRDefault="001C35D8" w:rsidP="00073978">
      <w:pPr>
        <w:spacing w:after="0" w:line="360" w:lineRule="auto"/>
        <w:ind w:firstLine="709"/>
        <w:jc w:val="both"/>
        <w:rPr>
          <w:rFonts w:ascii="Times New Roman" w:hAnsi="Times New Roman" w:cs="Times New Roman"/>
          <w:bCs/>
          <w:sz w:val="20"/>
          <w:szCs w:val="20"/>
          <w:highlight w:val="yellow"/>
          <w:lang w:val="en-US"/>
        </w:rPr>
      </w:pPr>
      <w:r w:rsidRPr="001C35D8">
        <w:rPr>
          <w:rFonts w:ascii="Times New Roman" w:hAnsi="Times New Roman" w:cs="Times New Roman"/>
          <w:bCs/>
          <w:sz w:val="20"/>
          <w:szCs w:val="20"/>
          <w:highlight w:val="yellow"/>
          <w:lang w:val="en-US"/>
        </w:rPr>
        <w:t xml:space="preserve">The superior biometric performance of </w:t>
      </w:r>
      <w:r w:rsidRPr="001C35D8">
        <w:rPr>
          <w:rFonts w:ascii="Times New Roman" w:hAnsi="Times New Roman" w:cs="Times New Roman"/>
          <w:bCs/>
          <w:i/>
          <w:iCs/>
          <w:sz w:val="20"/>
          <w:szCs w:val="20"/>
          <w:highlight w:val="yellow"/>
          <w:lang w:val="en-US"/>
        </w:rPr>
        <w:t>Selenicereus undatus</w:t>
      </w:r>
      <w:r w:rsidRPr="001C35D8">
        <w:rPr>
          <w:rFonts w:ascii="Times New Roman" w:hAnsi="Times New Roman" w:cs="Times New Roman"/>
          <w:bCs/>
          <w:sz w:val="20"/>
          <w:szCs w:val="20"/>
          <w:highlight w:val="yellow"/>
          <w:lang w:val="en-US"/>
        </w:rPr>
        <w:t xml:space="preserve"> compared with </w:t>
      </w:r>
      <w:r w:rsidRPr="001C35D8">
        <w:rPr>
          <w:rFonts w:ascii="Times New Roman" w:hAnsi="Times New Roman" w:cs="Times New Roman"/>
          <w:bCs/>
          <w:i/>
          <w:iCs/>
          <w:sz w:val="20"/>
          <w:szCs w:val="20"/>
          <w:highlight w:val="yellow"/>
          <w:lang w:val="en-US"/>
        </w:rPr>
        <w:t xml:space="preserve">Hylocereus </w:t>
      </w:r>
      <w:proofErr w:type="spellStart"/>
      <w:r w:rsidRPr="001C35D8">
        <w:rPr>
          <w:rFonts w:ascii="Times New Roman" w:hAnsi="Times New Roman" w:cs="Times New Roman"/>
          <w:bCs/>
          <w:i/>
          <w:iCs/>
          <w:sz w:val="20"/>
          <w:szCs w:val="20"/>
          <w:highlight w:val="yellow"/>
          <w:lang w:val="en-US"/>
        </w:rPr>
        <w:t>polyrhizus</w:t>
      </w:r>
      <w:proofErr w:type="spellEnd"/>
      <w:r w:rsidRPr="001C35D8">
        <w:rPr>
          <w:rFonts w:ascii="Times New Roman" w:hAnsi="Times New Roman" w:cs="Times New Roman"/>
          <w:bCs/>
          <w:sz w:val="20"/>
          <w:szCs w:val="20"/>
          <w:highlight w:val="yellow"/>
          <w:lang w:val="en-US"/>
        </w:rPr>
        <w:t xml:space="preserve"> suggests interspecific differences in growth responses under the evaluated LED treatments, reflecting distinct developmental characteristics between the two species. In this study, phenotypic plasticity is interpreted in a trait-specific context, referring to the capacity of each species to modify distinct phenotypic traits in response to LED light treatments. Accordingly, we distinguish between morphological plasticity (growth and anatomical traits) and mineral plasticity (variation in elemental composition), rather than treating plasticity as a single integrated response. These findings are consistent with previous reports demonstrating greater morphological plasticity in </w:t>
      </w:r>
      <w:r w:rsidRPr="001C35D8">
        <w:rPr>
          <w:rFonts w:ascii="Times New Roman" w:hAnsi="Times New Roman" w:cs="Times New Roman"/>
          <w:bCs/>
          <w:i/>
          <w:iCs/>
          <w:sz w:val="20"/>
          <w:szCs w:val="20"/>
          <w:highlight w:val="yellow"/>
          <w:lang w:val="en-US"/>
        </w:rPr>
        <w:t>S. undatus</w:t>
      </w:r>
      <w:r w:rsidRPr="001C35D8">
        <w:rPr>
          <w:rFonts w:ascii="Times New Roman" w:hAnsi="Times New Roman" w:cs="Times New Roman"/>
          <w:bCs/>
          <w:sz w:val="20"/>
          <w:szCs w:val="20"/>
          <w:highlight w:val="yellow"/>
          <w:lang w:val="en-US"/>
        </w:rPr>
        <w:t xml:space="preserve"> under controlled environmental conditions (Cavallaro et al., 2022) and support the need to optimize LED lighting according to species-specific requirements during pitaya micropropagation (De Vasconcelos Dias et al., 2025). Under the experimental conditions of the present study, red and purple LED treatments were associated with greater vegetative development in </w:t>
      </w:r>
      <w:r w:rsidRPr="001C35D8">
        <w:rPr>
          <w:rFonts w:ascii="Times New Roman" w:hAnsi="Times New Roman" w:cs="Times New Roman"/>
          <w:bCs/>
          <w:i/>
          <w:iCs/>
          <w:sz w:val="20"/>
          <w:szCs w:val="20"/>
          <w:highlight w:val="yellow"/>
          <w:lang w:val="en-US"/>
        </w:rPr>
        <w:t>S. undatus</w:t>
      </w:r>
      <w:r w:rsidRPr="001C35D8">
        <w:rPr>
          <w:rFonts w:ascii="Times New Roman" w:hAnsi="Times New Roman" w:cs="Times New Roman"/>
          <w:bCs/>
          <w:sz w:val="20"/>
          <w:szCs w:val="20"/>
          <w:highlight w:val="yellow"/>
          <w:lang w:val="en-US"/>
        </w:rPr>
        <w:t xml:space="preserve">. Previous studies have suggested that red and blue wavelengths may influence plant growth through photoreceptor-related processes (Huang et al., 2022; Yun et al., 2023); however, since these processes were not directly investigated, they are considered here only as possible explanations for the observed responses. In contrast, </w:t>
      </w:r>
      <w:r w:rsidRPr="001C35D8">
        <w:rPr>
          <w:rFonts w:ascii="Times New Roman" w:hAnsi="Times New Roman" w:cs="Times New Roman"/>
          <w:bCs/>
          <w:i/>
          <w:iCs/>
          <w:sz w:val="20"/>
          <w:szCs w:val="20"/>
          <w:highlight w:val="yellow"/>
          <w:lang w:val="en-US"/>
        </w:rPr>
        <w:t xml:space="preserve">H. </w:t>
      </w:r>
      <w:proofErr w:type="spellStart"/>
      <w:r w:rsidRPr="001C35D8">
        <w:rPr>
          <w:rFonts w:ascii="Times New Roman" w:hAnsi="Times New Roman" w:cs="Times New Roman"/>
          <w:bCs/>
          <w:i/>
          <w:iCs/>
          <w:sz w:val="20"/>
          <w:szCs w:val="20"/>
          <w:highlight w:val="yellow"/>
          <w:lang w:val="en-US"/>
        </w:rPr>
        <w:t>polyrhizus</w:t>
      </w:r>
      <w:proofErr w:type="spellEnd"/>
      <w:r w:rsidRPr="001C35D8">
        <w:rPr>
          <w:rFonts w:ascii="Times New Roman" w:hAnsi="Times New Roman" w:cs="Times New Roman"/>
          <w:bCs/>
          <w:sz w:val="20"/>
          <w:szCs w:val="20"/>
          <w:highlight w:val="yellow"/>
          <w:lang w:val="en-US"/>
        </w:rPr>
        <w:t xml:space="preserve"> exhibited greater mineral plasticity, as indicated by stronger modulation of tissue mineral composition under the LED treatments. These results indicate that phenotypic plasticity is expressed at different biological levels in the two species, with </w:t>
      </w:r>
      <w:r w:rsidRPr="001C35D8">
        <w:rPr>
          <w:rFonts w:ascii="Times New Roman" w:hAnsi="Times New Roman" w:cs="Times New Roman"/>
          <w:bCs/>
          <w:i/>
          <w:iCs/>
          <w:sz w:val="20"/>
          <w:szCs w:val="20"/>
          <w:highlight w:val="yellow"/>
          <w:lang w:val="en-US"/>
        </w:rPr>
        <w:t>S. undatus</w:t>
      </w:r>
      <w:r w:rsidRPr="001C35D8">
        <w:rPr>
          <w:rFonts w:ascii="Times New Roman" w:hAnsi="Times New Roman" w:cs="Times New Roman"/>
          <w:bCs/>
          <w:sz w:val="20"/>
          <w:szCs w:val="20"/>
          <w:highlight w:val="yellow"/>
          <w:lang w:val="en-US"/>
        </w:rPr>
        <w:t xml:space="preserve"> showing stronger morphological responsiveness and </w:t>
      </w:r>
      <w:r w:rsidRPr="001C35D8">
        <w:rPr>
          <w:rFonts w:ascii="Times New Roman" w:hAnsi="Times New Roman" w:cs="Times New Roman"/>
          <w:bCs/>
          <w:i/>
          <w:iCs/>
          <w:sz w:val="20"/>
          <w:szCs w:val="20"/>
          <w:highlight w:val="yellow"/>
          <w:lang w:val="en-US"/>
        </w:rPr>
        <w:t xml:space="preserve">H. </w:t>
      </w:r>
      <w:proofErr w:type="spellStart"/>
      <w:r w:rsidRPr="001C35D8">
        <w:rPr>
          <w:rFonts w:ascii="Times New Roman" w:hAnsi="Times New Roman" w:cs="Times New Roman"/>
          <w:bCs/>
          <w:i/>
          <w:iCs/>
          <w:sz w:val="20"/>
          <w:szCs w:val="20"/>
          <w:highlight w:val="yellow"/>
          <w:lang w:val="en-US"/>
        </w:rPr>
        <w:t>polyrhizus</w:t>
      </w:r>
      <w:proofErr w:type="spellEnd"/>
      <w:r w:rsidRPr="001C35D8">
        <w:rPr>
          <w:rFonts w:ascii="Times New Roman" w:hAnsi="Times New Roman" w:cs="Times New Roman"/>
          <w:bCs/>
          <w:sz w:val="20"/>
          <w:szCs w:val="20"/>
          <w:highlight w:val="yellow"/>
          <w:lang w:val="en-US"/>
        </w:rPr>
        <w:t xml:space="preserve"> showing stronger variation in mineral composition.</w:t>
      </w:r>
    </w:p>
    <w:p w14:paraId="79B338D9" w14:textId="666FF7EC" w:rsidR="00073978" w:rsidRPr="00073978" w:rsidRDefault="00073978" w:rsidP="00073978">
      <w:pPr>
        <w:spacing w:after="0" w:line="360" w:lineRule="auto"/>
        <w:ind w:firstLine="709"/>
        <w:jc w:val="both"/>
        <w:rPr>
          <w:rFonts w:ascii="Times New Roman" w:hAnsi="Times New Roman" w:cs="Times New Roman"/>
          <w:bCs/>
          <w:sz w:val="20"/>
          <w:szCs w:val="20"/>
          <w:highlight w:val="yellow"/>
          <w:lang w:val="en-US"/>
        </w:rPr>
      </w:pPr>
      <w:r w:rsidRPr="00073978">
        <w:rPr>
          <w:rFonts w:ascii="Times New Roman" w:hAnsi="Times New Roman" w:cs="Times New Roman"/>
          <w:bCs/>
          <w:sz w:val="20"/>
          <w:szCs w:val="20"/>
          <w:highlight w:val="yellow"/>
          <w:lang w:val="en-US"/>
        </w:rPr>
        <w:t xml:space="preserve">Greater biomass accumulation in </w:t>
      </w:r>
      <w:r w:rsidRPr="00073978">
        <w:rPr>
          <w:rFonts w:ascii="Times New Roman" w:hAnsi="Times New Roman" w:cs="Times New Roman"/>
          <w:bCs/>
          <w:i/>
          <w:iCs/>
          <w:sz w:val="20"/>
          <w:szCs w:val="20"/>
          <w:highlight w:val="yellow"/>
          <w:lang w:val="en-US"/>
        </w:rPr>
        <w:t>S. undatus</w:t>
      </w:r>
      <w:r w:rsidRPr="00073978">
        <w:rPr>
          <w:rFonts w:ascii="Times New Roman" w:hAnsi="Times New Roman" w:cs="Times New Roman"/>
          <w:bCs/>
          <w:sz w:val="20"/>
          <w:szCs w:val="20"/>
          <w:highlight w:val="yellow"/>
          <w:lang w:val="en-US"/>
        </w:rPr>
        <w:t xml:space="preserve"> indicates higher vegetative growth performance under the evaluated </w:t>
      </w:r>
      <w:r w:rsidRPr="002C1391">
        <w:rPr>
          <w:rFonts w:ascii="Times New Roman" w:hAnsi="Times New Roman" w:cs="Times New Roman"/>
          <w:bCs/>
          <w:i/>
          <w:iCs/>
          <w:sz w:val="20"/>
          <w:szCs w:val="20"/>
          <w:highlight w:val="yellow"/>
          <w:lang w:val="en-US"/>
        </w:rPr>
        <w:t>in vitro</w:t>
      </w:r>
      <w:r w:rsidRPr="00073978">
        <w:rPr>
          <w:rFonts w:ascii="Times New Roman" w:hAnsi="Times New Roman" w:cs="Times New Roman"/>
          <w:bCs/>
          <w:sz w:val="20"/>
          <w:szCs w:val="20"/>
          <w:highlight w:val="yellow"/>
          <w:lang w:val="en-US"/>
        </w:rPr>
        <w:t xml:space="preserve"> conditions. Although </w:t>
      </w:r>
      <w:r w:rsidRPr="00073978">
        <w:rPr>
          <w:rFonts w:ascii="Times New Roman" w:hAnsi="Times New Roman" w:cs="Times New Roman"/>
          <w:bCs/>
          <w:i/>
          <w:iCs/>
          <w:sz w:val="20"/>
          <w:szCs w:val="20"/>
          <w:highlight w:val="yellow"/>
          <w:lang w:val="en-US"/>
        </w:rPr>
        <w:t>S. undatus</w:t>
      </w:r>
      <w:r w:rsidRPr="00073978">
        <w:rPr>
          <w:rFonts w:ascii="Times New Roman" w:hAnsi="Times New Roman" w:cs="Times New Roman"/>
          <w:bCs/>
          <w:sz w:val="20"/>
          <w:szCs w:val="20"/>
          <w:highlight w:val="yellow"/>
          <w:lang w:val="en-US"/>
        </w:rPr>
        <w:t xml:space="preserve"> is a Crassulacean Acid Metabolism (CAM) species, CAM activity was not assessed in the present study; therefore, the results should be interpreted as differences in growth performance rather than as evidence of changes in carbon assimilation pathways. Previous studies have likewise reported that LED light quality influences biomass accumulation and morphogenesis in pitaya under controlled conditions (Nhut et al., 2003; Cavallaro et al., 2022; Shang et al., 2023).</w:t>
      </w:r>
    </w:p>
    <w:p w14:paraId="6B98E19A" w14:textId="77777777" w:rsidR="00073978" w:rsidRPr="00073978" w:rsidRDefault="00073978" w:rsidP="00073978">
      <w:pPr>
        <w:spacing w:after="0" w:line="360" w:lineRule="auto"/>
        <w:ind w:firstLine="709"/>
        <w:jc w:val="both"/>
        <w:rPr>
          <w:rFonts w:ascii="Times New Roman" w:hAnsi="Times New Roman" w:cs="Times New Roman"/>
          <w:bCs/>
          <w:sz w:val="20"/>
          <w:szCs w:val="20"/>
          <w:highlight w:val="yellow"/>
          <w:lang w:val="en-US"/>
        </w:rPr>
      </w:pPr>
      <w:r w:rsidRPr="00073978">
        <w:rPr>
          <w:rFonts w:ascii="Times New Roman" w:hAnsi="Times New Roman" w:cs="Times New Roman"/>
          <w:bCs/>
          <w:sz w:val="20"/>
          <w:szCs w:val="20"/>
          <w:highlight w:val="yellow"/>
          <w:lang w:val="en-US"/>
        </w:rPr>
        <w:t xml:space="preserve">In contrast, </w:t>
      </w:r>
      <w:r w:rsidRPr="00073978">
        <w:rPr>
          <w:rFonts w:ascii="Times New Roman" w:hAnsi="Times New Roman" w:cs="Times New Roman"/>
          <w:bCs/>
          <w:i/>
          <w:iCs/>
          <w:sz w:val="20"/>
          <w:szCs w:val="20"/>
          <w:highlight w:val="yellow"/>
          <w:lang w:val="en-US"/>
        </w:rPr>
        <w:t xml:space="preserve">Hylocereus </w:t>
      </w:r>
      <w:proofErr w:type="spellStart"/>
      <w:r w:rsidRPr="00073978">
        <w:rPr>
          <w:rFonts w:ascii="Times New Roman" w:hAnsi="Times New Roman" w:cs="Times New Roman"/>
          <w:bCs/>
          <w:i/>
          <w:iCs/>
          <w:sz w:val="20"/>
          <w:szCs w:val="20"/>
          <w:highlight w:val="yellow"/>
          <w:lang w:val="en-US"/>
        </w:rPr>
        <w:t>polyrhizus</w:t>
      </w:r>
      <w:proofErr w:type="spellEnd"/>
      <w:r w:rsidRPr="00073978">
        <w:rPr>
          <w:rFonts w:ascii="Times New Roman" w:hAnsi="Times New Roman" w:cs="Times New Roman"/>
          <w:bCs/>
          <w:sz w:val="20"/>
          <w:szCs w:val="20"/>
          <w:highlight w:val="yellow"/>
          <w:lang w:val="en-US"/>
        </w:rPr>
        <w:t xml:space="preserve"> exhibited lower overall biometric performance, with the greatest growth observed under white light, suggesting that broader-spectrum illumination may provide more favorable conditions for its development under the experimental conditions. The reduced growth observed under red light indicates species-specific differences in </w:t>
      </w:r>
      <w:r w:rsidRPr="005F6010">
        <w:rPr>
          <w:rFonts w:ascii="Times New Roman" w:hAnsi="Times New Roman" w:cs="Times New Roman"/>
          <w:bCs/>
          <w:sz w:val="20"/>
          <w:szCs w:val="20"/>
          <w:highlight w:val="yellow"/>
          <w:lang w:val="en-US"/>
        </w:rPr>
        <w:t xml:space="preserve">responses to LED treatments, reflecting </w:t>
      </w:r>
      <w:r w:rsidRPr="00073978">
        <w:rPr>
          <w:rFonts w:ascii="Times New Roman" w:hAnsi="Times New Roman" w:cs="Times New Roman"/>
          <w:bCs/>
          <w:sz w:val="20"/>
          <w:szCs w:val="20"/>
          <w:highlight w:val="yellow"/>
          <w:lang w:val="en-US"/>
        </w:rPr>
        <w:t xml:space="preserve">distinct growth patterns among pitaya species during </w:t>
      </w:r>
      <w:r w:rsidRPr="00073978">
        <w:rPr>
          <w:rFonts w:ascii="Times New Roman" w:hAnsi="Times New Roman" w:cs="Times New Roman"/>
          <w:bCs/>
          <w:i/>
          <w:iCs/>
          <w:sz w:val="20"/>
          <w:szCs w:val="20"/>
          <w:highlight w:val="yellow"/>
          <w:lang w:val="en-US"/>
        </w:rPr>
        <w:t>in vitro</w:t>
      </w:r>
      <w:r w:rsidRPr="00073978">
        <w:rPr>
          <w:rFonts w:ascii="Times New Roman" w:hAnsi="Times New Roman" w:cs="Times New Roman"/>
          <w:bCs/>
          <w:sz w:val="20"/>
          <w:szCs w:val="20"/>
          <w:highlight w:val="yellow"/>
          <w:lang w:val="en-US"/>
        </w:rPr>
        <w:t xml:space="preserve"> culture (</w:t>
      </w:r>
      <w:proofErr w:type="spellStart"/>
      <w:r w:rsidRPr="00073978">
        <w:rPr>
          <w:rFonts w:ascii="Times New Roman" w:hAnsi="Times New Roman" w:cs="Times New Roman"/>
          <w:bCs/>
          <w:sz w:val="20"/>
          <w:szCs w:val="20"/>
          <w:highlight w:val="yellow"/>
          <w:lang w:val="en-US"/>
        </w:rPr>
        <w:t>Sarropoulou</w:t>
      </w:r>
      <w:proofErr w:type="spellEnd"/>
      <w:r w:rsidRPr="00073978">
        <w:rPr>
          <w:rFonts w:ascii="Times New Roman" w:hAnsi="Times New Roman" w:cs="Times New Roman"/>
          <w:bCs/>
          <w:sz w:val="20"/>
          <w:szCs w:val="20"/>
          <w:highlight w:val="yellow"/>
          <w:lang w:val="en-US"/>
        </w:rPr>
        <w:t xml:space="preserve"> et al., 2023; Cossa et al., 2024; Kim et al., 2025).</w:t>
      </w:r>
    </w:p>
    <w:p w14:paraId="6313CC0D" w14:textId="77777777" w:rsidR="00073978" w:rsidRPr="00073978" w:rsidRDefault="00073978" w:rsidP="00073978">
      <w:pPr>
        <w:spacing w:after="0" w:line="360" w:lineRule="auto"/>
        <w:ind w:firstLine="709"/>
        <w:jc w:val="both"/>
        <w:rPr>
          <w:rFonts w:ascii="Times New Roman" w:hAnsi="Times New Roman" w:cs="Times New Roman"/>
          <w:bCs/>
          <w:sz w:val="20"/>
          <w:szCs w:val="20"/>
          <w:highlight w:val="yellow"/>
          <w:lang w:val="en-US"/>
        </w:rPr>
      </w:pPr>
      <w:r w:rsidRPr="00073978">
        <w:rPr>
          <w:rFonts w:ascii="Times New Roman" w:hAnsi="Times New Roman" w:cs="Times New Roman"/>
          <w:bCs/>
          <w:sz w:val="20"/>
          <w:szCs w:val="20"/>
          <w:highlight w:val="yellow"/>
          <w:lang w:val="en-US"/>
        </w:rPr>
        <w:t>Because slight differences in estimated PPFD among LED treatments could not be completely eliminated, the observed responses likely reflect the combined influence of spectral composition and photon flux density.</w:t>
      </w:r>
    </w:p>
    <w:p w14:paraId="3312AEE7" w14:textId="77777777" w:rsidR="003D62A8" w:rsidRPr="00772E37" w:rsidRDefault="003D62A8" w:rsidP="003A10A7">
      <w:pPr>
        <w:spacing w:after="0" w:line="360" w:lineRule="auto"/>
        <w:ind w:firstLine="709"/>
        <w:jc w:val="both"/>
        <w:rPr>
          <w:rFonts w:ascii="Times New Roman" w:hAnsi="Times New Roman" w:cs="Times New Roman"/>
          <w:bCs/>
          <w:sz w:val="20"/>
          <w:szCs w:val="20"/>
          <w:lang w:val="en-US"/>
        </w:rPr>
      </w:pPr>
    </w:p>
    <w:p w14:paraId="4D75B227" w14:textId="77777777" w:rsidR="003A10A7" w:rsidRPr="001A3A0D" w:rsidRDefault="003A10A7" w:rsidP="003A10A7">
      <w:pPr>
        <w:spacing w:line="360" w:lineRule="auto"/>
        <w:ind w:firstLine="709"/>
        <w:jc w:val="both"/>
        <w:rPr>
          <w:rFonts w:ascii="Times New Roman" w:hAnsi="Times New Roman" w:cs="Times New Roman"/>
          <w:bCs/>
          <w:sz w:val="20"/>
          <w:szCs w:val="20"/>
          <w:lang w:val="en-US"/>
        </w:rPr>
      </w:pPr>
      <w:r w:rsidRPr="001A3A0D">
        <w:rPr>
          <w:rFonts w:ascii="Times New Roman" w:hAnsi="Times New Roman" w:cs="Times New Roman"/>
          <w:bCs/>
          <w:sz w:val="20"/>
          <w:szCs w:val="20"/>
          <w:lang w:val="en-US"/>
        </w:rPr>
        <w:lastRenderedPageBreak/>
        <w:t xml:space="preserve">Photosynthetic pigment contents varied between the pitaya species </w:t>
      </w:r>
      <w:r w:rsidRPr="001A3A0D">
        <w:rPr>
          <w:rFonts w:ascii="Times New Roman" w:hAnsi="Times New Roman" w:cs="Times New Roman"/>
          <w:bCs/>
          <w:i/>
          <w:iCs/>
          <w:sz w:val="20"/>
          <w:szCs w:val="20"/>
          <w:lang w:val="en-US"/>
        </w:rPr>
        <w:t>S. undatus</w:t>
      </w:r>
      <w:r w:rsidRPr="001A3A0D">
        <w:rPr>
          <w:rFonts w:ascii="Times New Roman" w:hAnsi="Times New Roman" w:cs="Times New Roman"/>
          <w:bCs/>
          <w:sz w:val="20"/>
          <w:szCs w:val="20"/>
          <w:lang w:val="en-US"/>
        </w:rPr>
        <w:t xml:space="preserve"> and </w:t>
      </w:r>
      <w:r w:rsidRPr="001A3A0D">
        <w:rPr>
          <w:rFonts w:ascii="Times New Roman" w:hAnsi="Times New Roman" w:cs="Times New Roman"/>
          <w:bCs/>
          <w:i/>
          <w:iCs/>
          <w:sz w:val="20"/>
          <w:szCs w:val="20"/>
          <w:lang w:val="en-US"/>
        </w:rPr>
        <w:t xml:space="preserve">H. </w:t>
      </w:r>
      <w:proofErr w:type="spellStart"/>
      <w:r w:rsidRPr="001A3A0D">
        <w:rPr>
          <w:rFonts w:ascii="Times New Roman" w:hAnsi="Times New Roman" w:cs="Times New Roman"/>
          <w:bCs/>
          <w:i/>
          <w:iCs/>
          <w:sz w:val="20"/>
          <w:szCs w:val="20"/>
          <w:lang w:val="en-US"/>
        </w:rPr>
        <w:t>polyrhizus</w:t>
      </w:r>
      <w:proofErr w:type="spellEnd"/>
      <w:r w:rsidRPr="001A3A0D">
        <w:rPr>
          <w:rFonts w:ascii="Times New Roman" w:hAnsi="Times New Roman" w:cs="Times New Roman"/>
          <w:bCs/>
          <w:sz w:val="20"/>
          <w:szCs w:val="20"/>
          <w:lang w:val="en-US"/>
        </w:rPr>
        <w:t xml:space="preserve">, as well as in response to light quality during </w:t>
      </w:r>
      <w:r w:rsidRPr="001A3A0D">
        <w:rPr>
          <w:rFonts w:ascii="Times New Roman" w:hAnsi="Times New Roman" w:cs="Times New Roman"/>
          <w:bCs/>
          <w:i/>
          <w:iCs/>
          <w:sz w:val="20"/>
          <w:szCs w:val="20"/>
          <w:lang w:val="en-US"/>
        </w:rPr>
        <w:t>in vitro</w:t>
      </w:r>
      <w:r w:rsidRPr="001A3A0D">
        <w:rPr>
          <w:rFonts w:ascii="Times New Roman" w:hAnsi="Times New Roman" w:cs="Times New Roman"/>
          <w:bCs/>
          <w:sz w:val="20"/>
          <w:szCs w:val="20"/>
          <w:lang w:val="en-US"/>
        </w:rPr>
        <w:t xml:space="preserve"> cultivation. In </w:t>
      </w:r>
      <w:r w:rsidRPr="001A3A0D">
        <w:rPr>
          <w:rFonts w:ascii="Times New Roman" w:hAnsi="Times New Roman" w:cs="Times New Roman"/>
          <w:bCs/>
          <w:i/>
          <w:iCs/>
          <w:sz w:val="20"/>
          <w:szCs w:val="20"/>
          <w:lang w:val="en-US"/>
        </w:rPr>
        <w:t>S. undatus</w:t>
      </w:r>
      <w:r w:rsidRPr="001A3A0D">
        <w:rPr>
          <w:rFonts w:ascii="Times New Roman" w:hAnsi="Times New Roman" w:cs="Times New Roman"/>
          <w:bCs/>
          <w:sz w:val="20"/>
          <w:szCs w:val="20"/>
          <w:lang w:val="en-US"/>
        </w:rPr>
        <w:t xml:space="preserve">, cladodes showed higher accumulation of chlorophyll </w:t>
      </w:r>
      <w:r w:rsidRPr="001A3A0D">
        <w:rPr>
          <w:rFonts w:ascii="Times New Roman" w:hAnsi="Times New Roman" w:cs="Times New Roman"/>
          <w:bCs/>
          <w:i/>
          <w:iCs/>
          <w:sz w:val="20"/>
          <w:szCs w:val="20"/>
          <w:lang w:val="en-US"/>
        </w:rPr>
        <w:t>a</w:t>
      </w:r>
      <w:r w:rsidRPr="001A3A0D">
        <w:rPr>
          <w:rFonts w:ascii="Times New Roman" w:hAnsi="Times New Roman" w:cs="Times New Roman"/>
          <w:bCs/>
          <w:sz w:val="20"/>
          <w:szCs w:val="20"/>
          <w:lang w:val="en-US"/>
        </w:rPr>
        <w:t xml:space="preserve"> and total chlorophyll under blue light (0.615 and 0.687 </w:t>
      </w:r>
      <w:r w:rsidRPr="001A3A0D">
        <w:rPr>
          <w:rFonts w:ascii="Times New Roman" w:hAnsi="Times New Roman" w:cs="Times New Roman"/>
          <w:bCs/>
          <w:sz w:val="20"/>
          <w:szCs w:val="20"/>
        </w:rPr>
        <w:t>μ</w:t>
      </w:r>
      <w:r w:rsidRPr="001A3A0D">
        <w:rPr>
          <w:rFonts w:ascii="Times New Roman" w:hAnsi="Times New Roman" w:cs="Times New Roman"/>
          <w:bCs/>
          <w:sz w:val="20"/>
          <w:szCs w:val="20"/>
          <w:lang w:val="en-US"/>
        </w:rPr>
        <w:t xml:space="preserve">g g⁻¹, respectively). Chlorophyll </w:t>
      </w:r>
      <w:r w:rsidRPr="001A3A0D">
        <w:rPr>
          <w:rFonts w:ascii="Times New Roman" w:hAnsi="Times New Roman" w:cs="Times New Roman"/>
          <w:bCs/>
          <w:i/>
          <w:iCs/>
          <w:sz w:val="20"/>
          <w:szCs w:val="20"/>
          <w:lang w:val="en-US"/>
        </w:rPr>
        <w:t>b</w:t>
      </w:r>
      <w:r w:rsidRPr="001A3A0D">
        <w:rPr>
          <w:rFonts w:ascii="Times New Roman" w:hAnsi="Times New Roman" w:cs="Times New Roman"/>
          <w:bCs/>
          <w:sz w:val="20"/>
          <w:szCs w:val="20"/>
          <w:lang w:val="en-US"/>
        </w:rPr>
        <w:t xml:space="preserve"> and carotenoids reached their highest levels under blue (0.452 and 0.416 </w:t>
      </w:r>
      <w:r w:rsidRPr="001A3A0D">
        <w:rPr>
          <w:rFonts w:ascii="Times New Roman" w:hAnsi="Times New Roman" w:cs="Times New Roman"/>
          <w:bCs/>
          <w:sz w:val="20"/>
          <w:szCs w:val="20"/>
        </w:rPr>
        <w:t>μ</w:t>
      </w:r>
      <w:r w:rsidRPr="001A3A0D">
        <w:rPr>
          <w:rFonts w:ascii="Times New Roman" w:hAnsi="Times New Roman" w:cs="Times New Roman"/>
          <w:bCs/>
          <w:sz w:val="20"/>
          <w:szCs w:val="20"/>
          <w:lang w:val="en-US"/>
        </w:rPr>
        <w:t xml:space="preserve">g g⁻¹, respectively), white (0.425 and 0.378 </w:t>
      </w:r>
      <w:r w:rsidRPr="001A3A0D">
        <w:rPr>
          <w:rFonts w:ascii="Times New Roman" w:hAnsi="Times New Roman" w:cs="Times New Roman"/>
          <w:bCs/>
          <w:sz w:val="20"/>
          <w:szCs w:val="20"/>
        </w:rPr>
        <w:t>μ</w:t>
      </w:r>
      <w:r w:rsidRPr="001A3A0D">
        <w:rPr>
          <w:rFonts w:ascii="Times New Roman" w:hAnsi="Times New Roman" w:cs="Times New Roman"/>
          <w:bCs/>
          <w:sz w:val="20"/>
          <w:szCs w:val="20"/>
          <w:lang w:val="en-US"/>
        </w:rPr>
        <w:t xml:space="preserve">g g⁻¹, respectively), and purple light (0.412 and 0.376 </w:t>
      </w:r>
      <w:r w:rsidRPr="001A3A0D">
        <w:rPr>
          <w:rFonts w:ascii="Times New Roman" w:hAnsi="Times New Roman" w:cs="Times New Roman"/>
          <w:bCs/>
          <w:sz w:val="20"/>
          <w:szCs w:val="20"/>
        </w:rPr>
        <w:t>μ</w:t>
      </w:r>
      <w:r w:rsidRPr="001A3A0D">
        <w:rPr>
          <w:rFonts w:ascii="Times New Roman" w:hAnsi="Times New Roman" w:cs="Times New Roman"/>
          <w:bCs/>
          <w:sz w:val="20"/>
          <w:szCs w:val="20"/>
          <w:lang w:val="en-US"/>
        </w:rPr>
        <w:t xml:space="preserve">g g⁻¹, respectively), with no significant differences among these treatments. In contrast, </w:t>
      </w:r>
      <w:r w:rsidRPr="001A3A0D">
        <w:rPr>
          <w:rFonts w:ascii="Times New Roman" w:hAnsi="Times New Roman" w:cs="Times New Roman"/>
          <w:bCs/>
          <w:i/>
          <w:iCs/>
          <w:sz w:val="20"/>
          <w:szCs w:val="20"/>
          <w:lang w:val="en-US"/>
        </w:rPr>
        <w:t xml:space="preserve">H. </w:t>
      </w:r>
      <w:proofErr w:type="spellStart"/>
      <w:r w:rsidRPr="001A3A0D">
        <w:rPr>
          <w:rFonts w:ascii="Times New Roman" w:hAnsi="Times New Roman" w:cs="Times New Roman"/>
          <w:bCs/>
          <w:i/>
          <w:iCs/>
          <w:sz w:val="20"/>
          <w:szCs w:val="20"/>
          <w:lang w:val="en-US"/>
        </w:rPr>
        <w:t>polyrhizus</w:t>
      </w:r>
      <w:proofErr w:type="spellEnd"/>
      <w:r w:rsidRPr="001A3A0D">
        <w:rPr>
          <w:rFonts w:ascii="Times New Roman" w:hAnsi="Times New Roman" w:cs="Times New Roman"/>
          <w:bCs/>
          <w:sz w:val="20"/>
          <w:szCs w:val="20"/>
          <w:lang w:val="en-US"/>
        </w:rPr>
        <w:t xml:space="preserve"> exhibited higher concentrations of photosynthetic pigments under white light, with chlorophyll </w:t>
      </w:r>
      <w:r w:rsidRPr="001A3A0D">
        <w:rPr>
          <w:rFonts w:ascii="Times New Roman" w:hAnsi="Times New Roman" w:cs="Times New Roman"/>
          <w:bCs/>
          <w:i/>
          <w:iCs/>
          <w:sz w:val="20"/>
          <w:szCs w:val="20"/>
          <w:lang w:val="en-US"/>
        </w:rPr>
        <w:t>a</w:t>
      </w:r>
      <w:r w:rsidRPr="001A3A0D">
        <w:rPr>
          <w:rFonts w:ascii="Times New Roman" w:hAnsi="Times New Roman" w:cs="Times New Roman"/>
          <w:bCs/>
          <w:sz w:val="20"/>
          <w:szCs w:val="20"/>
          <w:lang w:val="en-US"/>
        </w:rPr>
        <w:t xml:space="preserve"> at 0.709 </w:t>
      </w:r>
      <w:r w:rsidRPr="001A3A0D">
        <w:rPr>
          <w:rFonts w:ascii="Times New Roman" w:hAnsi="Times New Roman" w:cs="Times New Roman"/>
          <w:bCs/>
          <w:sz w:val="20"/>
          <w:szCs w:val="20"/>
        </w:rPr>
        <w:t>μ</w:t>
      </w:r>
      <w:r w:rsidRPr="001A3A0D">
        <w:rPr>
          <w:rFonts w:ascii="Times New Roman" w:hAnsi="Times New Roman" w:cs="Times New Roman"/>
          <w:bCs/>
          <w:sz w:val="20"/>
          <w:szCs w:val="20"/>
          <w:lang w:val="en-US"/>
        </w:rPr>
        <w:t xml:space="preserve">g g⁻¹, chlorophyll </w:t>
      </w:r>
      <w:r w:rsidRPr="001A3A0D">
        <w:rPr>
          <w:rFonts w:ascii="Times New Roman" w:hAnsi="Times New Roman" w:cs="Times New Roman"/>
          <w:bCs/>
          <w:i/>
          <w:iCs/>
          <w:sz w:val="20"/>
          <w:szCs w:val="20"/>
          <w:lang w:val="en-US"/>
        </w:rPr>
        <w:t>b</w:t>
      </w:r>
      <w:r w:rsidRPr="001A3A0D">
        <w:rPr>
          <w:rFonts w:ascii="Times New Roman" w:hAnsi="Times New Roman" w:cs="Times New Roman"/>
          <w:bCs/>
          <w:sz w:val="20"/>
          <w:szCs w:val="20"/>
          <w:lang w:val="en-US"/>
        </w:rPr>
        <w:t xml:space="preserve"> at 0.532 </w:t>
      </w:r>
      <w:r w:rsidRPr="001A3A0D">
        <w:rPr>
          <w:rFonts w:ascii="Times New Roman" w:hAnsi="Times New Roman" w:cs="Times New Roman"/>
          <w:bCs/>
          <w:sz w:val="20"/>
          <w:szCs w:val="20"/>
        </w:rPr>
        <w:t>μ</w:t>
      </w:r>
      <w:r w:rsidRPr="001A3A0D">
        <w:rPr>
          <w:rFonts w:ascii="Times New Roman" w:hAnsi="Times New Roman" w:cs="Times New Roman"/>
          <w:bCs/>
          <w:sz w:val="20"/>
          <w:szCs w:val="20"/>
          <w:lang w:val="en-US"/>
        </w:rPr>
        <w:t xml:space="preserve">g g⁻¹, total chlorophyll at 0.798 </w:t>
      </w:r>
      <w:r w:rsidRPr="001A3A0D">
        <w:rPr>
          <w:rFonts w:ascii="Times New Roman" w:hAnsi="Times New Roman" w:cs="Times New Roman"/>
          <w:bCs/>
          <w:sz w:val="20"/>
          <w:szCs w:val="20"/>
        </w:rPr>
        <w:t>μ</w:t>
      </w:r>
      <w:r w:rsidRPr="001A3A0D">
        <w:rPr>
          <w:rFonts w:ascii="Times New Roman" w:hAnsi="Times New Roman" w:cs="Times New Roman"/>
          <w:bCs/>
          <w:sz w:val="20"/>
          <w:szCs w:val="20"/>
          <w:lang w:val="en-US"/>
        </w:rPr>
        <w:t xml:space="preserve">g g⁻¹, and carotenoids at 0.488 </w:t>
      </w:r>
      <w:r w:rsidRPr="001A3A0D">
        <w:rPr>
          <w:rFonts w:ascii="Times New Roman" w:hAnsi="Times New Roman" w:cs="Times New Roman"/>
          <w:bCs/>
          <w:sz w:val="20"/>
          <w:szCs w:val="20"/>
        </w:rPr>
        <w:t>μ</w:t>
      </w:r>
      <w:r w:rsidRPr="001A3A0D">
        <w:rPr>
          <w:rFonts w:ascii="Times New Roman" w:hAnsi="Times New Roman" w:cs="Times New Roman"/>
          <w:bCs/>
          <w:sz w:val="20"/>
          <w:szCs w:val="20"/>
          <w:lang w:val="en-US"/>
        </w:rPr>
        <w:t xml:space="preserve">g g⁻¹. In both species, the lowest pigment concentrations were observed under red light; however, in </w:t>
      </w:r>
      <w:r w:rsidRPr="001A3A0D">
        <w:rPr>
          <w:rFonts w:ascii="Times New Roman" w:hAnsi="Times New Roman" w:cs="Times New Roman"/>
          <w:bCs/>
          <w:i/>
          <w:iCs/>
          <w:sz w:val="20"/>
          <w:szCs w:val="20"/>
          <w:lang w:val="en-US"/>
        </w:rPr>
        <w:t xml:space="preserve">H. </w:t>
      </w:r>
      <w:proofErr w:type="spellStart"/>
      <w:r w:rsidRPr="001A3A0D">
        <w:rPr>
          <w:rFonts w:ascii="Times New Roman" w:hAnsi="Times New Roman" w:cs="Times New Roman"/>
          <w:bCs/>
          <w:i/>
          <w:iCs/>
          <w:sz w:val="20"/>
          <w:szCs w:val="20"/>
          <w:lang w:val="en-US"/>
        </w:rPr>
        <w:t>polyrhizus</w:t>
      </w:r>
      <w:proofErr w:type="spellEnd"/>
      <w:r w:rsidRPr="001A3A0D">
        <w:rPr>
          <w:rFonts w:ascii="Times New Roman" w:hAnsi="Times New Roman" w:cs="Times New Roman"/>
          <w:bCs/>
          <w:sz w:val="20"/>
          <w:szCs w:val="20"/>
          <w:lang w:val="en-US"/>
        </w:rPr>
        <w:t xml:space="preserve">, no significant differences were detected among red, blue, and purple light for chlorophyll </w:t>
      </w:r>
      <w:r w:rsidRPr="001A3A0D">
        <w:rPr>
          <w:rFonts w:ascii="Times New Roman" w:hAnsi="Times New Roman" w:cs="Times New Roman"/>
          <w:bCs/>
          <w:i/>
          <w:iCs/>
          <w:sz w:val="20"/>
          <w:szCs w:val="20"/>
          <w:lang w:val="en-US"/>
        </w:rPr>
        <w:t>b</w:t>
      </w:r>
      <w:r w:rsidRPr="001A3A0D">
        <w:rPr>
          <w:rFonts w:ascii="Times New Roman" w:hAnsi="Times New Roman" w:cs="Times New Roman"/>
          <w:bCs/>
          <w:sz w:val="20"/>
          <w:szCs w:val="20"/>
          <w:lang w:val="en-US"/>
        </w:rPr>
        <w:t xml:space="preserve"> and total chlorophyll (Table 3). </w:t>
      </w:r>
    </w:p>
    <w:p w14:paraId="37405BC8" w14:textId="77777777" w:rsidR="003A10A7" w:rsidRPr="001A3A0D" w:rsidRDefault="003A10A7" w:rsidP="003A10A7">
      <w:pPr>
        <w:spacing w:line="360" w:lineRule="auto"/>
        <w:jc w:val="both"/>
        <w:rPr>
          <w:rFonts w:ascii="Times New Roman" w:hAnsi="Times New Roman" w:cs="Times New Roman"/>
          <w:bCs/>
          <w:sz w:val="20"/>
          <w:szCs w:val="20"/>
          <w:lang w:val="en-US"/>
        </w:rPr>
      </w:pPr>
    </w:p>
    <w:p w14:paraId="3B0DEAC9" w14:textId="26A8541A" w:rsidR="003A10A7" w:rsidRPr="00D1262A" w:rsidRDefault="003A10A7" w:rsidP="003A10A7">
      <w:pPr>
        <w:spacing w:line="360" w:lineRule="auto"/>
        <w:jc w:val="both"/>
        <w:rPr>
          <w:rFonts w:ascii="Times New Roman" w:hAnsi="Times New Roman" w:cs="Times New Roman"/>
          <w:sz w:val="20"/>
          <w:szCs w:val="20"/>
          <w:lang w:val="en-US"/>
        </w:rPr>
      </w:pPr>
      <w:r w:rsidRPr="00D1262A">
        <w:rPr>
          <w:rFonts w:ascii="Times New Roman" w:hAnsi="Times New Roman" w:cs="Times New Roman"/>
          <w:bCs/>
          <w:sz w:val="20"/>
          <w:szCs w:val="20"/>
          <w:lang w:val="en-US"/>
        </w:rPr>
        <w:t xml:space="preserve">Table 3. Photosynthetic pigment contents (PP) – chlorophyll </w:t>
      </w:r>
      <w:r w:rsidRPr="00D1262A">
        <w:rPr>
          <w:rFonts w:ascii="Times New Roman" w:hAnsi="Times New Roman" w:cs="Times New Roman"/>
          <w:bCs/>
          <w:i/>
          <w:iCs/>
          <w:sz w:val="20"/>
          <w:szCs w:val="20"/>
          <w:lang w:val="en-US"/>
        </w:rPr>
        <w:t>a</w:t>
      </w:r>
      <w:r w:rsidRPr="00D1262A">
        <w:rPr>
          <w:rFonts w:ascii="Times New Roman" w:hAnsi="Times New Roman" w:cs="Times New Roman"/>
          <w:bCs/>
          <w:sz w:val="20"/>
          <w:szCs w:val="20"/>
          <w:lang w:val="en-US"/>
        </w:rPr>
        <w:t xml:space="preserve"> (</w:t>
      </w:r>
      <w:proofErr w:type="spellStart"/>
      <w:r w:rsidRPr="00D1262A">
        <w:rPr>
          <w:rFonts w:ascii="Times New Roman" w:hAnsi="Times New Roman" w:cs="Times New Roman"/>
          <w:bCs/>
          <w:sz w:val="20"/>
          <w:szCs w:val="20"/>
          <w:lang w:val="en-US"/>
        </w:rPr>
        <w:t>Chl</w:t>
      </w:r>
      <w:proofErr w:type="spellEnd"/>
      <w:r w:rsidRPr="00D1262A">
        <w:rPr>
          <w:rFonts w:ascii="Times New Roman" w:hAnsi="Times New Roman" w:cs="Times New Roman"/>
          <w:bCs/>
          <w:sz w:val="20"/>
          <w:szCs w:val="20"/>
          <w:lang w:val="en-US"/>
        </w:rPr>
        <w:t xml:space="preserve"> a), chlorophyll </w:t>
      </w:r>
      <w:r w:rsidRPr="00D1262A">
        <w:rPr>
          <w:rFonts w:ascii="Times New Roman" w:hAnsi="Times New Roman" w:cs="Times New Roman"/>
          <w:bCs/>
          <w:i/>
          <w:iCs/>
          <w:sz w:val="20"/>
          <w:szCs w:val="20"/>
          <w:lang w:val="en-US"/>
        </w:rPr>
        <w:t>b</w:t>
      </w:r>
      <w:r w:rsidRPr="00D1262A">
        <w:rPr>
          <w:rFonts w:ascii="Times New Roman" w:hAnsi="Times New Roman" w:cs="Times New Roman"/>
          <w:bCs/>
          <w:sz w:val="20"/>
          <w:szCs w:val="20"/>
          <w:lang w:val="en-US"/>
        </w:rPr>
        <w:t xml:space="preserve"> (</w:t>
      </w:r>
      <w:proofErr w:type="spellStart"/>
      <w:r w:rsidRPr="00D1262A">
        <w:rPr>
          <w:rFonts w:ascii="Times New Roman" w:hAnsi="Times New Roman" w:cs="Times New Roman"/>
          <w:bCs/>
          <w:sz w:val="20"/>
          <w:szCs w:val="20"/>
          <w:lang w:val="en-US"/>
        </w:rPr>
        <w:t>Chl</w:t>
      </w:r>
      <w:proofErr w:type="spellEnd"/>
      <w:r w:rsidRPr="00D1262A">
        <w:rPr>
          <w:rFonts w:ascii="Times New Roman" w:hAnsi="Times New Roman" w:cs="Times New Roman"/>
          <w:bCs/>
          <w:sz w:val="20"/>
          <w:szCs w:val="20"/>
          <w:lang w:val="en-US"/>
        </w:rPr>
        <w:t xml:space="preserve"> b), total chlorophylls (</w:t>
      </w:r>
      <w:proofErr w:type="spellStart"/>
      <w:r w:rsidRPr="00D1262A">
        <w:rPr>
          <w:rFonts w:ascii="Times New Roman" w:hAnsi="Times New Roman" w:cs="Times New Roman"/>
          <w:bCs/>
          <w:sz w:val="20"/>
          <w:szCs w:val="20"/>
          <w:lang w:val="en-US"/>
        </w:rPr>
        <w:t>Chl</w:t>
      </w:r>
      <w:proofErr w:type="spellEnd"/>
      <w:r w:rsidRPr="00D1262A">
        <w:rPr>
          <w:rFonts w:ascii="Times New Roman" w:hAnsi="Times New Roman" w:cs="Times New Roman"/>
          <w:bCs/>
          <w:sz w:val="20"/>
          <w:szCs w:val="20"/>
          <w:lang w:val="en-US"/>
        </w:rPr>
        <w:t xml:space="preserve"> </w:t>
      </w:r>
      <w:proofErr w:type="spellStart"/>
      <w:r w:rsidRPr="00D1262A">
        <w:rPr>
          <w:rFonts w:ascii="Times New Roman" w:hAnsi="Times New Roman" w:cs="Times New Roman"/>
          <w:bCs/>
          <w:sz w:val="20"/>
          <w:szCs w:val="20"/>
          <w:lang w:val="en-US"/>
        </w:rPr>
        <w:t>a+b</w:t>
      </w:r>
      <w:proofErr w:type="spellEnd"/>
      <w:r w:rsidRPr="00D1262A">
        <w:rPr>
          <w:rFonts w:ascii="Times New Roman" w:hAnsi="Times New Roman" w:cs="Times New Roman"/>
          <w:bCs/>
          <w:sz w:val="20"/>
          <w:szCs w:val="20"/>
          <w:lang w:val="en-US"/>
        </w:rPr>
        <w:t xml:space="preserve">), and carotenoids (Car), in </w:t>
      </w:r>
      <w:r w:rsidRPr="00D1262A">
        <w:rPr>
          <w:rFonts w:ascii="Times New Roman" w:hAnsi="Times New Roman" w:cs="Times New Roman"/>
          <w:bCs/>
          <w:sz w:val="20"/>
          <w:szCs w:val="20"/>
        </w:rPr>
        <w:t>μ</w:t>
      </w:r>
      <w:r w:rsidRPr="00D1262A">
        <w:rPr>
          <w:rFonts w:ascii="Times New Roman" w:hAnsi="Times New Roman" w:cs="Times New Roman"/>
          <w:bCs/>
          <w:sz w:val="20"/>
          <w:szCs w:val="20"/>
          <w:lang w:val="en-US"/>
        </w:rPr>
        <w:t xml:space="preserve">g g⁻¹ of fresh mass of cladodes from pitaya species </w:t>
      </w:r>
      <w:r w:rsidRPr="00D1262A">
        <w:rPr>
          <w:rFonts w:ascii="Times New Roman" w:hAnsi="Times New Roman" w:cs="Times New Roman"/>
          <w:bCs/>
          <w:i/>
          <w:iCs/>
          <w:sz w:val="20"/>
          <w:szCs w:val="20"/>
          <w:lang w:val="en-US"/>
        </w:rPr>
        <w:t>Selenicereus undatus</w:t>
      </w:r>
      <w:r w:rsidRPr="00D1262A">
        <w:rPr>
          <w:rFonts w:ascii="Times New Roman" w:hAnsi="Times New Roman" w:cs="Times New Roman"/>
          <w:bCs/>
          <w:sz w:val="20"/>
          <w:szCs w:val="20"/>
          <w:lang w:val="en-US"/>
        </w:rPr>
        <w:t xml:space="preserve"> (Haw.) D.R.</w:t>
      </w:r>
      <w:r w:rsidR="006F5A07">
        <w:rPr>
          <w:rFonts w:ascii="Times New Roman" w:hAnsi="Times New Roman" w:cs="Times New Roman"/>
          <w:bCs/>
          <w:sz w:val="20"/>
          <w:szCs w:val="20"/>
          <w:lang w:val="en-US"/>
        </w:rPr>
        <w:t xml:space="preserve"> </w:t>
      </w:r>
      <w:r w:rsidRPr="00D1262A">
        <w:rPr>
          <w:rFonts w:ascii="Times New Roman" w:hAnsi="Times New Roman" w:cs="Times New Roman"/>
          <w:bCs/>
          <w:sz w:val="20"/>
          <w:szCs w:val="20"/>
          <w:lang w:val="en-US"/>
        </w:rPr>
        <w:t xml:space="preserve">Hunt and </w:t>
      </w:r>
      <w:r w:rsidRPr="00D1262A">
        <w:rPr>
          <w:rFonts w:ascii="Times New Roman" w:hAnsi="Times New Roman" w:cs="Times New Roman"/>
          <w:bCs/>
          <w:i/>
          <w:iCs/>
          <w:sz w:val="20"/>
          <w:szCs w:val="20"/>
          <w:lang w:val="en-US"/>
        </w:rPr>
        <w:t xml:space="preserve">Hylocereus </w:t>
      </w:r>
      <w:proofErr w:type="spellStart"/>
      <w:r w:rsidRPr="00D1262A">
        <w:rPr>
          <w:rFonts w:ascii="Times New Roman" w:hAnsi="Times New Roman" w:cs="Times New Roman"/>
          <w:bCs/>
          <w:i/>
          <w:iCs/>
          <w:sz w:val="20"/>
          <w:szCs w:val="20"/>
          <w:lang w:val="en-US"/>
        </w:rPr>
        <w:t>polyrhizus</w:t>
      </w:r>
      <w:proofErr w:type="spellEnd"/>
      <w:r w:rsidRPr="00D1262A">
        <w:rPr>
          <w:rFonts w:ascii="Times New Roman" w:hAnsi="Times New Roman" w:cs="Times New Roman"/>
          <w:bCs/>
          <w:sz w:val="20"/>
          <w:szCs w:val="20"/>
          <w:lang w:val="en-US"/>
        </w:rPr>
        <w:t xml:space="preserve"> (Salm-Dyck) R.</w:t>
      </w:r>
      <w:r w:rsidR="006F5A07">
        <w:rPr>
          <w:rFonts w:ascii="Times New Roman" w:hAnsi="Times New Roman" w:cs="Times New Roman"/>
          <w:bCs/>
          <w:sz w:val="20"/>
          <w:szCs w:val="20"/>
          <w:lang w:val="en-US"/>
        </w:rPr>
        <w:t xml:space="preserve"> </w:t>
      </w:r>
      <w:r w:rsidRPr="00D1262A">
        <w:rPr>
          <w:rFonts w:ascii="Times New Roman" w:hAnsi="Times New Roman" w:cs="Times New Roman"/>
          <w:bCs/>
          <w:sz w:val="20"/>
          <w:szCs w:val="20"/>
          <w:lang w:val="en-US"/>
        </w:rPr>
        <w:t xml:space="preserve">Bauer after 65 days of </w:t>
      </w:r>
      <w:r w:rsidRPr="00D1262A">
        <w:rPr>
          <w:rFonts w:ascii="Times New Roman" w:hAnsi="Times New Roman" w:cs="Times New Roman"/>
          <w:bCs/>
          <w:i/>
          <w:iCs/>
          <w:sz w:val="20"/>
          <w:szCs w:val="20"/>
          <w:lang w:val="en-US"/>
        </w:rPr>
        <w:t>in vitro</w:t>
      </w:r>
      <w:r w:rsidRPr="00D1262A">
        <w:rPr>
          <w:rFonts w:ascii="Times New Roman" w:hAnsi="Times New Roman" w:cs="Times New Roman"/>
          <w:bCs/>
          <w:sz w:val="20"/>
          <w:szCs w:val="20"/>
          <w:lang w:val="en-US"/>
        </w:rPr>
        <w:t xml:space="preserve"> cultivation under different light qualities (LQ) [White (WL); Blue (BL); Purple (PL); Red (RL)].</w:t>
      </w:r>
      <w:r w:rsidRPr="00D1262A">
        <w:rPr>
          <w:rFonts w:ascii="Times New Roman" w:hAnsi="Times New Roman" w:cs="Times New Roman"/>
          <w:sz w:val="20"/>
          <w:szCs w:val="20"/>
          <w:lang w:val="en-US"/>
        </w:rPr>
        <w:t xml:space="preserve">  </w:t>
      </w:r>
    </w:p>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993"/>
        <w:gridCol w:w="1559"/>
        <w:gridCol w:w="1417"/>
        <w:gridCol w:w="1418"/>
        <w:gridCol w:w="1417"/>
        <w:gridCol w:w="1418"/>
        <w:gridCol w:w="709"/>
      </w:tblGrid>
      <w:tr w:rsidR="003A10A7" w:rsidRPr="00D1262A" w14:paraId="306D50F4" w14:textId="77777777" w:rsidTr="00087E54">
        <w:trPr>
          <w:trHeight w:val="70"/>
        </w:trPr>
        <w:tc>
          <w:tcPr>
            <w:tcW w:w="993" w:type="dxa"/>
            <w:tcBorders>
              <w:top w:val="single" w:sz="4" w:space="0" w:color="auto"/>
            </w:tcBorders>
          </w:tcPr>
          <w:p w14:paraId="1FF506C6"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PP</w:t>
            </w:r>
          </w:p>
        </w:tc>
        <w:tc>
          <w:tcPr>
            <w:tcW w:w="1559" w:type="dxa"/>
            <w:vMerge w:val="restart"/>
            <w:tcBorders>
              <w:top w:val="single" w:sz="4" w:space="0" w:color="auto"/>
            </w:tcBorders>
          </w:tcPr>
          <w:p w14:paraId="1611A709" w14:textId="77777777" w:rsidR="003A10A7" w:rsidRPr="00D1262A" w:rsidRDefault="003A10A7" w:rsidP="00087E54">
            <w:pPr>
              <w:spacing w:line="360" w:lineRule="auto"/>
              <w:jc w:val="both"/>
              <w:rPr>
                <w:rFonts w:ascii="Times New Roman" w:hAnsi="Times New Roman" w:cs="Times New Roman"/>
                <w:sz w:val="20"/>
                <w:szCs w:val="20"/>
              </w:rPr>
            </w:pPr>
          </w:p>
          <w:p w14:paraId="3E41B439" w14:textId="77777777" w:rsidR="003A10A7" w:rsidRPr="00D1262A" w:rsidRDefault="003A10A7" w:rsidP="00087E54">
            <w:pPr>
              <w:spacing w:line="360" w:lineRule="auto"/>
              <w:jc w:val="both"/>
              <w:rPr>
                <w:rFonts w:ascii="Times New Roman" w:hAnsi="Times New Roman" w:cs="Times New Roman"/>
                <w:sz w:val="20"/>
                <w:szCs w:val="20"/>
              </w:rPr>
            </w:pPr>
            <w:proofErr w:type="spellStart"/>
            <w:proofErr w:type="gramStart"/>
            <w:r w:rsidRPr="00D1262A">
              <w:rPr>
                <w:rFonts w:ascii="Times New Roman" w:hAnsi="Times New Roman" w:cs="Times New Roman"/>
                <w:sz w:val="20"/>
                <w:szCs w:val="20"/>
              </w:rPr>
              <w:t>spp</w:t>
            </w:r>
            <w:proofErr w:type="spellEnd"/>
            <w:proofErr w:type="gramEnd"/>
            <w:r w:rsidRPr="00D1262A">
              <w:rPr>
                <w:rFonts w:ascii="Times New Roman" w:hAnsi="Times New Roman" w:cs="Times New Roman"/>
                <w:sz w:val="20"/>
                <w:szCs w:val="20"/>
              </w:rPr>
              <w:t>.</w:t>
            </w:r>
          </w:p>
        </w:tc>
        <w:tc>
          <w:tcPr>
            <w:tcW w:w="5670" w:type="dxa"/>
            <w:gridSpan w:val="4"/>
            <w:tcBorders>
              <w:top w:val="single" w:sz="4" w:space="0" w:color="auto"/>
            </w:tcBorders>
          </w:tcPr>
          <w:p w14:paraId="79ABD222" w14:textId="77777777" w:rsidR="003A10A7" w:rsidRPr="00D1262A" w:rsidRDefault="003A10A7" w:rsidP="00087E54">
            <w:pPr>
              <w:spacing w:line="360" w:lineRule="auto"/>
              <w:jc w:val="center"/>
              <w:rPr>
                <w:rFonts w:ascii="Times New Roman" w:hAnsi="Times New Roman" w:cs="Times New Roman"/>
                <w:sz w:val="20"/>
                <w:szCs w:val="20"/>
              </w:rPr>
            </w:pPr>
            <w:r w:rsidRPr="00D1262A">
              <w:rPr>
                <w:rFonts w:ascii="Times New Roman" w:hAnsi="Times New Roman" w:cs="Times New Roman"/>
                <w:sz w:val="20"/>
                <w:szCs w:val="20"/>
              </w:rPr>
              <w:t>LQ</w:t>
            </w:r>
          </w:p>
        </w:tc>
        <w:tc>
          <w:tcPr>
            <w:tcW w:w="709" w:type="dxa"/>
            <w:vMerge w:val="restart"/>
            <w:tcBorders>
              <w:top w:val="single" w:sz="4" w:space="0" w:color="auto"/>
            </w:tcBorders>
          </w:tcPr>
          <w:p w14:paraId="4FA963FA"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C.V.</w:t>
            </w:r>
          </w:p>
        </w:tc>
      </w:tr>
      <w:tr w:rsidR="003A10A7" w:rsidRPr="00D1262A" w14:paraId="7BA8696F" w14:textId="77777777" w:rsidTr="00087E54">
        <w:tc>
          <w:tcPr>
            <w:tcW w:w="993" w:type="dxa"/>
            <w:tcBorders>
              <w:bottom w:val="single" w:sz="4" w:space="0" w:color="auto"/>
            </w:tcBorders>
          </w:tcPr>
          <w:p w14:paraId="6CC76007" w14:textId="77777777" w:rsidR="003A10A7" w:rsidRPr="00D1262A" w:rsidRDefault="003A10A7" w:rsidP="00087E54">
            <w:pPr>
              <w:spacing w:line="360" w:lineRule="auto"/>
              <w:jc w:val="both"/>
              <w:rPr>
                <w:rFonts w:ascii="Times New Roman" w:hAnsi="Times New Roman" w:cs="Times New Roman"/>
                <w:sz w:val="20"/>
                <w:szCs w:val="20"/>
              </w:rPr>
            </w:pPr>
          </w:p>
        </w:tc>
        <w:tc>
          <w:tcPr>
            <w:tcW w:w="1559" w:type="dxa"/>
            <w:vMerge/>
            <w:tcBorders>
              <w:bottom w:val="single" w:sz="4" w:space="0" w:color="auto"/>
            </w:tcBorders>
          </w:tcPr>
          <w:p w14:paraId="37BBE002" w14:textId="77777777" w:rsidR="003A10A7" w:rsidRPr="00D1262A" w:rsidRDefault="003A10A7" w:rsidP="00087E54">
            <w:pPr>
              <w:spacing w:line="360" w:lineRule="auto"/>
              <w:jc w:val="both"/>
              <w:rPr>
                <w:rFonts w:ascii="Times New Roman" w:hAnsi="Times New Roman" w:cs="Times New Roman"/>
                <w:sz w:val="20"/>
                <w:szCs w:val="20"/>
              </w:rPr>
            </w:pPr>
          </w:p>
        </w:tc>
        <w:tc>
          <w:tcPr>
            <w:tcW w:w="1417" w:type="dxa"/>
            <w:tcBorders>
              <w:bottom w:val="single" w:sz="4" w:space="0" w:color="auto"/>
            </w:tcBorders>
          </w:tcPr>
          <w:p w14:paraId="3D8D831F" w14:textId="77777777" w:rsidR="003A10A7" w:rsidRPr="00D1262A" w:rsidRDefault="003A10A7" w:rsidP="00087E54">
            <w:pPr>
              <w:spacing w:line="360" w:lineRule="auto"/>
              <w:jc w:val="center"/>
              <w:rPr>
                <w:rFonts w:ascii="Times New Roman" w:hAnsi="Times New Roman" w:cs="Times New Roman"/>
                <w:sz w:val="20"/>
                <w:szCs w:val="20"/>
              </w:rPr>
            </w:pPr>
            <w:r w:rsidRPr="00D1262A">
              <w:rPr>
                <w:rFonts w:ascii="Times New Roman" w:hAnsi="Times New Roman" w:cs="Times New Roman"/>
                <w:sz w:val="20"/>
                <w:szCs w:val="20"/>
              </w:rPr>
              <w:t>WL</w:t>
            </w:r>
          </w:p>
        </w:tc>
        <w:tc>
          <w:tcPr>
            <w:tcW w:w="1418" w:type="dxa"/>
            <w:tcBorders>
              <w:bottom w:val="single" w:sz="4" w:space="0" w:color="auto"/>
            </w:tcBorders>
          </w:tcPr>
          <w:p w14:paraId="78EC004B" w14:textId="77777777" w:rsidR="003A10A7" w:rsidRPr="00D1262A" w:rsidRDefault="003A10A7" w:rsidP="00087E54">
            <w:pPr>
              <w:spacing w:line="360" w:lineRule="auto"/>
              <w:jc w:val="center"/>
              <w:rPr>
                <w:rFonts w:ascii="Times New Roman" w:hAnsi="Times New Roman" w:cs="Times New Roman"/>
                <w:sz w:val="20"/>
                <w:szCs w:val="20"/>
              </w:rPr>
            </w:pPr>
            <w:r w:rsidRPr="00D1262A">
              <w:rPr>
                <w:rFonts w:ascii="Times New Roman" w:hAnsi="Times New Roman" w:cs="Times New Roman"/>
                <w:sz w:val="20"/>
                <w:szCs w:val="20"/>
              </w:rPr>
              <w:t>BL</w:t>
            </w:r>
          </w:p>
        </w:tc>
        <w:tc>
          <w:tcPr>
            <w:tcW w:w="1417" w:type="dxa"/>
            <w:tcBorders>
              <w:bottom w:val="single" w:sz="4" w:space="0" w:color="auto"/>
            </w:tcBorders>
          </w:tcPr>
          <w:p w14:paraId="10D43AC1" w14:textId="77777777" w:rsidR="003A10A7" w:rsidRPr="00D1262A" w:rsidRDefault="003A10A7" w:rsidP="00087E54">
            <w:pPr>
              <w:spacing w:line="360" w:lineRule="auto"/>
              <w:jc w:val="center"/>
              <w:rPr>
                <w:rFonts w:ascii="Times New Roman" w:hAnsi="Times New Roman" w:cs="Times New Roman"/>
                <w:sz w:val="20"/>
                <w:szCs w:val="20"/>
              </w:rPr>
            </w:pPr>
            <w:r w:rsidRPr="00D1262A">
              <w:rPr>
                <w:rFonts w:ascii="Times New Roman" w:hAnsi="Times New Roman" w:cs="Times New Roman"/>
                <w:sz w:val="20"/>
                <w:szCs w:val="20"/>
              </w:rPr>
              <w:t>PL</w:t>
            </w:r>
          </w:p>
        </w:tc>
        <w:tc>
          <w:tcPr>
            <w:tcW w:w="1418" w:type="dxa"/>
            <w:tcBorders>
              <w:bottom w:val="single" w:sz="4" w:space="0" w:color="auto"/>
            </w:tcBorders>
          </w:tcPr>
          <w:p w14:paraId="38DEBB2E" w14:textId="77777777" w:rsidR="003A10A7" w:rsidRPr="00D1262A" w:rsidRDefault="003A10A7" w:rsidP="00087E54">
            <w:pPr>
              <w:spacing w:line="360" w:lineRule="auto"/>
              <w:jc w:val="center"/>
              <w:rPr>
                <w:rFonts w:ascii="Times New Roman" w:hAnsi="Times New Roman" w:cs="Times New Roman"/>
                <w:sz w:val="20"/>
                <w:szCs w:val="20"/>
              </w:rPr>
            </w:pPr>
            <w:r w:rsidRPr="00D1262A">
              <w:rPr>
                <w:rFonts w:ascii="Times New Roman" w:hAnsi="Times New Roman" w:cs="Times New Roman"/>
                <w:sz w:val="20"/>
                <w:szCs w:val="20"/>
              </w:rPr>
              <w:t>RL</w:t>
            </w:r>
          </w:p>
        </w:tc>
        <w:tc>
          <w:tcPr>
            <w:tcW w:w="709" w:type="dxa"/>
            <w:vMerge/>
            <w:tcBorders>
              <w:bottom w:val="single" w:sz="4" w:space="0" w:color="auto"/>
            </w:tcBorders>
          </w:tcPr>
          <w:p w14:paraId="53BFAEF9" w14:textId="77777777" w:rsidR="003A10A7" w:rsidRPr="00D1262A" w:rsidRDefault="003A10A7" w:rsidP="00087E54">
            <w:pPr>
              <w:spacing w:line="360" w:lineRule="auto"/>
              <w:jc w:val="both"/>
              <w:rPr>
                <w:rFonts w:ascii="Times New Roman" w:hAnsi="Times New Roman" w:cs="Times New Roman"/>
                <w:sz w:val="20"/>
                <w:szCs w:val="20"/>
              </w:rPr>
            </w:pPr>
          </w:p>
        </w:tc>
      </w:tr>
      <w:tr w:rsidR="003A10A7" w:rsidRPr="00D1262A" w14:paraId="0EE0F78F" w14:textId="77777777" w:rsidTr="00087E54">
        <w:tc>
          <w:tcPr>
            <w:tcW w:w="993" w:type="dxa"/>
            <w:vMerge w:val="restart"/>
            <w:tcBorders>
              <w:top w:val="single" w:sz="4" w:space="0" w:color="auto"/>
            </w:tcBorders>
          </w:tcPr>
          <w:p w14:paraId="06E1C582" w14:textId="77777777" w:rsidR="003A10A7" w:rsidRPr="00D1262A" w:rsidRDefault="003A10A7" w:rsidP="00087E54">
            <w:pPr>
              <w:spacing w:line="360" w:lineRule="auto"/>
              <w:jc w:val="both"/>
              <w:rPr>
                <w:rFonts w:ascii="Times New Roman" w:hAnsi="Times New Roman" w:cs="Times New Roman"/>
                <w:sz w:val="20"/>
                <w:szCs w:val="20"/>
              </w:rPr>
            </w:pPr>
            <w:proofErr w:type="spellStart"/>
            <w:r w:rsidRPr="00D1262A">
              <w:rPr>
                <w:rFonts w:ascii="Times New Roman" w:hAnsi="Times New Roman" w:cs="Times New Roman"/>
                <w:sz w:val="20"/>
                <w:szCs w:val="20"/>
              </w:rPr>
              <w:t>Chl</w:t>
            </w:r>
            <w:proofErr w:type="spellEnd"/>
            <w:r w:rsidRPr="00D1262A">
              <w:rPr>
                <w:rFonts w:ascii="Times New Roman" w:hAnsi="Times New Roman" w:cs="Times New Roman"/>
                <w:sz w:val="20"/>
                <w:szCs w:val="20"/>
              </w:rPr>
              <w:t xml:space="preserve"> a</w:t>
            </w:r>
          </w:p>
        </w:tc>
        <w:tc>
          <w:tcPr>
            <w:tcW w:w="1559" w:type="dxa"/>
            <w:tcBorders>
              <w:top w:val="single" w:sz="4" w:space="0" w:color="auto"/>
            </w:tcBorders>
          </w:tcPr>
          <w:p w14:paraId="1E62BB35" w14:textId="77777777" w:rsidR="003A10A7" w:rsidRPr="00D1262A" w:rsidRDefault="003A10A7" w:rsidP="00087E54">
            <w:pPr>
              <w:spacing w:line="360" w:lineRule="auto"/>
              <w:jc w:val="both"/>
              <w:rPr>
                <w:rFonts w:ascii="Times New Roman" w:hAnsi="Times New Roman" w:cs="Times New Roman"/>
                <w:i/>
                <w:iCs/>
                <w:sz w:val="20"/>
                <w:szCs w:val="20"/>
              </w:rPr>
            </w:pPr>
            <w:r w:rsidRPr="00D1262A">
              <w:rPr>
                <w:rFonts w:ascii="Times New Roman" w:hAnsi="Times New Roman" w:cs="Times New Roman"/>
                <w:i/>
                <w:iCs/>
                <w:sz w:val="20"/>
                <w:szCs w:val="20"/>
              </w:rPr>
              <w:t>S. undatus</w:t>
            </w:r>
          </w:p>
        </w:tc>
        <w:tc>
          <w:tcPr>
            <w:tcW w:w="1417" w:type="dxa"/>
            <w:tcBorders>
              <w:top w:val="single" w:sz="4" w:space="0" w:color="auto"/>
            </w:tcBorders>
          </w:tcPr>
          <w:p w14:paraId="4CB4B5D2"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0.542</w:t>
            </w:r>
            <w:r w:rsidRPr="00D1262A">
              <w:rPr>
                <w:rFonts w:ascii="Times New Roman" w:hAnsi="Times New Roman" w:cs="Times New Roman"/>
                <w:sz w:val="20"/>
                <w:szCs w:val="20"/>
                <w:vertAlign w:val="superscript"/>
              </w:rPr>
              <w:t>0.028</w:t>
            </w:r>
            <w:r w:rsidRPr="00D1262A">
              <w:rPr>
                <w:rFonts w:ascii="Times New Roman" w:hAnsi="Times New Roman" w:cs="Times New Roman"/>
                <w:sz w:val="20"/>
                <w:szCs w:val="20"/>
              </w:rPr>
              <w:t>Bb</w:t>
            </w:r>
          </w:p>
        </w:tc>
        <w:tc>
          <w:tcPr>
            <w:tcW w:w="1418" w:type="dxa"/>
            <w:tcBorders>
              <w:top w:val="single" w:sz="4" w:space="0" w:color="auto"/>
            </w:tcBorders>
          </w:tcPr>
          <w:p w14:paraId="4BB023C3"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0.615</w:t>
            </w:r>
            <w:r w:rsidRPr="00D1262A">
              <w:rPr>
                <w:rFonts w:ascii="Times New Roman" w:hAnsi="Times New Roman" w:cs="Times New Roman"/>
                <w:sz w:val="20"/>
                <w:szCs w:val="20"/>
                <w:vertAlign w:val="superscript"/>
              </w:rPr>
              <w:t>0.016</w:t>
            </w:r>
            <w:r w:rsidRPr="00D1262A">
              <w:rPr>
                <w:rFonts w:ascii="Times New Roman" w:hAnsi="Times New Roman" w:cs="Times New Roman"/>
                <w:sz w:val="20"/>
                <w:szCs w:val="20"/>
              </w:rPr>
              <w:t>Aa</w:t>
            </w:r>
          </w:p>
        </w:tc>
        <w:tc>
          <w:tcPr>
            <w:tcW w:w="1417" w:type="dxa"/>
            <w:tcBorders>
              <w:top w:val="single" w:sz="4" w:space="0" w:color="auto"/>
            </w:tcBorders>
          </w:tcPr>
          <w:p w14:paraId="3F58CDF3"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0.502</w:t>
            </w:r>
            <w:r w:rsidRPr="00D1262A">
              <w:rPr>
                <w:rFonts w:ascii="Times New Roman" w:hAnsi="Times New Roman" w:cs="Times New Roman"/>
                <w:sz w:val="20"/>
                <w:szCs w:val="20"/>
                <w:vertAlign w:val="superscript"/>
              </w:rPr>
              <w:t>0.014</w:t>
            </w:r>
            <w:r w:rsidRPr="00D1262A">
              <w:rPr>
                <w:rFonts w:ascii="Times New Roman" w:hAnsi="Times New Roman" w:cs="Times New Roman"/>
                <w:sz w:val="20"/>
                <w:szCs w:val="20"/>
              </w:rPr>
              <w:t>Ba</w:t>
            </w:r>
          </w:p>
        </w:tc>
        <w:tc>
          <w:tcPr>
            <w:tcW w:w="1418" w:type="dxa"/>
            <w:tcBorders>
              <w:top w:val="single" w:sz="4" w:space="0" w:color="auto"/>
            </w:tcBorders>
          </w:tcPr>
          <w:p w14:paraId="4CE1C283"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0.344</w:t>
            </w:r>
            <w:r w:rsidRPr="00D1262A">
              <w:rPr>
                <w:rFonts w:ascii="Times New Roman" w:hAnsi="Times New Roman" w:cs="Times New Roman"/>
                <w:sz w:val="20"/>
                <w:szCs w:val="20"/>
                <w:vertAlign w:val="superscript"/>
              </w:rPr>
              <w:t>0.003</w:t>
            </w:r>
            <w:r w:rsidRPr="00D1262A">
              <w:rPr>
                <w:rFonts w:ascii="Times New Roman" w:hAnsi="Times New Roman" w:cs="Times New Roman"/>
                <w:sz w:val="20"/>
                <w:szCs w:val="20"/>
              </w:rPr>
              <w:t>Cb</w:t>
            </w:r>
          </w:p>
        </w:tc>
        <w:tc>
          <w:tcPr>
            <w:tcW w:w="709" w:type="dxa"/>
            <w:tcBorders>
              <w:top w:val="single" w:sz="4" w:space="0" w:color="auto"/>
            </w:tcBorders>
          </w:tcPr>
          <w:p w14:paraId="0BEFF043"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7.99</w:t>
            </w:r>
          </w:p>
        </w:tc>
      </w:tr>
      <w:tr w:rsidR="003A10A7" w:rsidRPr="00D1262A" w14:paraId="6DFE5EBB" w14:textId="77777777" w:rsidTr="00087E54">
        <w:tc>
          <w:tcPr>
            <w:tcW w:w="993" w:type="dxa"/>
            <w:vMerge/>
            <w:tcBorders>
              <w:bottom w:val="dotted" w:sz="4" w:space="0" w:color="auto"/>
            </w:tcBorders>
          </w:tcPr>
          <w:p w14:paraId="6785EBC8" w14:textId="77777777" w:rsidR="003A10A7" w:rsidRPr="00D1262A" w:rsidRDefault="003A10A7" w:rsidP="00087E54">
            <w:pPr>
              <w:spacing w:line="360" w:lineRule="auto"/>
              <w:jc w:val="both"/>
              <w:rPr>
                <w:rFonts w:ascii="Times New Roman" w:hAnsi="Times New Roman" w:cs="Times New Roman"/>
                <w:sz w:val="20"/>
                <w:szCs w:val="20"/>
              </w:rPr>
            </w:pPr>
          </w:p>
        </w:tc>
        <w:tc>
          <w:tcPr>
            <w:tcW w:w="1559" w:type="dxa"/>
            <w:tcBorders>
              <w:bottom w:val="dotted" w:sz="4" w:space="0" w:color="auto"/>
            </w:tcBorders>
          </w:tcPr>
          <w:p w14:paraId="17B358C3"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i/>
                <w:iCs/>
                <w:sz w:val="20"/>
                <w:szCs w:val="20"/>
              </w:rPr>
              <w:t xml:space="preserve">H. </w:t>
            </w:r>
            <w:proofErr w:type="spellStart"/>
            <w:r w:rsidRPr="00D1262A">
              <w:rPr>
                <w:rFonts w:ascii="Times New Roman" w:hAnsi="Times New Roman" w:cs="Times New Roman"/>
                <w:i/>
                <w:iCs/>
                <w:sz w:val="20"/>
                <w:szCs w:val="20"/>
              </w:rPr>
              <w:t>polyrhizus</w:t>
            </w:r>
            <w:proofErr w:type="spellEnd"/>
          </w:p>
        </w:tc>
        <w:tc>
          <w:tcPr>
            <w:tcW w:w="1417" w:type="dxa"/>
            <w:tcBorders>
              <w:bottom w:val="dotted" w:sz="4" w:space="0" w:color="auto"/>
            </w:tcBorders>
          </w:tcPr>
          <w:p w14:paraId="5660E30A"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0.709</w:t>
            </w:r>
            <w:r w:rsidRPr="00D1262A">
              <w:rPr>
                <w:rFonts w:ascii="Times New Roman" w:hAnsi="Times New Roman" w:cs="Times New Roman"/>
                <w:sz w:val="20"/>
                <w:szCs w:val="20"/>
                <w:vertAlign w:val="superscript"/>
              </w:rPr>
              <w:t>0.035</w:t>
            </w:r>
            <w:r w:rsidRPr="00D1262A">
              <w:rPr>
                <w:rFonts w:ascii="Times New Roman" w:hAnsi="Times New Roman" w:cs="Times New Roman"/>
                <w:sz w:val="20"/>
                <w:szCs w:val="20"/>
              </w:rPr>
              <w:t>Aa</w:t>
            </w:r>
          </w:p>
        </w:tc>
        <w:tc>
          <w:tcPr>
            <w:tcW w:w="1418" w:type="dxa"/>
            <w:tcBorders>
              <w:bottom w:val="dotted" w:sz="4" w:space="0" w:color="auto"/>
            </w:tcBorders>
          </w:tcPr>
          <w:p w14:paraId="5DF2EB4B"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0.579</w:t>
            </w:r>
            <w:r w:rsidRPr="00D1262A">
              <w:rPr>
                <w:rFonts w:ascii="Times New Roman" w:hAnsi="Times New Roman" w:cs="Times New Roman"/>
                <w:sz w:val="20"/>
                <w:szCs w:val="20"/>
                <w:vertAlign w:val="superscript"/>
              </w:rPr>
              <w:t>0.027</w:t>
            </w:r>
            <w:r w:rsidRPr="00D1262A">
              <w:rPr>
                <w:rFonts w:ascii="Times New Roman" w:hAnsi="Times New Roman" w:cs="Times New Roman"/>
                <w:sz w:val="20"/>
                <w:szCs w:val="20"/>
              </w:rPr>
              <w:t>Ba</w:t>
            </w:r>
          </w:p>
        </w:tc>
        <w:tc>
          <w:tcPr>
            <w:tcW w:w="1417" w:type="dxa"/>
            <w:tcBorders>
              <w:bottom w:val="dotted" w:sz="4" w:space="0" w:color="auto"/>
            </w:tcBorders>
          </w:tcPr>
          <w:p w14:paraId="4B399554"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0.561</w:t>
            </w:r>
            <w:r w:rsidRPr="00D1262A">
              <w:rPr>
                <w:rFonts w:ascii="Times New Roman" w:hAnsi="Times New Roman" w:cs="Times New Roman"/>
                <w:sz w:val="20"/>
                <w:szCs w:val="20"/>
                <w:vertAlign w:val="superscript"/>
              </w:rPr>
              <w:t>0.020</w:t>
            </w:r>
            <w:r w:rsidRPr="00D1262A">
              <w:rPr>
                <w:rFonts w:ascii="Times New Roman" w:hAnsi="Times New Roman" w:cs="Times New Roman"/>
                <w:sz w:val="20"/>
                <w:szCs w:val="20"/>
              </w:rPr>
              <w:t>Ba</w:t>
            </w:r>
          </w:p>
        </w:tc>
        <w:tc>
          <w:tcPr>
            <w:tcW w:w="1418" w:type="dxa"/>
            <w:tcBorders>
              <w:bottom w:val="dotted" w:sz="4" w:space="0" w:color="auto"/>
            </w:tcBorders>
          </w:tcPr>
          <w:p w14:paraId="7B22A5BB"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0.506</w:t>
            </w:r>
            <w:r w:rsidRPr="00D1262A">
              <w:rPr>
                <w:rFonts w:ascii="Times New Roman" w:hAnsi="Times New Roman" w:cs="Times New Roman"/>
                <w:sz w:val="20"/>
                <w:szCs w:val="20"/>
                <w:vertAlign w:val="superscript"/>
              </w:rPr>
              <w:t>0.017</w:t>
            </w:r>
            <w:r w:rsidRPr="00D1262A">
              <w:rPr>
                <w:rFonts w:ascii="Times New Roman" w:hAnsi="Times New Roman" w:cs="Times New Roman"/>
                <w:sz w:val="20"/>
                <w:szCs w:val="20"/>
              </w:rPr>
              <w:t>Ca</w:t>
            </w:r>
          </w:p>
        </w:tc>
        <w:tc>
          <w:tcPr>
            <w:tcW w:w="709" w:type="dxa"/>
            <w:tcBorders>
              <w:bottom w:val="dotted" w:sz="4" w:space="0" w:color="auto"/>
            </w:tcBorders>
          </w:tcPr>
          <w:p w14:paraId="7B3CFE8D" w14:textId="77777777" w:rsidR="003A10A7" w:rsidRPr="00D1262A" w:rsidRDefault="003A10A7" w:rsidP="00087E54">
            <w:pPr>
              <w:spacing w:line="360" w:lineRule="auto"/>
              <w:jc w:val="both"/>
              <w:rPr>
                <w:rFonts w:ascii="Times New Roman" w:hAnsi="Times New Roman" w:cs="Times New Roman"/>
                <w:sz w:val="20"/>
                <w:szCs w:val="20"/>
              </w:rPr>
            </w:pPr>
          </w:p>
        </w:tc>
      </w:tr>
      <w:tr w:rsidR="003A10A7" w:rsidRPr="00D1262A" w14:paraId="263F1482" w14:textId="77777777" w:rsidTr="00087E54">
        <w:tc>
          <w:tcPr>
            <w:tcW w:w="993" w:type="dxa"/>
            <w:vMerge w:val="restart"/>
            <w:tcBorders>
              <w:top w:val="dotted" w:sz="4" w:space="0" w:color="auto"/>
            </w:tcBorders>
          </w:tcPr>
          <w:p w14:paraId="52852158" w14:textId="77777777" w:rsidR="003A10A7" w:rsidRPr="00D1262A" w:rsidRDefault="003A10A7" w:rsidP="00087E54">
            <w:pPr>
              <w:spacing w:line="360" w:lineRule="auto"/>
              <w:jc w:val="both"/>
              <w:rPr>
                <w:rFonts w:ascii="Times New Roman" w:hAnsi="Times New Roman" w:cs="Times New Roman"/>
                <w:sz w:val="20"/>
                <w:szCs w:val="20"/>
              </w:rPr>
            </w:pPr>
            <w:proofErr w:type="spellStart"/>
            <w:r w:rsidRPr="00D1262A">
              <w:rPr>
                <w:rFonts w:ascii="Times New Roman" w:hAnsi="Times New Roman" w:cs="Times New Roman"/>
                <w:sz w:val="20"/>
                <w:szCs w:val="20"/>
              </w:rPr>
              <w:t>Chl</w:t>
            </w:r>
            <w:proofErr w:type="spellEnd"/>
            <w:r w:rsidRPr="00D1262A">
              <w:rPr>
                <w:rFonts w:ascii="Times New Roman" w:hAnsi="Times New Roman" w:cs="Times New Roman"/>
                <w:sz w:val="20"/>
                <w:szCs w:val="20"/>
              </w:rPr>
              <w:t xml:space="preserve"> b</w:t>
            </w:r>
          </w:p>
        </w:tc>
        <w:tc>
          <w:tcPr>
            <w:tcW w:w="1559" w:type="dxa"/>
            <w:tcBorders>
              <w:top w:val="dotted" w:sz="4" w:space="0" w:color="auto"/>
            </w:tcBorders>
          </w:tcPr>
          <w:p w14:paraId="585D1F15" w14:textId="77777777" w:rsidR="003A10A7" w:rsidRPr="00D1262A" w:rsidRDefault="003A10A7" w:rsidP="00087E54">
            <w:pPr>
              <w:spacing w:line="360" w:lineRule="auto"/>
              <w:jc w:val="both"/>
              <w:rPr>
                <w:rFonts w:ascii="Times New Roman" w:hAnsi="Times New Roman" w:cs="Times New Roman"/>
                <w:i/>
                <w:iCs/>
                <w:sz w:val="20"/>
                <w:szCs w:val="20"/>
              </w:rPr>
            </w:pPr>
            <w:r w:rsidRPr="00D1262A">
              <w:rPr>
                <w:rFonts w:ascii="Times New Roman" w:hAnsi="Times New Roman" w:cs="Times New Roman"/>
                <w:i/>
                <w:iCs/>
                <w:sz w:val="20"/>
                <w:szCs w:val="20"/>
              </w:rPr>
              <w:t>S. undatus</w:t>
            </w:r>
          </w:p>
        </w:tc>
        <w:tc>
          <w:tcPr>
            <w:tcW w:w="1417" w:type="dxa"/>
            <w:tcBorders>
              <w:top w:val="dotted" w:sz="4" w:space="0" w:color="auto"/>
            </w:tcBorders>
          </w:tcPr>
          <w:p w14:paraId="077E5AF9"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0.425</w:t>
            </w:r>
            <w:r w:rsidRPr="00D1262A">
              <w:rPr>
                <w:rFonts w:ascii="Times New Roman" w:hAnsi="Times New Roman" w:cs="Times New Roman"/>
                <w:sz w:val="20"/>
                <w:szCs w:val="20"/>
                <w:vertAlign w:val="superscript"/>
              </w:rPr>
              <w:t>0.017</w:t>
            </w:r>
            <w:r w:rsidRPr="00D1262A">
              <w:rPr>
                <w:rFonts w:ascii="Times New Roman" w:hAnsi="Times New Roman" w:cs="Times New Roman"/>
                <w:sz w:val="20"/>
                <w:szCs w:val="20"/>
              </w:rPr>
              <w:t>Ab</w:t>
            </w:r>
          </w:p>
        </w:tc>
        <w:tc>
          <w:tcPr>
            <w:tcW w:w="1418" w:type="dxa"/>
            <w:tcBorders>
              <w:top w:val="dotted" w:sz="4" w:space="0" w:color="auto"/>
            </w:tcBorders>
          </w:tcPr>
          <w:p w14:paraId="1574BCFB"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0.452</w:t>
            </w:r>
            <w:r w:rsidRPr="00D1262A">
              <w:rPr>
                <w:rFonts w:ascii="Times New Roman" w:hAnsi="Times New Roman" w:cs="Times New Roman"/>
                <w:sz w:val="20"/>
                <w:szCs w:val="20"/>
                <w:vertAlign w:val="superscript"/>
              </w:rPr>
              <w:t>0.010</w:t>
            </w:r>
            <w:r w:rsidRPr="00D1262A">
              <w:rPr>
                <w:rFonts w:ascii="Times New Roman" w:hAnsi="Times New Roman" w:cs="Times New Roman"/>
                <w:sz w:val="20"/>
                <w:szCs w:val="20"/>
              </w:rPr>
              <w:t>Aa</w:t>
            </w:r>
          </w:p>
        </w:tc>
        <w:tc>
          <w:tcPr>
            <w:tcW w:w="1417" w:type="dxa"/>
            <w:tcBorders>
              <w:top w:val="dotted" w:sz="4" w:space="0" w:color="auto"/>
            </w:tcBorders>
          </w:tcPr>
          <w:p w14:paraId="3A829757"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0.412</w:t>
            </w:r>
            <w:r w:rsidRPr="00D1262A">
              <w:rPr>
                <w:rFonts w:ascii="Times New Roman" w:hAnsi="Times New Roman" w:cs="Times New Roman"/>
                <w:sz w:val="20"/>
                <w:szCs w:val="20"/>
                <w:vertAlign w:val="superscript"/>
              </w:rPr>
              <w:t>0.010</w:t>
            </w:r>
            <w:r w:rsidRPr="00D1262A">
              <w:rPr>
                <w:rFonts w:ascii="Times New Roman" w:hAnsi="Times New Roman" w:cs="Times New Roman"/>
                <w:sz w:val="20"/>
                <w:szCs w:val="20"/>
              </w:rPr>
              <w:t>Aa</w:t>
            </w:r>
          </w:p>
        </w:tc>
        <w:tc>
          <w:tcPr>
            <w:tcW w:w="1418" w:type="dxa"/>
            <w:tcBorders>
              <w:top w:val="dotted" w:sz="4" w:space="0" w:color="auto"/>
            </w:tcBorders>
          </w:tcPr>
          <w:p w14:paraId="3EF4BA40"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0.282</w:t>
            </w:r>
            <w:r w:rsidRPr="00D1262A">
              <w:rPr>
                <w:rFonts w:ascii="Times New Roman" w:hAnsi="Times New Roman" w:cs="Times New Roman"/>
                <w:sz w:val="20"/>
                <w:szCs w:val="20"/>
                <w:vertAlign w:val="superscript"/>
              </w:rPr>
              <w:t>0.003</w:t>
            </w:r>
            <w:r w:rsidRPr="00D1262A">
              <w:rPr>
                <w:rFonts w:ascii="Times New Roman" w:hAnsi="Times New Roman" w:cs="Times New Roman"/>
                <w:sz w:val="20"/>
                <w:szCs w:val="20"/>
              </w:rPr>
              <w:t>Bb</w:t>
            </w:r>
          </w:p>
        </w:tc>
        <w:tc>
          <w:tcPr>
            <w:tcW w:w="709" w:type="dxa"/>
            <w:tcBorders>
              <w:top w:val="dotted" w:sz="4" w:space="0" w:color="auto"/>
            </w:tcBorders>
          </w:tcPr>
          <w:p w14:paraId="4D99F454"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8.60</w:t>
            </w:r>
          </w:p>
        </w:tc>
      </w:tr>
      <w:tr w:rsidR="003A10A7" w:rsidRPr="00D1262A" w14:paraId="018C7575" w14:textId="77777777" w:rsidTr="00087E54">
        <w:tc>
          <w:tcPr>
            <w:tcW w:w="993" w:type="dxa"/>
            <w:vMerge/>
            <w:tcBorders>
              <w:bottom w:val="dotted" w:sz="2" w:space="0" w:color="auto"/>
            </w:tcBorders>
          </w:tcPr>
          <w:p w14:paraId="5D027878" w14:textId="77777777" w:rsidR="003A10A7" w:rsidRPr="00D1262A" w:rsidRDefault="003A10A7" w:rsidP="00087E54">
            <w:pPr>
              <w:spacing w:line="360" w:lineRule="auto"/>
              <w:jc w:val="both"/>
              <w:rPr>
                <w:rFonts w:ascii="Times New Roman" w:hAnsi="Times New Roman" w:cs="Times New Roman"/>
                <w:sz w:val="20"/>
                <w:szCs w:val="20"/>
              </w:rPr>
            </w:pPr>
          </w:p>
        </w:tc>
        <w:tc>
          <w:tcPr>
            <w:tcW w:w="1559" w:type="dxa"/>
            <w:tcBorders>
              <w:bottom w:val="dotted" w:sz="2" w:space="0" w:color="auto"/>
            </w:tcBorders>
          </w:tcPr>
          <w:p w14:paraId="42D48B1B"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i/>
                <w:iCs/>
                <w:sz w:val="20"/>
                <w:szCs w:val="20"/>
              </w:rPr>
              <w:t xml:space="preserve">H. </w:t>
            </w:r>
            <w:proofErr w:type="spellStart"/>
            <w:r w:rsidRPr="00D1262A">
              <w:rPr>
                <w:rFonts w:ascii="Times New Roman" w:hAnsi="Times New Roman" w:cs="Times New Roman"/>
                <w:i/>
                <w:iCs/>
                <w:sz w:val="20"/>
                <w:szCs w:val="20"/>
              </w:rPr>
              <w:t>polyrhizus</w:t>
            </w:r>
            <w:proofErr w:type="spellEnd"/>
          </w:p>
        </w:tc>
        <w:tc>
          <w:tcPr>
            <w:tcW w:w="1417" w:type="dxa"/>
            <w:tcBorders>
              <w:bottom w:val="dotted" w:sz="2" w:space="0" w:color="auto"/>
            </w:tcBorders>
          </w:tcPr>
          <w:p w14:paraId="6EE959C8"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0.532</w:t>
            </w:r>
            <w:r w:rsidRPr="00D1262A">
              <w:rPr>
                <w:rFonts w:ascii="Times New Roman" w:hAnsi="Times New Roman" w:cs="Times New Roman"/>
                <w:sz w:val="20"/>
                <w:szCs w:val="20"/>
                <w:vertAlign w:val="superscript"/>
              </w:rPr>
              <w:t>0.012</w:t>
            </w:r>
            <w:r w:rsidRPr="00D1262A">
              <w:rPr>
                <w:rFonts w:ascii="Times New Roman" w:hAnsi="Times New Roman" w:cs="Times New Roman"/>
                <w:sz w:val="20"/>
                <w:szCs w:val="20"/>
              </w:rPr>
              <w:t>Aa</w:t>
            </w:r>
          </w:p>
        </w:tc>
        <w:tc>
          <w:tcPr>
            <w:tcW w:w="1418" w:type="dxa"/>
            <w:tcBorders>
              <w:bottom w:val="dotted" w:sz="2" w:space="0" w:color="auto"/>
            </w:tcBorders>
          </w:tcPr>
          <w:p w14:paraId="092638BC"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0.442</w:t>
            </w:r>
            <w:r w:rsidRPr="00D1262A">
              <w:rPr>
                <w:rFonts w:ascii="Times New Roman" w:hAnsi="Times New Roman" w:cs="Times New Roman"/>
                <w:sz w:val="20"/>
                <w:szCs w:val="20"/>
                <w:vertAlign w:val="superscript"/>
              </w:rPr>
              <w:t>0.009</w:t>
            </w:r>
            <w:r w:rsidRPr="00D1262A">
              <w:rPr>
                <w:rFonts w:ascii="Times New Roman" w:hAnsi="Times New Roman" w:cs="Times New Roman"/>
                <w:sz w:val="20"/>
                <w:szCs w:val="20"/>
              </w:rPr>
              <w:t>Ba</w:t>
            </w:r>
          </w:p>
        </w:tc>
        <w:tc>
          <w:tcPr>
            <w:tcW w:w="1417" w:type="dxa"/>
            <w:tcBorders>
              <w:bottom w:val="dotted" w:sz="2" w:space="0" w:color="auto"/>
            </w:tcBorders>
          </w:tcPr>
          <w:p w14:paraId="1A5B2724"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0.415</w:t>
            </w:r>
            <w:r w:rsidRPr="00D1262A">
              <w:rPr>
                <w:rFonts w:ascii="Times New Roman" w:hAnsi="Times New Roman" w:cs="Times New Roman"/>
                <w:sz w:val="20"/>
                <w:szCs w:val="20"/>
                <w:vertAlign w:val="superscript"/>
              </w:rPr>
              <w:t>0.008</w:t>
            </w:r>
            <w:r w:rsidRPr="00D1262A">
              <w:rPr>
                <w:rFonts w:ascii="Times New Roman" w:hAnsi="Times New Roman" w:cs="Times New Roman"/>
                <w:sz w:val="20"/>
                <w:szCs w:val="20"/>
              </w:rPr>
              <w:t>Ba</w:t>
            </w:r>
          </w:p>
        </w:tc>
        <w:tc>
          <w:tcPr>
            <w:tcW w:w="1418" w:type="dxa"/>
            <w:tcBorders>
              <w:bottom w:val="dotted" w:sz="2" w:space="0" w:color="auto"/>
            </w:tcBorders>
          </w:tcPr>
          <w:p w14:paraId="35F95550"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0.383</w:t>
            </w:r>
            <w:r w:rsidRPr="00D1262A">
              <w:rPr>
                <w:rFonts w:ascii="Times New Roman" w:hAnsi="Times New Roman" w:cs="Times New Roman"/>
                <w:sz w:val="20"/>
                <w:szCs w:val="20"/>
                <w:vertAlign w:val="superscript"/>
              </w:rPr>
              <w:t>0.006</w:t>
            </w:r>
            <w:r w:rsidRPr="00D1262A">
              <w:rPr>
                <w:rFonts w:ascii="Times New Roman" w:hAnsi="Times New Roman" w:cs="Times New Roman"/>
                <w:sz w:val="20"/>
                <w:szCs w:val="20"/>
              </w:rPr>
              <w:t>Ba</w:t>
            </w:r>
          </w:p>
        </w:tc>
        <w:tc>
          <w:tcPr>
            <w:tcW w:w="709" w:type="dxa"/>
            <w:tcBorders>
              <w:bottom w:val="dotted" w:sz="2" w:space="0" w:color="auto"/>
            </w:tcBorders>
          </w:tcPr>
          <w:p w14:paraId="394AB19C" w14:textId="77777777" w:rsidR="003A10A7" w:rsidRPr="00D1262A" w:rsidRDefault="003A10A7" w:rsidP="00087E54">
            <w:pPr>
              <w:spacing w:line="360" w:lineRule="auto"/>
              <w:jc w:val="both"/>
              <w:rPr>
                <w:rFonts w:ascii="Times New Roman" w:hAnsi="Times New Roman" w:cs="Times New Roman"/>
                <w:sz w:val="20"/>
                <w:szCs w:val="20"/>
              </w:rPr>
            </w:pPr>
          </w:p>
        </w:tc>
      </w:tr>
      <w:tr w:rsidR="003A10A7" w:rsidRPr="00D1262A" w14:paraId="45BF9A02" w14:textId="77777777" w:rsidTr="00087E54">
        <w:tc>
          <w:tcPr>
            <w:tcW w:w="993" w:type="dxa"/>
            <w:vMerge w:val="restart"/>
            <w:tcBorders>
              <w:top w:val="dotted" w:sz="2" w:space="0" w:color="auto"/>
            </w:tcBorders>
          </w:tcPr>
          <w:p w14:paraId="0482BD6F" w14:textId="77777777" w:rsidR="003A10A7" w:rsidRPr="00D1262A" w:rsidRDefault="003A10A7" w:rsidP="00087E54">
            <w:pPr>
              <w:spacing w:line="360" w:lineRule="auto"/>
              <w:jc w:val="both"/>
              <w:rPr>
                <w:rFonts w:ascii="Times New Roman" w:hAnsi="Times New Roman" w:cs="Times New Roman"/>
                <w:sz w:val="20"/>
                <w:szCs w:val="20"/>
              </w:rPr>
            </w:pPr>
            <w:proofErr w:type="spellStart"/>
            <w:r w:rsidRPr="00D1262A">
              <w:rPr>
                <w:rFonts w:ascii="Times New Roman" w:hAnsi="Times New Roman" w:cs="Times New Roman"/>
                <w:sz w:val="20"/>
                <w:szCs w:val="20"/>
              </w:rPr>
              <w:t>Chl</w:t>
            </w:r>
            <w:proofErr w:type="spellEnd"/>
            <w:r w:rsidRPr="00D1262A">
              <w:rPr>
                <w:rFonts w:ascii="Times New Roman" w:hAnsi="Times New Roman" w:cs="Times New Roman"/>
                <w:sz w:val="20"/>
                <w:szCs w:val="20"/>
              </w:rPr>
              <w:t xml:space="preserve"> </w:t>
            </w:r>
            <w:proofErr w:type="spellStart"/>
            <w:r w:rsidRPr="00D1262A">
              <w:rPr>
                <w:rFonts w:ascii="Times New Roman" w:hAnsi="Times New Roman" w:cs="Times New Roman"/>
                <w:sz w:val="20"/>
                <w:szCs w:val="20"/>
              </w:rPr>
              <w:t>a+b</w:t>
            </w:r>
            <w:proofErr w:type="spellEnd"/>
          </w:p>
        </w:tc>
        <w:tc>
          <w:tcPr>
            <w:tcW w:w="1559" w:type="dxa"/>
            <w:tcBorders>
              <w:top w:val="dotted" w:sz="2" w:space="0" w:color="auto"/>
            </w:tcBorders>
          </w:tcPr>
          <w:p w14:paraId="26A9FA15" w14:textId="77777777" w:rsidR="003A10A7" w:rsidRPr="00D1262A" w:rsidRDefault="003A10A7" w:rsidP="00087E54">
            <w:pPr>
              <w:spacing w:line="360" w:lineRule="auto"/>
              <w:jc w:val="both"/>
              <w:rPr>
                <w:rFonts w:ascii="Times New Roman" w:hAnsi="Times New Roman" w:cs="Times New Roman"/>
                <w:i/>
                <w:iCs/>
                <w:sz w:val="20"/>
                <w:szCs w:val="20"/>
              </w:rPr>
            </w:pPr>
            <w:r w:rsidRPr="00D1262A">
              <w:rPr>
                <w:rFonts w:ascii="Times New Roman" w:hAnsi="Times New Roman" w:cs="Times New Roman"/>
                <w:i/>
                <w:iCs/>
                <w:sz w:val="20"/>
                <w:szCs w:val="20"/>
              </w:rPr>
              <w:t>S. undatus</w:t>
            </w:r>
          </w:p>
        </w:tc>
        <w:tc>
          <w:tcPr>
            <w:tcW w:w="1417" w:type="dxa"/>
            <w:tcBorders>
              <w:top w:val="dotted" w:sz="2" w:space="0" w:color="auto"/>
            </w:tcBorders>
          </w:tcPr>
          <w:p w14:paraId="61EBC3C9"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0.618</w:t>
            </w:r>
            <w:r w:rsidRPr="00D1262A">
              <w:rPr>
                <w:rFonts w:ascii="Times New Roman" w:hAnsi="Times New Roman" w:cs="Times New Roman"/>
                <w:sz w:val="20"/>
                <w:szCs w:val="20"/>
                <w:vertAlign w:val="superscript"/>
              </w:rPr>
              <w:t>0.045</w:t>
            </w:r>
            <w:r w:rsidRPr="00D1262A">
              <w:rPr>
                <w:rFonts w:ascii="Times New Roman" w:hAnsi="Times New Roman" w:cs="Times New Roman"/>
                <w:sz w:val="20"/>
                <w:szCs w:val="20"/>
              </w:rPr>
              <w:t>Bb</w:t>
            </w:r>
          </w:p>
        </w:tc>
        <w:tc>
          <w:tcPr>
            <w:tcW w:w="1418" w:type="dxa"/>
            <w:tcBorders>
              <w:top w:val="dotted" w:sz="2" w:space="0" w:color="auto"/>
            </w:tcBorders>
          </w:tcPr>
          <w:p w14:paraId="2CC2F3DD"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0.687</w:t>
            </w:r>
            <w:r w:rsidRPr="00D1262A">
              <w:rPr>
                <w:rFonts w:ascii="Times New Roman" w:hAnsi="Times New Roman" w:cs="Times New Roman"/>
                <w:sz w:val="20"/>
                <w:szCs w:val="20"/>
                <w:vertAlign w:val="superscript"/>
              </w:rPr>
              <w:t>0.025</w:t>
            </w:r>
            <w:r w:rsidRPr="00D1262A">
              <w:rPr>
                <w:rFonts w:ascii="Times New Roman" w:hAnsi="Times New Roman" w:cs="Times New Roman"/>
                <w:sz w:val="20"/>
                <w:szCs w:val="20"/>
              </w:rPr>
              <w:t>Aa</w:t>
            </w:r>
          </w:p>
        </w:tc>
        <w:tc>
          <w:tcPr>
            <w:tcW w:w="1417" w:type="dxa"/>
            <w:tcBorders>
              <w:top w:val="dotted" w:sz="2" w:space="0" w:color="auto"/>
            </w:tcBorders>
          </w:tcPr>
          <w:p w14:paraId="4E122E6A"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0.582</w:t>
            </w:r>
            <w:r w:rsidRPr="00D1262A">
              <w:rPr>
                <w:rFonts w:ascii="Times New Roman" w:hAnsi="Times New Roman" w:cs="Times New Roman"/>
                <w:sz w:val="20"/>
                <w:szCs w:val="20"/>
                <w:vertAlign w:val="superscript"/>
              </w:rPr>
              <w:t>0.023</w:t>
            </w:r>
            <w:r w:rsidRPr="00D1262A">
              <w:rPr>
                <w:rFonts w:ascii="Times New Roman" w:hAnsi="Times New Roman" w:cs="Times New Roman"/>
                <w:sz w:val="20"/>
                <w:szCs w:val="20"/>
              </w:rPr>
              <w:t>Ba</w:t>
            </w:r>
          </w:p>
        </w:tc>
        <w:tc>
          <w:tcPr>
            <w:tcW w:w="1418" w:type="dxa"/>
            <w:tcBorders>
              <w:top w:val="dotted" w:sz="2" w:space="0" w:color="auto"/>
            </w:tcBorders>
          </w:tcPr>
          <w:p w14:paraId="2A8B7D23"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0.399</w:t>
            </w:r>
            <w:r w:rsidRPr="00D1262A">
              <w:rPr>
                <w:rFonts w:ascii="Times New Roman" w:hAnsi="Times New Roman" w:cs="Times New Roman"/>
                <w:sz w:val="20"/>
                <w:szCs w:val="20"/>
                <w:vertAlign w:val="superscript"/>
              </w:rPr>
              <w:t>0.006</w:t>
            </w:r>
            <w:r w:rsidRPr="00D1262A">
              <w:rPr>
                <w:rFonts w:ascii="Times New Roman" w:hAnsi="Times New Roman" w:cs="Times New Roman"/>
                <w:sz w:val="20"/>
                <w:szCs w:val="20"/>
              </w:rPr>
              <w:t>Cb</w:t>
            </w:r>
          </w:p>
        </w:tc>
        <w:tc>
          <w:tcPr>
            <w:tcW w:w="709" w:type="dxa"/>
            <w:tcBorders>
              <w:top w:val="dotted" w:sz="2" w:space="0" w:color="auto"/>
            </w:tcBorders>
          </w:tcPr>
          <w:p w14:paraId="444C7F62"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8.05</w:t>
            </w:r>
          </w:p>
        </w:tc>
      </w:tr>
      <w:tr w:rsidR="003A10A7" w:rsidRPr="00D1262A" w14:paraId="785BD459" w14:textId="77777777" w:rsidTr="00087E54">
        <w:tc>
          <w:tcPr>
            <w:tcW w:w="993" w:type="dxa"/>
            <w:vMerge/>
            <w:tcBorders>
              <w:bottom w:val="dotted" w:sz="2" w:space="0" w:color="auto"/>
            </w:tcBorders>
          </w:tcPr>
          <w:p w14:paraId="62841C89" w14:textId="77777777" w:rsidR="003A10A7" w:rsidRPr="00D1262A" w:rsidRDefault="003A10A7" w:rsidP="00087E54">
            <w:pPr>
              <w:spacing w:line="360" w:lineRule="auto"/>
              <w:jc w:val="both"/>
              <w:rPr>
                <w:rFonts w:ascii="Times New Roman" w:hAnsi="Times New Roman" w:cs="Times New Roman"/>
                <w:sz w:val="20"/>
                <w:szCs w:val="20"/>
              </w:rPr>
            </w:pPr>
          </w:p>
        </w:tc>
        <w:tc>
          <w:tcPr>
            <w:tcW w:w="1559" w:type="dxa"/>
            <w:tcBorders>
              <w:bottom w:val="dotted" w:sz="2" w:space="0" w:color="auto"/>
            </w:tcBorders>
          </w:tcPr>
          <w:p w14:paraId="01479D7F"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i/>
                <w:iCs/>
                <w:sz w:val="20"/>
                <w:szCs w:val="20"/>
              </w:rPr>
              <w:t xml:space="preserve">H. </w:t>
            </w:r>
            <w:proofErr w:type="spellStart"/>
            <w:r w:rsidRPr="00D1262A">
              <w:rPr>
                <w:rFonts w:ascii="Times New Roman" w:hAnsi="Times New Roman" w:cs="Times New Roman"/>
                <w:i/>
                <w:iCs/>
                <w:sz w:val="20"/>
                <w:szCs w:val="20"/>
              </w:rPr>
              <w:t>polyrhizus</w:t>
            </w:r>
            <w:proofErr w:type="spellEnd"/>
          </w:p>
        </w:tc>
        <w:tc>
          <w:tcPr>
            <w:tcW w:w="1417" w:type="dxa"/>
            <w:tcBorders>
              <w:bottom w:val="dotted" w:sz="2" w:space="0" w:color="auto"/>
            </w:tcBorders>
          </w:tcPr>
          <w:p w14:paraId="3371CFED"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0.798</w:t>
            </w:r>
            <w:r w:rsidRPr="00D1262A">
              <w:rPr>
                <w:rFonts w:ascii="Times New Roman" w:hAnsi="Times New Roman" w:cs="Times New Roman"/>
                <w:sz w:val="20"/>
                <w:szCs w:val="20"/>
                <w:vertAlign w:val="superscript"/>
              </w:rPr>
              <w:t>0.047</w:t>
            </w:r>
            <w:r w:rsidRPr="00D1262A">
              <w:rPr>
                <w:rFonts w:ascii="Times New Roman" w:hAnsi="Times New Roman" w:cs="Times New Roman"/>
                <w:sz w:val="20"/>
                <w:szCs w:val="20"/>
              </w:rPr>
              <w:t>Aa</w:t>
            </w:r>
          </w:p>
        </w:tc>
        <w:tc>
          <w:tcPr>
            <w:tcW w:w="1418" w:type="dxa"/>
            <w:tcBorders>
              <w:bottom w:val="dotted" w:sz="2" w:space="0" w:color="auto"/>
            </w:tcBorders>
          </w:tcPr>
          <w:p w14:paraId="3042992E"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0.655</w:t>
            </w:r>
            <w:r w:rsidRPr="00D1262A">
              <w:rPr>
                <w:rFonts w:ascii="Times New Roman" w:hAnsi="Times New Roman" w:cs="Times New Roman"/>
                <w:sz w:val="20"/>
                <w:szCs w:val="20"/>
                <w:vertAlign w:val="superscript"/>
              </w:rPr>
              <w:t>0.036</w:t>
            </w:r>
            <w:r w:rsidRPr="00D1262A">
              <w:rPr>
                <w:rFonts w:ascii="Times New Roman" w:hAnsi="Times New Roman" w:cs="Times New Roman"/>
                <w:sz w:val="20"/>
                <w:szCs w:val="20"/>
              </w:rPr>
              <w:t>Ba</w:t>
            </w:r>
          </w:p>
        </w:tc>
        <w:tc>
          <w:tcPr>
            <w:tcW w:w="1417" w:type="dxa"/>
            <w:tcBorders>
              <w:bottom w:val="dotted" w:sz="2" w:space="0" w:color="auto"/>
            </w:tcBorders>
          </w:tcPr>
          <w:p w14:paraId="05FB5624"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0.629</w:t>
            </w:r>
            <w:r w:rsidRPr="00D1262A">
              <w:rPr>
                <w:rFonts w:ascii="Times New Roman" w:hAnsi="Times New Roman" w:cs="Times New Roman"/>
                <w:sz w:val="20"/>
                <w:szCs w:val="20"/>
                <w:vertAlign w:val="superscript"/>
              </w:rPr>
              <w:t>0.028</w:t>
            </w:r>
            <w:r w:rsidRPr="00D1262A">
              <w:rPr>
                <w:rFonts w:ascii="Times New Roman" w:hAnsi="Times New Roman" w:cs="Times New Roman"/>
                <w:sz w:val="20"/>
                <w:szCs w:val="20"/>
              </w:rPr>
              <w:t>Ba</w:t>
            </w:r>
          </w:p>
        </w:tc>
        <w:tc>
          <w:tcPr>
            <w:tcW w:w="1418" w:type="dxa"/>
            <w:tcBorders>
              <w:bottom w:val="dotted" w:sz="2" w:space="0" w:color="auto"/>
            </w:tcBorders>
          </w:tcPr>
          <w:p w14:paraId="16244570"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0.571</w:t>
            </w:r>
            <w:r w:rsidRPr="00D1262A">
              <w:rPr>
                <w:rFonts w:ascii="Times New Roman" w:hAnsi="Times New Roman" w:cs="Times New Roman"/>
                <w:sz w:val="20"/>
                <w:szCs w:val="20"/>
                <w:vertAlign w:val="superscript"/>
              </w:rPr>
              <w:t>0.022</w:t>
            </w:r>
            <w:r w:rsidRPr="00D1262A">
              <w:rPr>
                <w:rFonts w:ascii="Times New Roman" w:hAnsi="Times New Roman" w:cs="Times New Roman"/>
                <w:sz w:val="20"/>
                <w:szCs w:val="20"/>
              </w:rPr>
              <w:t>Ba</w:t>
            </w:r>
          </w:p>
        </w:tc>
        <w:tc>
          <w:tcPr>
            <w:tcW w:w="709" w:type="dxa"/>
            <w:tcBorders>
              <w:bottom w:val="dotted" w:sz="2" w:space="0" w:color="auto"/>
            </w:tcBorders>
          </w:tcPr>
          <w:p w14:paraId="088884D0" w14:textId="77777777" w:rsidR="003A10A7" w:rsidRPr="00D1262A" w:rsidRDefault="003A10A7" w:rsidP="00087E54">
            <w:pPr>
              <w:spacing w:line="360" w:lineRule="auto"/>
              <w:jc w:val="both"/>
              <w:rPr>
                <w:rFonts w:ascii="Times New Roman" w:hAnsi="Times New Roman" w:cs="Times New Roman"/>
                <w:sz w:val="20"/>
                <w:szCs w:val="20"/>
              </w:rPr>
            </w:pPr>
          </w:p>
        </w:tc>
      </w:tr>
      <w:tr w:rsidR="003A10A7" w:rsidRPr="00D1262A" w14:paraId="5E9F4628" w14:textId="77777777" w:rsidTr="00087E54">
        <w:tc>
          <w:tcPr>
            <w:tcW w:w="993" w:type="dxa"/>
            <w:vMerge w:val="restart"/>
            <w:tcBorders>
              <w:top w:val="dotted" w:sz="2" w:space="0" w:color="auto"/>
            </w:tcBorders>
          </w:tcPr>
          <w:p w14:paraId="75EE460A"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Car</w:t>
            </w:r>
          </w:p>
        </w:tc>
        <w:tc>
          <w:tcPr>
            <w:tcW w:w="1559" w:type="dxa"/>
            <w:tcBorders>
              <w:top w:val="dotted" w:sz="2" w:space="0" w:color="auto"/>
            </w:tcBorders>
          </w:tcPr>
          <w:p w14:paraId="5101DED9" w14:textId="77777777" w:rsidR="003A10A7" w:rsidRPr="00D1262A" w:rsidRDefault="003A10A7" w:rsidP="00087E54">
            <w:pPr>
              <w:spacing w:line="360" w:lineRule="auto"/>
              <w:jc w:val="both"/>
              <w:rPr>
                <w:rFonts w:ascii="Times New Roman" w:hAnsi="Times New Roman" w:cs="Times New Roman"/>
                <w:i/>
                <w:iCs/>
                <w:sz w:val="20"/>
                <w:szCs w:val="20"/>
              </w:rPr>
            </w:pPr>
            <w:r w:rsidRPr="00D1262A">
              <w:rPr>
                <w:rFonts w:ascii="Times New Roman" w:hAnsi="Times New Roman" w:cs="Times New Roman"/>
                <w:i/>
                <w:iCs/>
                <w:sz w:val="20"/>
                <w:szCs w:val="20"/>
              </w:rPr>
              <w:t>S. undatus</w:t>
            </w:r>
          </w:p>
        </w:tc>
        <w:tc>
          <w:tcPr>
            <w:tcW w:w="1417" w:type="dxa"/>
            <w:tcBorders>
              <w:top w:val="dotted" w:sz="2" w:space="0" w:color="auto"/>
            </w:tcBorders>
          </w:tcPr>
          <w:p w14:paraId="4FCF165A"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0.378</w:t>
            </w:r>
            <w:r w:rsidRPr="00D1262A">
              <w:rPr>
                <w:rFonts w:ascii="Times New Roman" w:hAnsi="Times New Roman" w:cs="Times New Roman"/>
                <w:sz w:val="20"/>
                <w:szCs w:val="20"/>
                <w:vertAlign w:val="superscript"/>
              </w:rPr>
              <w:t>0.010</w:t>
            </w:r>
            <w:r w:rsidRPr="00D1262A">
              <w:rPr>
                <w:rFonts w:ascii="Times New Roman" w:hAnsi="Times New Roman" w:cs="Times New Roman"/>
                <w:sz w:val="20"/>
                <w:szCs w:val="20"/>
              </w:rPr>
              <w:t>Ab</w:t>
            </w:r>
          </w:p>
        </w:tc>
        <w:tc>
          <w:tcPr>
            <w:tcW w:w="1418" w:type="dxa"/>
            <w:tcBorders>
              <w:top w:val="dotted" w:sz="2" w:space="0" w:color="auto"/>
            </w:tcBorders>
          </w:tcPr>
          <w:p w14:paraId="56996DA2"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0.416</w:t>
            </w:r>
            <w:r w:rsidRPr="00D1262A">
              <w:rPr>
                <w:rFonts w:ascii="Times New Roman" w:hAnsi="Times New Roman" w:cs="Times New Roman"/>
                <w:sz w:val="20"/>
                <w:szCs w:val="20"/>
                <w:vertAlign w:val="superscript"/>
              </w:rPr>
              <w:t>0.005</w:t>
            </w:r>
            <w:r w:rsidRPr="00D1262A">
              <w:rPr>
                <w:rFonts w:ascii="Times New Roman" w:hAnsi="Times New Roman" w:cs="Times New Roman"/>
                <w:sz w:val="20"/>
                <w:szCs w:val="20"/>
              </w:rPr>
              <w:t>Aa</w:t>
            </w:r>
          </w:p>
        </w:tc>
        <w:tc>
          <w:tcPr>
            <w:tcW w:w="1417" w:type="dxa"/>
            <w:tcBorders>
              <w:top w:val="dotted" w:sz="2" w:space="0" w:color="auto"/>
            </w:tcBorders>
          </w:tcPr>
          <w:p w14:paraId="570FD21E"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0.376</w:t>
            </w:r>
            <w:r w:rsidRPr="00D1262A">
              <w:rPr>
                <w:rFonts w:ascii="Times New Roman" w:hAnsi="Times New Roman" w:cs="Times New Roman"/>
                <w:sz w:val="20"/>
                <w:szCs w:val="20"/>
                <w:vertAlign w:val="superscript"/>
              </w:rPr>
              <w:t>0.005</w:t>
            </w:r>
            <w:r w:rsidRPr="00D1262A">
              <w:rPr>
                <w:rFonts w:ascii="Times New Roman" w:hAnsi="Times New Roman" w:cs="Times New Roman"/>
                <w:sz w:val="20"/>
                <w:szCs w:val="20"/>
              </w:rPr>
              <w:t>Aa</w:t>
            </w:r>
          </w:p>
        </w:tc>
        <w:tc>
          <w:tcPr>
            <w:tcW w:w="1418" w:type="dxa"/>
            <w:tcBorders>
              <w:top w:val="dotted" w:sz="2" w:space="0" w:color="auto"/>
            </w:tcBorders>
          </w:tcPr>
          <w:p w14:paraId="14FCA2D1"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0.238</w:t>
            </w:r>
            <w:r w:rsidRPr="00D1262A">
              <w:rPr>
                <w:rFonts w:ascii="Times New Roman" w:hAnsi="Times New Roman" w:cs="Times New Roman"/>
                <w:sz w:val="20"/>
                <w:szCs w:val="20"/>
                <w:vertAlign w:val="superscript"/>
              </w:rPr>
              <w:t>0.002</w:t>
            </w:r>
            <w:r w:rsidRPr="00D1262A">
              <w:rPr>
                <w:rFonts w:ascii="Times New Roman" w:hAnsi="Times New Roman" w:cs="Times New Roman"/>
                <w:sz w:val="20"/>
                <w:szCs w:val="20"/>
              </w:rPr>
              <w:t>Bb</w:t>
            </w:r>
          </w:p>
        </w:tc>
        <w:tc>
          <w:tcPr>
            <w:tcW w:w="709" w:type="dxa"/>
            <w:tcBorders>
              <w:top w:val="dotted" w:sz="2" w:space="0" w:color="auto"/>
            </w:tcBorders>
          </w:tcPr>
          <w:p w14:paraId="3AFEDE34"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7.86</w:t>
            </w:r>
          </w:p>
        </w:tc>
      </w:tr>
      <w:tr w:rsidR="003A10A7" w:rsidRPr="00D1262A" w14:paraId="2926CA5D" w14:textId="77777777" w:rsidTr="00087E54">
        <w:tc>
          <w:tcPr>
            <w:tcW w:w="993" w:type="dxa"/>
            <w:vMerge/>
            <w:tcBorders>
              <w:bottom w:val="single" w:sz="4" w:space="0" w:color="auto"/>
            </w:tcBorders>
          </w:tcPr>
          <w:p w14:paraId="1F53617F" w14:textId="77777777" w:rsidR="003A10A7" w:rsidRPr="00D1262A" w:rsidRDefault="003A10A7" w:rsidP="00087E54">
            <w:pPr>
              <w:spacing w:line="360" w:lineRule="auto"/>
              <w:jc w:val="both"/>
              <w:rPr>
                <w:rFonts w:ascii="Times New Roman" w:hAnsi="Times New Roman" w:cs="Times New Roman"/>
                <w:sz w:val="20"/>
                <w:szCs w:val="20"/>
              </w:rPr>
            </w:pPr>
          </w:p>
        </w:tc>
        <w:tc>
          <w:tcPr>
            <w:tcW w:w="1559" w:type="dxa"/>
            <w:tcBorders>
              <w:bottom w:val="single" w:sz="4" w:space="0" w:color="auto"/>
            </w:tcBorders>
          </w:tcPr>
          <w:p w14:paraId="5CD00D5E"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i/>
                <w:iCs/>
                <w:sz w:val="20"/>
                <w:szCs w:val="20"/>
              </w:rPr>
              <w:t xml:space="preserve">H. </w:t>
            </w:r>
            <w:proofErr w:type="spellStart"/>
            <w:r w:rsidRPr="00D1262A">
              <w:rPr>
                <w:rFonts w:ascii="Times New Roman" w:hAnsi="Times New Roman" w:cs="Times New Roman"/>
                <w:i/>
                <w:iCs/>
                <w:sz w:val="20"/>
                <w:szCs w:val="20"/>
              </w:rPr>
              <w:t>polyrhizus</w:t>
            </w:r>
            <w:proofErr w:type="spellEnd"/>
          </w:p>
        </w:tc>
        <w:tc>
          <w:tcPr>
            <w:tcW w:w="1417" w:type="dxa"/>
            <w:tcBorders>
              <w:bottom w:val="single" w:sz="4" w:space="0" w:color="auto"/>
            </w:tcBorders>
          </w:tcPr>
          <w:p w14:paraId="349DACE2"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0.488</w:t>
            </w:r>
            <w:r w:rsidRPr="00D1262A">
              <w:rPr>
                <w:rFonts w:ascii="Times New Roman" w:hAnsi="Times New Roman" w:cs="Times New Roman"/>
                <w:sz w:val="20"/>
                <w:szCs w:val="20"/>
                <w:vertAlign w:val="superscript"/>
              </w:rPr>
              <w:t>0.010</w:t>
            </w:r>
            <w:r w:rsidRPr="00D1262A">
              <w:rPr>
                <w:rFonts w:ascii="Times New Roman" w:hAnsi="Times New Roman" w:cs="Times New Roman"/>
                <w:sz w:val="20"/>
                <w:szCs w:val="20"/>
              </w:rPr>
              <w:t>Aa</w:t>
            </w:r>
          </w:p>
        </w:tc>
        <w:tc>
          <w:tcPr>
            <w:tcW w:w="1418" w:type="dxa"/>
            <w:tcBorders>
              <w:bottom w:val="single" w:sz="4" w:space="0" w:color="auto"/>
            </w:tcBorders>
          </w:tcPr>
          <w:p w14:paraId="1FFE3CDC"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0.421</w:t>
            </w:r>
            <w:r w:rsidRPr="00D1262A">
              <w:rPr>
                <w:rFonts w:ascii="Times New Roman" w:hAnsi="Times New Roman" w:cs="Times New Roman"/>
                <w:sz w:val="20"/>
                <w:szCs w:val="20"/>
                <w:vertAlign w:val="superscript"/>
              </w:rPr>
              <w:t>0.008</w:t>
            </w:r>
            <w:r w:rsidRPr="00D1262A">
              <w:rPr>
                <w:rFonts w:ascii="Times New Roman" w:hAnsi="Times New Roman" w:cs="Times New Roman"/>
                <w:sz w:val="20"/>
                <w:szCs w:val="20"/>
              </w:rPr>
              <w:t>Ba</w:t>
            </w:r>
          </w:p>
        </w:tc>
        <w:tc>
          <w:tcPr>
            <w:tcW w:w="1417" w:type="dxa"/>
            <w:tcBorders>
              <w:bottom w:val="single" w:sz="4" w:space="0" w:color="auto"/>
            </w:tcBorders>
          </w:tcPr>
          <w:p w14:paraId="777186D4"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0.386</w:t>
            </w:r>
            <w:r w:rsidRPr="00D1262A">
              <w:rPr>
                <w:rFonts w:ascii="Times New Roman" w:hAnsi="Times New Roman" w:cs="Times New Roman"/>
                <w:sz w:val="20"/>
                <w:szCs w:val="20"/>
                <w:vertAlign w:val="superscript"/>
              </w:rPr>
              <w:t>0.008</w:t>
            </w:r>
            <w:r w:rsidRPr="00D1262A">
              <w:rPr>
                <w:rFonts w:ascii="Times New Roman" w:hAnsi="Times New Roman" w:cs="Times New Roman"/>
                <w:sz w:val="20"/>
                <w:szCs w:val="20"/>
              </w:rPr>
              <w:t>Ba</w:t>
            </w:r>
          </w:p>
        </w:tc>
        <w:tc>
          <w:tcPr>
            <w:tcW w:w="1418" w:type="dxa"/>
            <w:tcBorders>
              <w:bottom w:val="single" w:sz="4" w:space="0" w:color="auto"/>
            </w:tcBorders>
          </w:tcPr>
          <w:p w14:paraId="594E7B16" w14:textId="77777777" w:rsidR="003A10A7" w:rsidRPr="00D1262A" w:rsidRDefault="003A10A7" w:rsidP="00087E54">
            <w:pPr>
              <w:spacing w:line="360" w:lineRule="auto"/>
              <w:jc w:val="both"/>
              <w:rPr>
                <w:rFonts w:ascii="Times New Roman" w:hAnsi="Times New Roman" w:cs="Times New Roman"/>
                <w:sz w:val="20"/>
                <w:szCs w:val="20"/>
              </w:rPr>
            </w:pPr>
            <w:r w:rsidRPr="00D1262A">
              <w:rPr>
                <w:rFonts w:ascii="Times New Roman" w:hAnsi="Times New Roman" w:cs="Times New Roman"/>
                <w:sz w:val="20"/>
                <w:szCs w:val="20"/>
              </w:rPr>
              <w:t>0.350</w:t>
            </w:r>
            <w:r w:rsidRPr="00D1262A">
              <w:rPr>
                <w:rFonts w:ascii="Times New Roman" w:hAnsi="Times New Roman" w:cs="Times New Roman"/>
                <w:sz w:val="20"/>
                <w:szCs w:val="20"/>
                <w:vertAlign w:val="superscript"/>
              </w:rPr>
              <w:t>0.005</w:t>
            </w:r>
            <w:r w:rsidRPr="00D1262A">
              <w:rPr>
                <w:rFonts w:ascii="Times New Roman" w:hAnsi="Times New Roman" w:cs="Times New Roman"/>
                <w:sz w:val="20"/>
                <w:szCs w:val="20"/>
              </w:rPr>
              <w:t>Ca</w:t>
            </w:r>
          </w:p>
        </w:tc>
        <w:tc>
          <w:tcPr>
            <w:tcW w:w="709" w:type="dxa"/>
            <w:tcBorders>
              <w:bottom w:val="single" w:sz="4" w:space="0" w:color="auto"/>
            </w:tcBorders>
          </w:tcPr>
          <w:p w14:paraId="32D4CF70" w14:textId="77777777" w:rsidR="003A10A7" w:rsidRPr="00D1262A" w:rsidRDefault="003A10A7" w:rsidP="00087E54">
            <w:pPr>
              <w:spacing w:line="360" w:lineRule="auto"/>
              <w:jc w:val="both"/>
              <w:rPr>
                <w:rFonts w:ascii="Times New Roman" w:hAnsi="Times New Roman" w:cs="Times New Roman"/>
                <w:sz w:val="20"/>
                <w:szCs w:val="20"/>
              </w:rPr>
            </w:pPr>
          </w:p>
        </w:tc>
      </w:tr>
    </w:tbl>
    <w:p w14:paraId="786050FC" w14:textId="77777777" w:rsidR="0064654D" w:rsidRPr="004D633B" w:rsidRDefault="0064654D" w:rsidP="0064654D">
      <w:pPr>
        <w:spacing w:line="360" w:lineRule="auto"/>
        <w:jc w:val="both"/>
        <w:rPr>
          <w:rFonts w:ascii="Times New Roman" w:hAnsi="Times New Roman" w:cs="Times New Roman"/>
          <w:sz w:val="20"/>
          <w:szCs w:val="20"/>
          <w:lang w:val="en-US"/>
        </w:rPr>
      </w:pPr>
      <w:r w:rsidRPr="00555487">
        <w:rPr>
          <w:rFonts w:ascii="Times New Roman" w:hAnsi="Times New Roman" w:cs="Times New Roman"/>
          <w:sz w:val="20"/>
          <w:szCs w:val="20"/>
          <w:lang w:val="en-US"/>
        </w:rPr>
        <w:t xml:space="preserve">Means (± standard error) followed by the same uppercase letter within rows (light quality) and the same lowercase letter within columns (species) are not significantly different according to Tukey's honestly significant difference (HSD) test (p ≤ 0.05). </w:t>
      </w:r>
      <w:r w:rsidRPr="004D633B">
        <w:rPr>
          <w:rFonts w:ascii="Times New Roman" w:hAnsi="Times New Roman" w:cs="Times New Roman"/>
          <w:sz w:val="20"/>
          <w:szCs w:val="20"/>
          <w:lang w:val="en-US"/>
        </w:rPr>
        <w:t xml:space="preserve">C.V. = coefficient of variation (%). </w:t>
      </w:r>
    </w:p>
    <w:p w14:paraId="14B43D2A" w14:textId="77777777" w:rsidR="003A10A7" w:rsidRPr="00D1262A" w:rsidRDefault="003A10A7" w:rsidP="003A10A7">
      <w:pPr>
        <w:spacing w:line="360" w:lineRule="auto"/>
        <w:jc w:val="both"/>
        <w:rPr>
          <w:rFonts w:ascii="Times New Roman" w:hAnsi="Times New Roman" w:cs="Times New Roman"/>
          <w:sz w:val="20"/>
          <w:szCs w:val="20"/>
          <w:lang w:val="en-US"/>
        </w:rPr>
      </w:pPr>
    </w:p>
    <w:p w14:paraId="619B3106" w14:textId="77777777" w:rsidR="003A10A7" w:rsidRPr="00D1262A" w:rsidRDefault="003A10A7" w:rsidP="003A10A7">
      <w:pPr>
        <w:spacing w:line="360" w:lineRule="auto"/>
        <w:ind w:firstLine="708"/>
        <w:jc w:val="both"/>
        <w:rPr>
          <w:rFonts w:ascii="Times New Roman" w:hAnsi="Times New Roman" w:cs="Times New Roman"/>
          <w:bCs/>
          <w:sz w:val="20"/>
          <w:szCs w:val="20"/>
          <w:lang w:val="en-US"/>
        </w:rPr>
      </w:pPr>
      <w:r w:rsidRPr="00D1262A">
        <w:rPr>
          <w:rFonts w:ascii="Times New Roman" w:hAnsi="Times New Roman" w:cs="Times New Roman"/>
          <w:bCs/>
          <w:sz w:val="20"/>
          <w:szCs w:val="20"/>
          <w:lang w:val="en-US"/>
        </w:rPr>
        <w:lastRenderedPageBreak/>
        <w:t xml:space="preserve">Between the species, </w:t>
      </w:r>
      <w:r w:rsidRPr="00D1262A">
        <w:rPr>
          <w:rFonts w:ascii="Times New Roman" w:hAnsi="Times New Roman" w:cs="Times New Roman"/>
          <w:bCs/>
          <w:i/>
          <w:iCs/>
          <w:sz w:val="20"/>
          <w:szCs w:val="20"/>
          <w:lang w:val="en-US"/>
        </w:rPr>
        <w:t xml:space="preserve">H. </w:t>
      </w:r>
      <w:proofErr w:type="spellStart"/>
      <w:r w:rsidRPr="00D1262A">
        <w:rPr>
          <w:rFonts w:ascii="Times New Roman" w:hAnsi="Times New Roman" w:cs="Times New Roman"/>
          <w:bCs/>
          <w:i/>
          <w:iCs/>
          <w:sz w:val="20"/>
          <w:szCs w:val="20"/>
          <w:lang w:val="en-US"/>
        </w:rPr>
        <w:t>polyrhizus</w:t>
      </w:r>
      <w:proofErr w:type="spellEnd"/>
      <w:r w:rsidRPr="00D1262A">
        <w:rPr>
          <w:rFonts w:ascii="Times New Roman" w:hAnsi="Times New Roman" w:cs="Times New Roman"/>
          <w:bCs/>
          <w:sz w:val="20"/>
          <w:szCs w:val="20"/>
          <w:lang w:val="en-US"/>
        </w:rPr>
        <w:t xml:space="preserve"> exhibited higher pigment contents than </w:t>
      </w:r>
      <w:r w:rsidRPr="00D1262A">
        <w:rPr>
          <w:rFonts w:ascii="Times New Roman" w:hAnsi="Times New Roman" w:cs="Times New Roman"/>
          <w:bCs/>
          <w:i/>
          <w:iCs/>
          <w:sz w:val="20"/>
          <w:szCs w:val="20"/>
          <w:lang w:val="en-US"/>
        </w:rPr>
        <w:t>S. undatus</w:t>
      </w:r>
      <w:r w:rsidRPr="00D1262A">
        <w:rPr>
          <w:rFonts w:ascii="Times New Roman" w:hAnsi="Times New Roman" w:cs="Times New Roman"/>
          <w:bCs/>
          <w:sz w:val="20"/>
          <w:szCs w:val="20"/>
          <w:lang w:val="en-US"/>
        </w:rPr>
        <w:t xml:space="preserve"> under white and red light. Under blue and purple light, no significant differences in pigment contents were observed between the two species (Table 3).</w:t>
      </w:r>
    </w:p>
    <w:p w14:paraId="235E5CA2" w14:textId="77777777" w:rsidR="00073978" w:rsidRPr="00073978" w:rsidRDefault="00073978" w:rsidP="00073978">
      <w:pPr>
        <w:spacing w:after="0" w:line="360" w:lineRule="auto"/>
        <w:ind w:firstLine="708"/>
        <w:jc w:val="both"/>
        <w:rPr>
          <w:rFonts w:ascii="Times New Roman" w:hAnsi="Times New Roman" w:cs="Times New Roman"/>
          <w:bCs/>
          <w:sz w:val="20"/>
          <w:szCs w:val="20"/>
          <w:highlight w:val="yellow"/>
          <w:lang w:val="en-US"/>
        </w:rPr>
      </w:pPr>
      <w:r w:rsidRPr="00073978">
        <w:rPr>
          <w:rFonts w:ascii="Times New Roman" w:hAnsi="Times New Roman" w:cs="Times New Roman"/>
          <w:bCs/>
          <w:sz w:val="20"/>
          <w:szCs w:val="20"/>
          <w:highlight w:val="yellow"/>
          <w:lang w:val="en-US"/>
        </w:rPr>
        <w:t xml:space="preserve">The higher pigment contents recorded in </w:t>
      </w:r>
      <w:r w:rsidRPr="00073978">
        <w:rPr>
          <w:rFonts w:ascii="Times New Roman" w:hAnsi="Times New Roman" w:cs="Times New Roman"/>
          <w:bCs/>
          <w:i/>
          <w:iCs/>
          <w:sz w:val="20"/>
          <w:szCs w:val="20"/>
          <w:highlight w:val="yellow"/>
          <w:lang w:val="en-US"/>
        </w:rPr>
        <w:t xml:space="preserve">Hylocereus </w:t>
      </w:r>
      <w:proofErr w:type="spellStart"/>
      <w:r w:rsidRPr="00073978">
        <w:rPr>
          <w:rFonts w:ascii="Times New Roman" w:hAnsi="Times New Roman" w:cs="Times New Roman"/>
          <w:bCs/>
          <w:i/>
          <w:iCs/>
          <w:sz w:val="20"/>
          <w:szCs w:val="20"/>
          <w:highlight w:val="yellow"/>
          <w:lang w:val="en-US"/>
        </w:rPr>
        <w:t>polyrhizus</w:t>
      </w:r>
      <w:proofErr w:type="spellEnd"/>
      <w:r w:rsidRPr="00073978">
        <w:rPr>
          <w:rFonts w:ascii="Times New Roman" w:hAnsi="Times New Roman" w:cs="Times New Roman"/>
          <w:bCs/>
          <w:sz w:val="20"/>
          <w:szCs w:val="20"/>
          <w:highlight w:val="yellow"/>
          <w:lang w:val="en-US"/>
        </w:rPr>
        <w:t xml:space="preserve"> under white light, compared with the other LED treatments, indicate species-specific differences in pigment accumulation relative to </w:t>
      </w:r>
      <w:r w:rsidRPr="00073978">
        <w:rPr>
          <w:rFonts w:ascii="Times New Roman" w:hAnsi="Times New Roman" w:cs="Times New Roman"/>
          <w:bCs/>
          <w:i/>
          <w:iCs/>
          <w:sz w:val="20"/>
          <w:szCs w:val="20"/>
          <w:highlight w:val="yellow"/>
          <w:lang w:val="en-US"/>
        </w:rPr>
        <w:t>Selenicereus undatus</w:t>
      </w:r>
      <w:r w:rsidRPr="00073978">
        <w:rPr>
          <w:rFonts w:ascii="Times New Roman" w:hAnsi="Times New Roman" w:cs="Times New Roman"/>
          <w:bCs/>
          <w:sz w:val="20"/>
          <w:szCs w:val="20"/>
          <w:highlight w:val="yellow"/>
          <w:lang w:val="en-US"/>
        </w:rPr>
        <w:t xml:space="preserve"> (</w:t>
      </w:r>
      <w:proofErr w:type="spellStart"/>
      <w:r w:rsidRPr="00073978">
        <w:rPr>
          <w:rFonts w:ascii="Times New Roman" w:hAnsi="Times New Roman" w:cs="Times New Roman"/>
          <w:bCs/>
          <w:sz w:val="20"/>
          <w:szCs w:val="20"/>
          <w:highlight w:val="yellow"/>
          <w:lang w:val="en-US"/>
        </w:rPr>
        <w:t>Yaoyuan</w:t>
      </w:r>
      <w:proofErr w:type="spellEnd"/>
      <w:r w:rsidRPr="00073978">
        <w:rPr>
          <w:rFonts w:ascii="Times New Roman" w:hAnsi="Times New Roman" w:cs="Times New Roman"/>
          <w:bCs/>
          <w:sz w:val="20"/>
          <w:szCs w:val="20"/>
          <w:highlight w:val="yellow"/>
          <w:lang w:val="en-US"/>
        </w:rPr>
        <w:t xml:space="preserve"> et al., 2025). This pattern is supported by differences in total chlorophyll content, suggesting that the two species respond differently to the evaluated lighting conditions (Sumi et al., 2025; </w:t>
      </w:r>
      <w:proofErr w:type="spellStart"/>
      <w:r w:rsidRPr="00073978">
        <w:rPr>
          <w:rFonts w:ascii="Times New Roman" w:hAnsi="Times New Roman" w:cs="Times New Roman"/>
          <w:bCs/>
          <w:sz w:val="20"/>
          <w:szCs w:val="20"/>
          <w:highlight w:val="yellow"/>
          <w:lang w:val="en-US"/>
        </w:rPr>
        <w:t>Yaoyuan</w:t>
      </w:r>
      <w:proofErr w:type="spellEnd"/>
      <w:r w:rsidRPr="00073978">
        <w:rPr>
          <w:rFonts w:ascii="Times New Roman" w:hAnsi="Times New Roman" w:cs="Times New Roman"/>
          <w:bCs/>
          <w:sz w:val="20"/>
          <w:szCs w:val="20"/>
          <w:highlight w:val="yellow"/>
          <w:lang w:val="en-US"/>
        </w:rPr>
        <w:t xml:space="preserve"> et al., 2025). White light, characterized by a broader spectral distribution than monochromatic LEDs, was associated with greater pigment accumulation in </w:t>
      </w:r>
      <w:r w:rsidRPr="00073978">
        <w:rPr>
          <w:rFonts w:ascii="Times New Roman" w:hAnsi="Times New Roman" w:cs="Times New Roman"/>
          <w:bCs/>
          <w:i/>
          <w:iCs/>
          <w:sz w:val="20"/>
          <w:szCs w:val="20"/>
          <w:highlight w:val="yellow"/>
          <w:lang w:val="en-US"/>
        </w:rPr>
        <w:t xml:space="preserve">H. </w:t>
      </w:r>
      <w:proofErr w:type="spellStart"/>
      <w:r w:rsidRPr="00073978">
        <w:rPr>
          <w:rFonts w:ascii="Times New Roman" w:hAnsi="Times New Roman" w:cs="Times New Roman"/>
          <w:bCs/>
          <w:i/>
          <w:iCs/>
          <w:sz w:val="20"/>
          <w:szCs w:val="20"/>
          <w:highlight w:val="yellow"/>
          <w:lang w:val="en-US"/>
        </w:rPr>
        <w:t>polyrhizus</w:t>
      </w:r>
      <w:proofErr w:type="spellEnd"/>
      <w:r w:rsidRPr="00073978">
        <w:rPr>
          <w:rFonts w:ascii="Times New Roman" w:hAnsi="Times New Roman" w:cs="Times New Roman"/>
          <w:bCs/>
          <w:sz w:val="20"/>
          <w:szCs w:val="20"/>
          <w:highlight w:val="yellow"/>
          <w:lang w:val="en-US"/>
        </w:rPr>
        <w:t xml:space="preserve">. Previous studies have reported that the simultaneous presence of blue and red wavelengths supports chlorophyll biosynthesis, photomorphogenic responses, and balanced excitation of photosystems I and II, contributing to more efficient light utilization (Baidya et al., 2021; Liu &amp; Van </w:t>
      </w:r>
      <w:proofErr w:type="spellStart"/>
      <w:r w:rsidRPr="00073978">
        <w:rPr>
          <w:rFonts w:ascii="Times New Roman" w:hAnsi="Times New Roman" w:cs="Times New Roman"/>
          <w:bCs/>
          <w:sz w:val="20"/>
          <w:szCs w:val="20"/>
          <w:highlight w:val="yellow"/>
          <w:lang w:val="en-US"/>
        </w:rPr>
        <w:t>Iersel</w:t>
      </w:r>
      <w:proofErr w:type="spellEnd"/>
      <w:r w:rsidRPr="00073978">
        <w:rPr>
          <w:rFonts w:ascii="Times New Roman" w:hAnsi="Times New Roman" w:cs="Times New Roman"/>
          <w:bCs/>
          <w:sz w:val="20"/>
          <w:szCs w:val="20"/>
          <w:highlight w:val="yellow"/>
          <w:lang w:val="en-US"/>
        </w:rPr>
        <w:t xml:space="preserve">, 2021; </w:t>
      </w:r>
      <w:proofErr w:type="spellStart"/>
      <w:r w:rsidRPr="00073978">
        <w:rPr>
          <w:rFonts w:ascii="Times New Roman" w:hAnsi="Times New Roman" w:cs="Times New Roman"/>
          <w:bCs/>
          <w:sz w:val="20"/>
          <w:szCs w:val="20"/>
          <w:highlight w:val="yellow"/>
          <w:lang w:val="en-US"/>
        </w:rPr>
        <w:t>Yaoyuan</w:t>
      </w:r>
      <w:proofErr w:type="spellEnd"/>
      <w:r w:rsidRPr="00073978">
        <w:rPr>
          <w:rFonts w:ascii="Times New Roman" w:hAnsi="Times New Roman" w:cs="Times New Roman"/>
          <w:bCs/>
          <w:sz w:val="20"/>
          <w:szCs w:val="20"/>
          <w:highlight w:val="yellow"/>
          <w:lang w:val="en-US"/>
        </w:rPr>
        <w:t xml:space="preserve"> et al., 2025). Although these physiological processes were not directly investigated in the present study, they provide plausible explanations for the observed responses.</w:t>
      </w:r>
    </w:p>
    <w:p w14:paraId="7614881E" w14:textId="77777777" w:rsidR="00073978" w:rsidRPr="00073978" w:rsidRDefault="00073978" w:rsidP="00073978">
      <w:pPr>
        <w:spacing w:after="0" w:line="360" w:lineRule="auto"/>
        <w:ind w:firstLine="708"/>
        <w:jc w:val="both"/>
        <w:rPr>
          <w:rFonts w:ascii="Times New Roman" w:hAnsi="Times New Roman" w:cs="Times New Roman"/>
          <w:bCs/>
          <w:sz w:val="20"/>
          <w:szCs w:val="20"/>
          <w:highlight w:val="yellow"/>
          <w:lang w:val="en-US"/>
        </w:rPr>
      </w:pPr>
      <w:r w:rsidRPr="00073978">
        <w:rPr>
          <w:rFonts w:ascii="Times New Roman" w:hAnsi="Times New Roman" w:cs="Times New Roman"/>
          <w:bCs/>
          <w:sz w:val="20"/>
          <w:szCs w:val="20"/>
          <w:highlight w:val="yellow"/>
          <w:lang w:val="en-US"/>
        </w:rPr>
        <w:t xml:space="preserve">Similarly, the greater pigment accumulation observed in </w:t>
      </w:r>
      <w:r w:rsidRPr="00073978">
        <w:rPr>
          <w:rFonts w:ascii="Times New Roman" w:hAnsi="Times New Roman" w:cs="Times New Roman"/>
          <w:bCs/>
          <w:i/>
          <w:iCs/>
          <w:sz w:val="20"/>
          <w:szCs w:val="20"/>
          <w:highlight w:val="yellow"/>
          <w:lang w:val="en-US"/>
        </w:rPr>
        <w:t>Selenicereus undatus</w:t>
      </w:r>
      <w:r w:rsidRPr="00073978">
        <w:rPr>
          <w:rFonts w:ascii="Times New Roman" w:hAnsi="Times New Roman" w:cs="Times New Roman"/>
          <w:bCs/>
          <w:sz w:val="20"/>
          <w:szCs w:val="20"/>
          <w:highlight w:val="yellow"/>
          <w:lang w:val="en-US"/>
        </w:rPr>
        <w:t xml:space="preserve"> under blue light is consistent with previous reports describing positive effects of blue wavelengths on pigment accumulation under controlled conditions. Blue light has been </w:t>
      </w:r>
      <w:r w:rsidRPr="0058723E">
        <w:rPr>
          <w:rFonts w:ascii="Times New Roman" w:hAnsi="Times New Roman" w:cs="Times New Roman"/>
          <w:bCs/>
          <w:sz w:val="20"/>
          <w:szCs w:val="20"/>
          <w:highlight w:val="yellow"/>
          <w:lang w:val="en-US"/>
        </w:rPr>
        <w:t xml:space="preserve">associated with regulation of photoreceptor-related </w:t>
      </w:r>
      <w:r w:rsidRPr="00073978">
        <w:rPr>
          <w:rFonts w:ascii="Times New Roman" w:hAnsi="Times New Roman" w:cs="Times New Roman"/>
          <w:bCs/>
          <w:sz w:val="20"/>
          <w:szCs w:val="20"/>
          <w:highlight w:val="yellow"/>
          <w:lang w:val="en-US"/>
        </w:rPr>
        <w:t>processes involved in chlorophyll biosynthesis and chloroplast development in several species (</w:t>
      </w:r>
      <w:proofErr w:type="spellStart"/>
      <w:r w:rsidRPr="00073978">
        <w:rPr>
          <w:rFonts w:ascii="Times New Roman" w:hAnsi="Times New Roman" w:cs="Times New Roman"/>
          <w:bCs/>
          <w:sz w:val="20"/>
          <w:szCs w:val="20"/>
          <w:highlight w:val="yellow"/>
          <w:lang w:val="en-US"/>
        </w:rPr>
        <w:t>Raqiba</w:t>
      </w:r>
      <w:proofErr w:type="spellEnd"/>
      <w:r w:rsidRPr="00073978">
        <w:rPr>
          <w:rFonts w:ascii="Times New Roman" w:hAnsi="Times New Roman" w:cs="Times New Roman"/>
          <w:bCs/>
          <w:sz w:val="20"/>
          <w:szCs w:val="20"/>
          <w:highlight w:val="yellow"/>
          <w:lang w:val="en-US"/>
        </w:rPr>
        <w:t xml:space="preserve"> &amp; Sibi, 2019; Liu &amp; Van </w:t>
      </w:r>
      <w:proofErr w:type="spellStart"/>
      <w:r w:rsidRPr="00073978">
        <w:rPr>
          <w:rFonts w:ascii="Times New Roman" w:hAnsi="Times New Roman" w:cs="Times New Roman"/>
          <w:bCs/>
          <w:sz w:val="20"/>
          <w:szCs w:val="20"/>
          <w:highlight w:val="yellow"/>
          <w:lang w:val="en-US"/>
        </w:rPr>
        <w:t>Iersel</w:t>
      </w:r>
      <w:proofErr w:type="spellEnd"/>
      <w:r w:rsidRPr="00073978">
        <w:rPr>
          <w:rFonts w:ascii="Times New Roman" w:hAnsi="Times New Roman" w:cs="Times New Roman"/>
          <w:bCs/>
          <w:sz w:val="20"/>
          <w:szCs w:val="20"/>
          <w:highlight w:val="yellow"/>
          <w:lang w:val="en-US"/>
        </w:rPr>
        <w:t xml:space="preserve">, 2021; Wu et al., 2024; </w:t>
      </w:r>
      <w:proofErr w:type="spellStart"/>
      <w:r w:rsidRPr="00073978">
        <w:rPr>
          <w:rFonts w:ascii="Times New Roman" w:hAnsi="Times New Roman" w:cs="Times New Roman"/>
          <w:bCs/>
          <w:sz w:val="20"/>
          <w:szCs w:val="20"/>
          <w:highlight w:val="yellow"/>
          <w:lang w:val="en-US"/>
        </w:rPr>
        <w:t>Yaoyuan</w:t>
      </w:r>
      <w:proofErr w:type="spellEnd"/>
      <w:r w:rsidRPr="00073978">
        <w:rPr>
          <w:rFonts w:ascii="Times New Roman" w:hAnsi="Times New Roman" w:cs="Times New Roman"/>
          <w:bCs/>
          <w:sz w:val="20"/>
          <w:szCs w:val="20"/>
          <w:highlight w:val="yellow"/>
          <w:lang w:val="en-US"/>
        </w:rPr>
        <w:t xml:space="preserve"> et al., 2025). However, since photoreceptor activity and gene expression were not assessed in the present study, these mechanisms should be considered as possible explanations rather than direct evidence.</w:t>
      </w:r>
    </w:p>
    <w:p w14:paraId="0CB6DBDD" w14:textId="77777777" w:rsidR="00073978" w:rsidRPr="00073978" w:rsidRDefault="00073978" w:rsidP="00073978">
      <w:pPr>
        <w:spacing w:after="0" w:line="360" w:lineRule="auto"/>
        <w:ind w:firstLine="708"/>
        <w:jc w:val="both"/>
        <w:rPr>
          <w:rFonts w:ascii="Times New Roman" w:hAnsi="Times New Roman" w:cs="Times New Roman"/>
          <w:bCs/>
          <w:sz w:val="20"/>
          <w:szCs w:val="20"/>
          <w:highlight w:val="yellow"/>
          <w:lang w:val="en-US"/>
        </w:rPr>
      </w:pPr>
      <w:r w:rsidRPr="00073978">
        <w:rPr>
          <w:rFonts w:ascii="Times New Roman" w:hAnsi="Times New Roman" w:cs="Times New Roman"/>
          <w:bCs/>
          <w:sz w:val="20"/>
          <w:szCs w:val="20"/>
          <w:highlight w:val="yellow"/>
          <w:lang w:val="en-US"/>
        </w:rPr>
        <w:t xml:space="preserve">In contrast, both pitaya species exhibited lower pigment accumulation under red light compared with broader-spectrum treatments. This suggests that monochromatic red light alone may be less effective in maintaining chlorophyll and carotenoid levels under the experimental conditions. Previous studies have likewise reported that the absence of blue wavelengths may reduce pigment accumulation by limiting physiological processes associated with chlorophyll biosynthesis (Sumi et al., 2025; </w:t>
      </w:r>
      <w:proofErr w:type="spellStart"/>
      <w:r w:rsidRPr="00073978">
        <w:rPr>
          <w:rFonts w:ascii="Times New Roman" w:hAnsi="Times New Roman" w:cs="Times New Roman"/>
          <w:bCs/>
          <w:sz w:val="20"/>
          <w:szCs w:val="20"/>
          <w:highlight w:val="yellow"/>
          <w:lang w:val="en-US"/>
        </w:rPr>
        <w:t>Yaoyuan</w:t>
      </w:r>
      <w:proofErr w:type="spellEnd"/>
      <w:r w:rsidRPr="00073978">
        <w:rPr>
          <w:rFonts w:ascii="Times New Roman" w:hAnsi="Times New Roman" w:cs="Times New Roman"/>
          <w:bCs/>
          <w:sz w:val="20"/>
          <w:szCs w:val="20"/>
          <w:highlight w:val="yellow"/>
          <w:lang w:val="en-US"/>
        </w:rPr>
        <w:t xml:space="preserve"> et al., 2025).</w:t>
      </w:r>
    </w:p>
    <w:p w14:paraId="5E1D7597" w14:textId="77777777" w:rsidR="00073978" w:rsidRPr="00073978" w:rsidRDefault="00073978" w:rsidP="00073978">
      <w:pPr>
        <w:spacing w:after="0" w:line="360" w:lineRule="auto"/>
        <w:ind w:firstLine="708"/>
        <w:jc w:val="both"/>
        <w:rPr>
          <w:rFonts w:ascii="Times New Roman" w:hAnsi="Times New Roman" w:cs="Times New Roman"/>
          <w:bCs/>
          <w:sz w:val="20"/>
          <w:szCs w:val="20"/>
          <w:highlight w:val="yellow"/>
          <w:lang w:val="en-US"/>
        </w:rPr>
      </w:pPr>
      <w:r w:rsidRPr="00073978">
        <w:rPr>
          <w:rFonts w:ascii="Times New Roman" w:hAnsi="Times New Roman" w:cs="Times New Roman"/>
          <w:bCs/>
          <w:sz w:val="20"/>
          <w:szCs w:val="20"/>
          <w:highlight w:val="yellow"/>
          <w:lang w:val="en-US"/>
        </w:rPr>
        <w:t>Because slight differences in estimated PPFD among LED treatments could not be completely eliminated, pigment responses should be interpreted as resulting from the combined influence of spectral composition and photon flux density.</w:t>
      </w:r>
    </w:p>
    <w:p w14:paraId="32645114" w14:textId="24FC28CF" w:rsidR="00154044" w:rsidRPr="00B37E57" w:rsidRDefault="00154044" w:rsidP="00BF643F">
      <w:pPr>
        <w:spacing w:after="0" w:line="360" w:lineRule="auto"/>
        <w:ind w:firstLine="708"/>
        <w:jc w:val="both"/>
        <w:rPr>
          <w:rFonts w:ascii="Times New Roman" w:hAnsi="Times New Roman" w:cs="Times New Roman"/>
          <w:bCs/>
          <w:sz w:val="20"/>
          <w:szCs w:val="20"/>
          <w:lang w:val="en-US"/>
        </w:rPr>
      </w:pPr>
    </w:p>
    <w:p w14:paraId="2A7C91B3" w14:textId="7997D58B" w:rsidR="003A10A7" w:rsidRDefault="00AA596E" w:rsidP="0085520E">
      <w:pPr>
        <w:spacing w:line="360" w:lineRule="auto"/>
        <w:ind w:firstLine="708"/>
        <w:jc w:val="both"/>
        <w:rPr>
          <w:rFonts w:ascii="Times New Roman" w:hAnsi="Times New Roman" w:cs="Times New Roman"/>
          <w:bCs/>
          <w:sz w:val="20"/>
          <w:szCs w:val="20"/>
          <w:lang w:val="en-US"/>
        </w:rPr>
      </w:pPr>
      <w:r w:rsidRPr="00A66F53">
        <w:rPr>
          <w:noProof/>
          <w:sz w:val="24"/>
          <w:szCs w:val="24"/>
        </w:rPr>
        <w:lastRenderedPageBreak/>
        <w:drawing>
          <wp:anchor distT="0" distB="0" distL="114300" distR="114300" simplePos="0" relativeHeight="251661312" behindDoc="0" locked="0" layoutInCell="1" allowOverlap="1" wp14:anchorId="2F554B7A" wp14:editId="1F063382">
            <wp:simplePos x="0" y="0"/>
            <wp:positionH relativeFrom="margin">
              <wp:align>center</wp:align>
            </wp:positionH>
            <wp:positionV relativeFrom="paragraph">
              <wp:posOffset>837565</wp:posOffset>
            </wp:positionV>
            <wp:extent cx="4895850" cy="2735580"/>
            <wp:effectExtent l="0" t="0" r="0" b="7620"/>
            <wp:wrapSquare wrapText="bothSides"/>
            <wp:docPr id="11091655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165523" name="Picture 1109165523"/>
                    <pic:cNvPicPr/>
                  </pic:nvPicPr>
                  <pic:blipFill>
                    <a:blip r:embed="rId11">
                      <a:extLst>
                        <a:ext uri="{28A0092B-C50C-407E-A947-70E740481C1C}">
                          <a14:useLocalDpi xmlns:a14="http://schemas.microsoft.com/office/drawing/2010/main" val="0"/>
                        </a:ext>
                      </a:extLst>
                    </a:blip>
                    <a:stretch>
                      <a:fillRect/>
                    </a:stretch>
                  </pic:blipFill>
                  <pic:spPr>
                    <a:xfrm>
                      <a:off x="0" y="0"/>
                      <a:ext cx="4895850" cy="2735580"/>
                    </a:xfrm>
                    <a:prstGeom prst="rect">
                      <a:avLst/>
                    </a:prstGeom>
                  </pic:spPr>
                </pic:pic>
              </a:graphicData>
            </a:graphic>
            <wp14:sizeRelH relativeFrom="page">
              <wp14:pctWidth>0</wp14:pctWidth>
            </wp14:sizeRelH>
            <wp14:sizeRelV relativeFrom="page">
              <wp14:pctHeight>0</wp14:pctHeight>
            </wp14:sizeRelV>
          </wp:anchor>
        </w:drawing>
      </w:r>
      <w:r w:rsidR="003916FE" w:rsidRPr="003916FE">
        <w:rPr>
          <w:rFonts w:ascii="Times New Roman" w:hAnsi="Times New Roman" w:cs="Times New Roman"/>
          <w:bCs/>
          <w:sz w:val="20"/>
          <w:szCs w:val="20"/>
          <w:lang w:val="en-US"/>
        </w:rPr>
        <w:t xml:space="preserve">The synthesis of bioactive compounds in the cladodes of </w:t>
      </w:r>
      <w:r w:rsidR="003916FE" w:rsidRPr="003916FE">
        <w:rPr>
          <w:rFonts w:ascii="Times New Roman" w:hAnsi="Times New Roman" w:cs="Times New Roman"/>
          <w:bCs/>
          <w:i/>
          <w:iCs/>
          <w:sz w:val="20"/>
          <w:szCs w:val="20"/>
          <w:lang w:val="en-US"/>
        </w:rPr>
        <w:t>S. undatus</w:t>
      </w:r>
      <w:r w:rsidR="003916FE" w:rsidRPr="003916FE">
        <w:rPr>
          <w:rFonts w:ascii="Times New Roman" w:hAnsi="Times New Roman" w:cs="Times New Roman"/>
          <w:bCs/>
          <w:sz w:val="20"/>
          <w:szCs w:val="20"/>
          <w:lang w:val="en-US"/>
        </w:rPr>
        <w:t xml:space="preserve"> and </w:t>
      </w:r>
      <w:r w:rsidR="003916FE" w:rsidRPr="003916FE">
        <w:rPr>
          <w:rFonts w:ascii="Times New Roman" w:hAnsi="Times New Roman" w:cs="Times New Roman"/>
          <w:bCs/>
          <w:i/>
          <w:iCs/>
          <w:sz w:val="20"/>
          <w:szCs w:val="20"/>
          <w:lang w:val="en-US"/>
        </w:rPr>
        <w:t xml:space="preserve">H. </w:t>
      </w:r>
      <w:proofErr w:type="spellStart"/>
      <w:r w:rsidR="003916FE" w:rsidRPr="003916FE">
        <w:rPr>
          <w:rFonts w:ascii="Times New Roman" w:hAnsi="Times New Roman" w:cs="Times New Roman"/>
          <w:bCs/>
          <w:i/>
          <w:iCs/>
          <w:sz w:val="20"/>
          <w:szCs w:val="20"/>
          <w:lang w:val="en-US"/>
        </w:rPr>
        <w:t>polyrhizus</w:t>
      </w:r>
      <w:proofErr w:type="spellEnd"/>
      <w:r w:rsidR="003916FE" w:rsidRPr="003916FE">
        <w:rPr>
          <w:rFonts w:ascii="Times New Roman" w:hAnsi="Times New Roman" w:cs="Times New Roman"/>
          <w:bCs/>
          <w:sz w:val="20"/>
          <w:szCs w:val="20"/>
          <w:lang w:val="en-US"/>
        </w:rPr>
        <w:t xml:space="preserve"> varied under different LED light qualities, as reflected by differences in Raman spectral features associated with betalains (1000–1200 cm⁻¹), phenolic compounds (1400–1600 cm⁻¹), and antioxidant-related regions (1000–1600 cm⁻¹) (Figure 2)</w:t>
      </w:r>
      <w:r w:rsidR="003A10A7" w:rsidRPr="00D1262A">
        <w:rPr>
          <w:rFonts w:ascii="Times New Roman" w:hAnsi="Times New Roman" w:cs="Times New Roman"/>
          <w:bCs/>
          <w:sz w:val="20"/>
          <w:szCs w:val="20"/>
          <w:lang w:val="en-US"/>
        </w:rPr>
        <w:t xml:space="preserve">. </w:t>
      </w:r>
    </w:p>
    <w:p w14:paraId="042EBD17" w14:textId="60216D03" w:rsidR="000603E8" w:rsidRDefault="000603E8" w:rsidP="0085520E">
      <w:pPr>
        <w:spacing w:line="360" w:lineRule="auto"/>
        <w:ind w:firstLine="708"/>
        <w:jc w:val="both"/>
        <w:rPr>
          <w:rFonts w:ascii="Times New Roman" w:hAnsi="Times New Roman" w:cs="Times New Roman"/>
          <w:bCs/>
          <w:sz w:val="20"/>
          <w:szCs w:val="20"/>
          <w:lang w:val="en-US"/>
        </w:rPr>
      </w:pPr>
    </w:p>
    <w:p w14:paraId="2A28C227" w14:textId="33B73A25" w:rsidR="000603E8" w:rsidRDefault="00C669A5" w:rsidP="00C669A5">
      <w:pPr>
        <w:spacing w:line="360" w:lineRule="auto"/>
        <w:jc w:val="both"/>
        <w:rPr>
          <w:rFonts w:ascii="Times New Roman" w:hAnsi="Times New Roman" w:cs="Times New Roman"/>
          <w:bCs/>
          <w:sz w:val="20"/>
          <w:szCs w:val="20"/>
          <w:lang w:val="en-US"/>
        </w:rPr>
      </w:pPr>
      <w:r w:rsidRPr="00C669A5">
        <w:rPr>
          <w:rFonts w:ascii="Times New Roman" w:hAnsi="Times New Roman" w:cs="Times New Roman"/>
          <w:sz w:val="20"/>
          <w:szCs w:val="20"/>
          <w:lang w:val="en-US"/>
        </w:rPr>
        <w:t>Figure 2.</w:t>
      </w:r>
      <w:r w:rsidRPr="00C669A5">
        <w:rPr>
          <w:rFonts w:ascii="Times New Roman" w:hAnsi="Times New Roman" w:cs="Times New Roman"/>
          <w:bCs/>
          <w:sz w:val="20"/>
          <w:szCs w:val="20"/>
          <w:lang w:val="en-US"/>
        </w:rPr>
        <w:t xml:space="preserve"> Raman spectra of </w:t>
      </w:r>
      <w:r w:rsidRPr="00C669A5">
        <w:rPr>
          <w:rFonts w:ascii="Times New Roman" w:hAnsi="Times New Roman" w:cs="Times New Roman"/>
          <w:bCs/>
          <w:i/>
          <w:iCs/>
          <w:sz w:val="20"/>
          <w:szCs w:val="20"/>
          <w:lang w:val="en-US"/>
        </w:rPr>
        <w:t>Selenicereus undatus</w:t>
      </w:r>
      <w:r w:rsidRPr="00C669A5">
        <w:rPr>
          <w:rFonts w:ascii="Times New Roman" w:hAnsi="Times New Roman" w:cs="Times New Roman"/>
          <w:bCs/>
          <w:sz w:val="20"/>
          <w:szCs w:val="20"/>
          <w:lang w:val="en-US"/>
        </w:rPr>
        <w:t xml:space="preserve"> (Haw.) D.R.</w:t>
      </w:r>
      <w:r w:rsidR="009E3B34">
        <w:rPr>
          <w:rFonts w:ascii="Times New Roman" w:hAnsi="Times New Roman" w:cs="Times New Roman"/>
          <w:bCs/>
          <w:sz w:val="20"/>
          <w:szCs w:val="20"/>
          <w:lang w:val="en-US"/>
        </w:rPr>
        <w:t xml:space="preserve"> </w:t>
      </w:r>
      <w:r w:rsidRPr="00C669A5">
        <w:rPr>
          <w:rFonts w:ascii="Times New Roman" w:hAnsi="Times New Roman" w:cs="Times New Roman"/>
          <w:bCs/>
          <w:sz w:val="20"/>
          <w:szCs w:val="20"/>
          <w:lang w:val="en-US"/>
        </w:rPr>
        <w:t xml:space="preserve">Hunt and </w:t>
      </w:r>
      <w:r w:rsidRPr="00C669A5">
        <w:rPr>
          <w:rFonts w:ascii="Times New Roman" w:hAnsi="Times New Roman" w:cs="Times New Roman"/>
          <w:bCs/>
          <w:i/>
          <w:iCs/>
          <w:sz w:val="20"/>
          <w:szCs w:val="20"/>
          <w:lang w:val="en-US"/>
        </w:rPr>
        <w:t xml:space="preserve">Hylocereus </w:t>
      </w:r>
      <w:proofErr w:type="spellStart"/>
      <w:r w:rsidRPr="00C669A5">
        <w:rPr>
          <w:rFonts w:ascii="Times New Roman" w:hAnsi="Times New Roman" w:cs="Times New Roman"/>
          <w:bCs/>
          <w:i/>
          <w:iCs/>
          <w:sz w:val="20"/>
          <w:szCs w:val="20"/>
          <w:lang w:val="en-US"/>
        </w:rPr>
        <w:t>polyrhizus</w:t>
      </w:r>
      <w:proofErr w:type="spellEnd"/>
      <w:r w:rsidRPr="00C669A5">
        <w:rPr>
          <w:rFonts w:ascii="Times New Roman" w:hAnsi="Times New Roman" w:cs="Times New Roman"/>
          <w:bCs/>
          <w:sz w:val="20"/>
          <w:szCs w:val="20"/>
          <w:lang w:val="en-US"/>
        </w:rPr>
        <w:t xml:space="preserve"> (Salm-Dyck) R.</w:t>
      </w:r>
      <w:r w:rsidR="009E3B34">
        <w:rPr>
          <w:rFonts w:ascii="Times New Roman" w:hAnsi="Times New Roman" w:cs="Times New Roman"/>
          <w:bCs/>
          <w:sz w:val="20"/>
          <w:szCs w:val="20"/>
          <w:lang w:val="en-US"/>
        </w:rPr>
        <w:t xml:space="preserve"> </w:t>
      </w:r>
      <w:r w:rsidRPr="00C669A5">
        <w:rPr>
          <w:rFonts w:ascii="Times New Roman" w:hAnsi="Times New Roman" w:cs="Times New Roman"/>
          <w:bCs/>
          <w:sz w:val="20"/>
          <w:szCs w:val="20"/>
          <w:lang w:val="en-US"/>
        </w:rPr>
        <w:t xml:space="preserve">Bauer after 65 days of </w:t>
      </w:r>
      <w:r w:rsidRPr="00C669A5">
        <w:rPr>
          <w:rFonts w:ascii="Times New Roman" w:hAnsi="Times New Roman" w:cs="Times New Roman"/>
          <w:bCs/>
          <w:i/>
          <w:iCs/>
          <w:sz w:val="20"/>
          <w:szCs w:val="20"/>
          <w:lang w:val="en-US"/>
        </w:rPr>
        <w:t>in vitro</w:t>
      </w:r>
      <w:r w:rsidRPr="00C669A5">
        <w:rPr>
          <w:rFonts w:ascii="Times New Roman" w:hAnsi="Times New Roman" w:cs="Times New Roman"/>
          <w:bCs/>
          <w:sz w:val="20"/>
          <w:szCs w:val="20"/>
          <w:lang w:val="en-US"/>
        </w:rPr>
        <w:t xml:space="preserve"> cultivation, under different light qualities [Purple, Blue, Red, and White]: comparative analysis of biochemical profiles. Data represent the mean of three replicates per treatment.  </w:t>
      </w:r>
    </w:p>
    <w:p w14:paraId="64E17C53" w14:textId="77777777" w:rsidR="000603E8" w:rsidRPr="0085520E" w:rsidRDefault="000603E8" w:rsidP="00C669A5">
      <w:pPr>
        <w:spacing w:line="360" w:lineRule="auto"/>
        <w:jc w:val="both"/>
        <w:rPr>
          <w:rFonts w:ascii="Times New Roman" w:hAnsi="Times New Roman" w:cs="Times New Roman"/>
          <w:b/>
          <w:bCs/>
          <w:sz w:val="20"/>
          <w:szCs w:val="20"/>
          <w:lang w:val="en-US"/>
        </w:rPr>
      </w:pPr>
    </w:p>
    <w:p w14:paraId="725B6A67" w14:textId="52D3C147" w:rsidR="003916FE" w:rsidRPr="003916FE" w:rsidRDefault="003916FE" w:rsidP="003916FE">
      <w:pPr>
        <w:spacing w:line="360" w:lineRule="auto"/>
        <w:ind w:firstLine="708"/>
        <w:jc w:val="both"/>
        <w:rPr>
          <w:rFonts w:ascii="Times New Roman" w:hAnsi="Times New Roman" w:cs="Times New Roman"/>
          <w:bCs/>
          <w:sz w:val="20"/>
          <w:szCs w:val="20"/>
          <w:highlight w:val="yellow"/>
          <w:lang w:val="en-US"/>
        </w:rPr>
      </w:pPr>
      <w:r w:rsidRPr="003916FE">
        <w:rPr>
          <w:rFonts w:ascii="Times New Roman" w:hAnsi="Times New Roman" w:cs="Times New Roman"/>
          <w:bCs/>
          <w:sz w:val="20"/>
          <w:szCs w:val="20"/>
          <w:highlight w:val="yellow"/>
          <w:lang w:val="en-US"/>
        </w:rPr>
        <w:t xml:space="preserve">These spectral regions have been previously identified as relevant for the detection of secondary </w:t>
      </w:r>
      <w:r w:rsidRPr="0058723E">
        <w:rPr>
          <w:rFonts w:ascii="Times New Roman" w:hAnsi="Times New Roman" w:cs="Times New Roman"/>
          <w:bCs/>
          <w:sz w:val="20"/>
          <w:szCs w:val="20"/>
          <w:highlight w:val="yellow"/>
          <w:lang w:val="en-US"/>
        </w:rPr>
        <w:t xml:space="preserve">metabolite-related compounds </w:t>
      </w:r>
      <w:r w:rsidRPr="003916FE">
        <w:rPr>
          <w:rFonts w:ascii="Times New Roman" w:hAnsi="Times New Roman" w:cs="Times New Roman"/>
          <w:bCs/>
          <w:sz w:val="20"/>
          <w:szCs w:val="20"/>
          <w:highlight w:val="yellow"/>
          <w:lang w:val="en-US"/>
        </w:rPr>
        <w:t>in plant tissues (Vershinina et al., 2025; De Angelis et al., 2025). In the present study, differences among treatments were expressed as variations in Raman signal intensity and spectral profiles rather than quantitative metabolite concentrations.</w:t>
      </w:r>
    </w:p>
    <w:p w14:paraId="380DD932" w14:textId="77777777" w:rsidR="003916FE" w:rsidRPr="003916FE" w:rsidRDefault="003916FE" w:rsidP="003916FE">
      <w:pPr>
        <w:spacing w:line="360" w:lineRule="auto"/>
        <w:ind w:firstLine="708"/>
        <w:jc w:val="both"/>
        <w:rPr>
          <w:rFonts w:ascii="Times New Roman" w:hAnsi="Times New Roman" w:cs="Times New Roman"/>
          <w:bCs/>
          <w:sz w:val="20"/>
          <w:szCs w:val="20"/>
          <w:highlight w:val="yellow"/>
          <w:lang w:val="en-US"/>
        </w:rPr>
      </w:pPr>
      <w:r w:rsidRPr="003916FE">
        <w:rPr>
          <w:rFonts w:ascii="Times New Roman" w:hAnsi="Times New Roman" w:cs="Times New Roman"/>
          <w:bCs/>
          <w:i/>
          <w:iCs/>
          <w:sz w:val="20"/>
          <w:szCs w:val="20"/>
          <w:highlight w:val="yellow"/>
          <w:lang w:val="en-US"/>
        </w:rPr>
        <w:t xml:space="preserve">Hylocereus </w:t>
      </w:r>
      <w:proofErr w:type="spellStart"/>
      <w:r w:rsidRPr="003916FE">
        <w:rPr>
          <w:rFonts w:ascii="Times New Roman" w:hAnsi="Times New Roman" w:cs="Times New Roman"/>
          <w:bCs/>
          <w:i/>
          <w:iCs/>
          <w:sz w:val="20"/>
          <w:szCs w:val="20"/>
          <w:highlight w:val="yellow"/>
          <w:lang w:val="en-US"/>
        </w:rPr>
        <w:t>polyrhizus</w:t>
      </w:r>
      <w:proofErr w:type="spellEnd"/>
      <w:r w:rsidRPr="003916FE">
        <w:rPr>
          <w:rFonts w:ascii="Times New Roman" w:hAnsi="Times New Roman" w:cs="Times New Roman"/>
          <w:bCs/>
          <w:sz w:val="20"/>
          <w:szCs w:val="20"/>
          <w:highlight w:val="yellow"/>
          <w:lang w:val="en-US"/>
        </w:rPr>
        <w:t xml:space="preserve"> showed more pronounced Raman signal intensities across several spectral regions under white, blue, and purple light, whereas </w:t>
      </w:r>
      <w:r w:rsidRPr="003916FE">
        <w:rPr>
          <w:rFonts w:ascii="Times New Roman" w:hAnsi="Times New Roman" w:cs="Times New Roman"/>
          <w:bCs/>
          <w:i/>
          <w:iCs/>
          <w:sz w:val="20"/>
          <w:szCs w:val="20"/>
          <w:highlight w:val="yellow"/>
          <w:lang w:val="en-US"/>
        </w:rPr>
        <w:t>S. undatus</w:t>
      </w:r>
      <w:r w:rsidRPr="003916FE">
        <w:rPr>
          <w:rFonts w:ascii="Times New Roman" w:hAnsi="Times New Roman" w:cs="Times New Roman"/>
          <w:bCs/>
          <w:sz w:val="20"/>
          <w:szCs w:val="20"/>
          <w:highlight w:val="yellow"/>
          <w:lang w:val="en-US"/>
        </w:rPr>
        <w:t xml:space="preserve"> exhibited relatively stronger signals under red light. The most evident spectral features were observed in </w:t>
      </w:r>
      <w:r w:rsidRPr="003916FE">
        <w:rPr>
          <w:rFonts w:ascii="Times New Roman" w:hAnsi="Times New Roman" w:cs="Times New Roman"/>
          <w:bCs/>
          <w:i/>
          <w:iCs/>
          <w:sz w:val="20"/>
          <w:szCs w:val="20"/>
          <w:highlight w:val="yellow"/>
          <w:lang w:val="en-US"/>
        </w:rPr>
        <w:t xml:space="preserve">H. </w:t>
      </w:r>
      <w:proofErr w:type="spellStart"/>
      <w:r w:rsidRPr="003916FE">
        <w:rPr>
          <w:rFonts w:ascii="Times New Roman" w:hAnsi="Times New Roman" w:cs="Times New Roman"/>
          <w:bCs/>
          <w:i/>
          <w:iCs/>
          <w:sz w:val="20"/>
          <w:szCs w:val="20"/>
          <w:highlight w:val="yellow"/>
          <w:lang w:val="en-US"/>
        </w:rPr>
        <w:t>polyrhizus</w:t>
      </w:r>
      <w:proofErr w:type="spellEnd"/>
      <w:r w:rsidRPr="003916FE">
        <w:rPr>
          <w:rFonts w:ascii="Times New Roman" w:hAnsi="Times New Roman" w:cs="Times New Roman"/>
          <w:bCs/>
          <w:sz w:val="20"/>
          <w:szCs w:val="20"/>
          <w:highlight w:val="yellow"/>
          <w:lang w:val="en-US"/>
        </w:rPr>
        <w:t xml:space="preserve"> under purple light and in </w:t>
      </w:r>
      <w:r w:rsidRPr="003916FE">
        <w:rPr>
          <w:rFonts w:ascii="Times New Roman" w:hAnsi="Times New Roman" w:cs="Times New Roman"/>
          <w:bCs/>
          <w:i/>
          <w:iCs/>
          <w:sz w:val="20"/>
          <w:szCs w:val="20"/>
          <w:highlight w:val="yellow"/>
          <w:lang w:val="en-US"/>
        </w:rPr>
        <w:t>S. undatus</w:t>
      </w:r>
      <w:r w:rsidRPr="003916FE">
        <w:rPr>
          <w:rFonts w:ascii="Times New Roman" w:hAnsi="Times New Roman" w:cs="Times New Roman"/>
          <w:bCs/>
          <w:sz w:val="20"/>
          <w:szCs w:val="20"/>
          <w:highlight w:val="yellow"/>
          <w:lang w:val="en-US"/>
        </w:rPr>
        <w:t xml:space="preserve"> under red light, particularly in the 1400–1500 cm⁻¹ region (Figure 2), </w:t>
      </w:r>
      <w:r w:rsidRPr="0058723E">
        <w:rPr>
          <w:rFonts w:ascii="Times New Roman" w:hAnsi="Times New Roman" w:cs="Times New Roman"/>
          <w:bCs/>
          <w:sz w:val="20"/>
          <w:szCs w:val="20"/>
          <w:highlight w:val="yellow"/>
          <w:lang w:val="en-US"/>
        </w:rPr>
        <w:t>indicating treatment-dependent variati</w:t>
      </w:r>
      <w:r w:rsidRPr="003916FE">
        <w:rPr>
          <w:rFonts w:ascii="Times New Roman" w:hAnsi="Times New Roman" w:cs="Times New Roman"/>
          <w:bCs/>
          <w:sz w:val="20"/>
          <w:szCs w:val="20"/>
          <w:highlight w:val="yellow"/>
          <w:lang w:val="en-US"/>
        </w:rPr>
        <w:t>on in biochemical composition.</w:t>
      </w:r>
    </w:p>
    <w:p w14:paraId="06521CAC" w14:textId="77777777" w:rsidR="003916FE" w:rsidRPr="003916FE" w:rsidRDefault="003916FE" w:rsidP="003916FE">
      <w:pPr>
        <w:spacing w:line="360" w:lineRule="auto"/>
        <w:ind w:firstLine="708"/>
        <w:jc w:val="both"/>
        <w:rPr>
          <w:rFonts w:ascii="Times New Roman" w:hAnsi="Times New Roman" w:cs="Times New Roman"/>
          <w:bCs/>
          <w:sz w:val="20"/>
          <w:szCs w:val="20"/>
          <w:highlight w:val="yellow"/>
          <w:lang w:val="en-US"/>
        </w:rPr>
      </w:pPr>
      <w:r w:rsidRPr="003916FE">
        <w:rPr>
          <w:rFonts w:ascii="Times New Roman" w:hAnsi="Times New Roman" w:cs="Times New Roman"/>
          <w:bCs/>
          <w:sz w:val="20"/>
          <w:szCs w:val="20"/>
          <w:highlight w:val="yellow"/>
          <w:lang w:val="en-US"/>
        </w:rPr>
        <w:t xml:space="preserve">In </w:t>
      </w:r>
      <w:r w:rsidRPr="003916FE">
        <w:rPr>
          <w:rFonts w:ascii="Times New Roman" w:hAnsi="Times New Roman" w:cs="Times New Roman"/>
          <w:bCs/>
          <w:i/>
          <w:iCs/>
          <w:sz w:val="20"/>
          <w:szCs w:val="20"/>
          <w:highlight w:val="yellow"/>
          <w:lang w:val="en-US"/>
        </w:rPr>
        <w:t>S. undatus</w:t>
      </w:r>
      <w:r w:rsidRPr="003916FE">
        <w:rPr>
          <w:rFonts w:ascii="Times New Roman" w:hAnsi="Times New Roman" w:cs="Times New Roman"/>
          <w:bCs/>
          <w:sz w:val="20"/>
          <w:szCs w:val="20"/>
          <w:highlight w:val="yellow"/>
          <w:lang w:val="en-US"/>
        </w:rPr>
        <w:t xml:space="preserve">, spectral variations indicated changes in the relative intensity of bands associated with betalains, phenolic compounds, and antioxidant-related molecules under different light qualities (Figure 2). White and red light were associated with more pronounced spectral signals, whereas purple light showed comparatively lower signal intensity. Blue light induced intermediate responses. Previous studies have reported that red and blue wavelengths can influence secondary metabolism through photoreceptor-mediated signaling pathways involved in plant metabolic regulation (Griffin &amp; Toledo-Ortiz, 2022; Pierik &amp; </w:t>
      </w:r>
      <w:proofErr w:type="spellStart"/>
      <w:r w:rsidRPr="003916FE">
        <w:rPr>
          <w:rFonts w:ascii="Times New Roman" w:hAnsi="Times New Roman" w:cs="Times New Roman"/>
          <w:bCs/>
          <w:sz w:val="20"/>
          <w:szCs w:val="20"/>
          <w:highlight w:val="yellow"/>
          <w:lang w:val="en-US"/>
        </w:rPr>
        <w:t>Ballaré</w:t>
      </w:r>
      <w:proofErr w:type="spellEnd"/>
      <w:r w:rsidRPr="003916FE">
        <w:rPr>
          <w:rFonts w:ascii="Times New Roman" w:hAnsi="Times New Roman" w:cs="Times New Roman"/>
          <w:bCs/>
          <w:sz w:val="20"/>
          <w:szCs w:val="20"/>
          <w:highlight w:val="yellow"/>
          <w:lang w:val="en-US"/>
        </w:rPr>
        <w:t xml:space="preserve">, 2021). However, since gene </w:t>
      </w:r>
      <w:r w:rsidRPr="003916FE">
        <w:rPr>
          <w:rFonts w:ascii="Times New Roman" w:hAnsi="Times New Roman" w:cs="Times New Roman"/>
          <w:bCs/>
          <w:sz w:val="20"/>
          <w:szCs w:val="20"/>
          <w:highlight w:val="yellow"/>
          <w:lang w:val="en-US"/>
        </w:rPr>
        <w:lastRenderedPageBreak/>
        <w:t>expression and photoreceptor activity were not assessed, these mechanisms should be considered as potential explanatory frameworks rather than direct evidence.</w:t>
      </w:r>
    </w:p>
    <w:p w14:paraId="1722AD3B" w14:textId="77777777" w:rsidR="003916FE" w:rsidRPr="003916FE" w:rsidRDefault="003916FE" w:rsidP="003916FE">
      <w:pPr>
        <w:spacing w:line="360" w:lineRule="auto"/>
        <w:ind w:firstLine="708"/>
        <w:jc w:val="both"/>
        <w:rPr>
          <w:rFonts w:ascii="Times New Roman" w:hAnsi="Times New Roman" w:cs="Times New Roman"/>
          <w:bCs/>
          <w:sz w:val="20"/>
          <w:szCs w:val="20"/>
          <w:highlight w:val="yellow"/>
          <w:lang w:val="en-US"/>
        </w:rPr>
      </w:pPr>
      <w:r w:rsidRPr="003916FE">
        <w:rPr>
          <w:rFonts w:ascii="Times New Roman" w:hAnsi="Times New Roman" w:cs="Times New Roman"/>
          <w:bCs/>
          <w:sz w:val="20"/>
          <w:szCs w:val="20"/>
          <w:highlight w:val="yellow"/>
          <w:lang w:val="en-US"/>
        </w:rPr>
        <w:t xml:space="preserve">Similarly, </w:t>
      </w:r>
      <w:r w:rsidRPr="003916FE">
        <w:rPr>
          <w:rFonts w:ascii="Times New Roman" w:hAnsi="Times New Roman" w:cs="Times New Roman"/>
          <w:bCs/>
          <w:i/>
          <w:iCs/>
          <w:sz w:val="20"/>
          <w:szCs w:val="20"/>
          <w:highlight w:val="yellow"/>
          <w:lang w:val="en-US"/>
        </w:rPr>
        <w:t xml:space="preserve">H. </w:t>
      </w:r>
      <w:proofErr w:type="spellStart"/>
      <w:r w:rsidRPr="003916FE">
        <w:rPr>
          <w:rFonts w:ascii="Times New Roman" w:hAnsi="Times New Roman" w:cs="Times New Roman"/>
          <w:bCs/>
          <w:i/>
          <w:iCs/>
          <w:sz w:val="20"/>
          <w:szCs w:val="20"/>
          <w:highlight w:val="yellow"/>
          <w:lang w:val="en-US"/>
        </w:rPr>
        <w:t>polyrhizus</w:t>
      </w:r>
      <w:proofErr w:type="spellEnd"/>
      <w:r w:rsidRPr="003916FE">
        <w:rPr>
          <w:rFonts w:ascii="Times New Roman" w:hAnsi="Times New Roman" w:cs="Times New Roman"/>
          <w:bCs/>
          <w:sz w:val="20"/>
          <w:szCs w:val="20"/>
          <w:highlight w:val="yellow"/>
          <w:lang w:val="en-US"/>
        </w:rPr>
        <w:t xml:space="preserve"> exhibited marked spectral variations across treatments, with white light associated with more complex Raman spectral profiles, followed by purple and red light, whereas blue light showed </w:t>
      </w:r>
      <w:r w:rsidRPr="0058723E">
        <w:rPr>
          <w:rFonts w:ascii="Times New Roman" w:hAnsi="Times New Roman" w:cs="Times New Roman"/>
          <w:bCs/>
          <w:sz w:val="20"/>
          <w:szCs w:val="20"/>
          <w:highlight w:val="yellow"/>
          <w:lang w:val="en-US"/>
        </w:rPr>
        <w:t xml:space="preserve">comparatively lower spectral intensity in the analyzed regions (Figure 2). The association between spectral features and antioxidant-related compounds is consistent with previous reports describing the antioxidant potential of pitaya </w:t>
      </w:r>
      <w:proofErr w:type="spellStart"/>
      <w:r w:rsidRPr="0058723E">
        <w:rPr>
          <w:rFonts w:ascii="Times New Roman" w:hAnsi="Times New Roman" w:cs="Times New Roman"/>
          <w:bCs/>
          <w:sz w:val="20"/>
          <w:szCs w:val="20"/>
          <w:highlight w:val="yellow"/>
          <w:lang w:val="en-US"/>
        </w:rPr>
        <w:t>betacyanins</w:t>
      </w:r>
      <w:proofErr w:type="spellEnd"/>
      <w:r w:rsidRPr="0058723E">
        <w:rPr>
          <w:rFonts w:ascii="Times New Roman" w:hAnsi="Times New Roman" w:cs="Times New Roman"/>
          <w:bCs/>
          <w:sz w:val="20"/>
          <w:szCs w:val="20"/>
          <w:highlight w:val="yellow"/>
          <w:lang w:val="en-US"/>
        </w:rPr>
        <w:t xml:space="preserve"> (Chen et al., 2021; </w:t>
      </w:r>
      <w:proofErr w:type="spellStart"/>
      <w:r w:rsidRPr="0058723E">
        <w:rPr>
          <w:rFonts w:ascii="Times New Roman" w:hAnsi="Times New Roman" w:cs="Times New Roman"/>
          <w:bCs/>
          <w:sz w:val="20"/>
          <w:szCs w:val="20"/>
          <w:highlight w:val="yellow"/>
          <w:lang w:val="en-US"/>
        </w:rPr>
        <w:t>Paśko</w:t>
      </w:r>
      <w:proofErr w:type="spellEnd"/>
      <w:r w:rsidRPr="0058723E">
        <w:rPr>
          <w:rFonts w:ascii="Times New Roman" w:hAnsi="Times New Roman" w:cs="Times New Roman"/>
          <w:bCs/>
          <w:sz w:val="20"/>
          <w:szCs w:val="20"/>
          <w:highlight w:val="yellow"/>
          <w:lang w:val="en-US"/>
        </w:rPr>
        <w:t xml:space="preserve"> et al., 2021). In addition, the observed differences between species are consistent with previous </w:t>
      </w:r>
      <w:r w:rsidRPr="003916FE">
        <w:rPr>
          <w:rFonts w:ascii="Times New Roman" w:hAnsi="Times New Roman" w:cs="Times New Roman"/>
          <w:bCs/>
          <w:sz w:val="20"/>
          <w:szCs w:val="20"/>
          <w:highlight w:val="yellow"/>
          <w:lang w:val="en-US"/>
        </w:rPr>
        <w:t xml:space="preserve">studies reporting interspecific variation in </w:t>
      </w:r>
      <w:proofErr w:type="spellStart"/>
      <w:r w:rsidRPr="003916FE">
        <w:rPr>
          <w:rFonts w:ascii="Times New Roman" w:hAnsi="Times New Roman" w:cs="Times New Roman"/>
          <w:bCs/>
          <w:sz w:val="20"/>
          <w:szCs w:val="20"/>
          <w:highlight w:val="yellow"/>
          <w:lang w:val="en-US"/>
        </w:rPr>
        <w:t>betalain</w:t>
      </w:r>
      <w:proofErr w:type="spellEnd"/>
      <w:r w:rsidRPr="003916FE">
        <w:rPr>
          <w:rFonts w:ascii="Times New Roman" w:hAnsi="Times New Roman" w:cs="Times New Roman"/>
          <w:bCs/>
          <w:sz w:val="20"/>
          <w:szCs w:val="20"/>
          <w:highlight w:val="yellow"/>
          <w:lang w:val="en-US"/>
        </w:rPr>
        <w:t xml:space="preserve"> accumulation within the genus </w:t>
      </w:r>
      <w:r w:rsidRPr="003916FE">
        <w:rPr>
          <w:rFonts w:ascii="Times New Roman" w:hAnsi="Times New Roman" w:cs="Times New Roman"/>
          <w:bCs/>
          <w:i/>
          <w:iCs/>
          <w:sz w:val="20"/>
          <w:szCs w:val="20"/>
          <w:highlight w:val="yellow"/>
          <w:lang w:val="en-US"/>
        </w:rPr>
        <w:t>Hylocereus</w:t>
      </w:r>
      <w:r w:rsidRPr="003916FE">
        <w:rPr>
          <w:rFonts w:ascii="Times New Roman" w:hAnsi="Times New Roman" w:cs="Times New Roman"/>
          <w:bCs/>
          <w:sz w:val="20"/>
          <w:szCs w:val="20"/>
          <w:highlight w:val="yellow"/>
          <w:lang w:val="en-US"/>
        </w:rPr>
        <w:t xml:space="preserve"> (Choo et al., 2019; Chen et al., 2021; Khoo et al., 2022).</w:t>
      </w:r>
    </w:p>
    <w:p w14:paraId="285C737F" w14:textId="77777777" w:rsidR="003916FE" w:rsidRPr="003916FE" w:rsidRDefault="003916FE" w:rsidP="003916FE">
      <w:pPr>
        <w:spacing w:line="360" w:lineRule="auto"/>
        <w:ind w:firstLine="708"/>
        <w:jc w:val="both"/>
        <w:rPr>
          <w:rFonts w:ascii="Times New Roman" w:hAnsi="Times New Roman" w:cs="Times New Roman"/>
          <w:bCs/>
          <w:sz w:val="20"/>
          <w:szCs w:val="20"/>
          <w:highlight w:val="yellow"/>
          <w:lang w:val="en-US"/>
        </w:rPr>
      </w:pPr>
      <w:r w:rsidRPr="003916FE">
        <w:rPr>
          <w:rFonts w:ascii="Times New Roman" w:hAnsi="Times New Roman" w:cs="Times New Roman"/>
          <w:bCs/>
          <w:sz w:val="20"/>
          <w:szCs w:val="20"/>
          <w:highlight w:val="yellow"/>
          <w:lang w:val="en-US"/>
        </w:rPr>
        <w:t xml:space="preserve">Overall, white light was associated with more complex Raman spectral profiles in both species, suggesting greater diversity of detectable bioactive compounds under this treatment. </w:t>
      </w:r>
      <w:r w:rsidRPr="003916FE">
        <w:rPr>
          <w:rFonts w:ascii="Times New Roman" w:hAnsi="Times New Roman" w:cs="Times New Roman"/>
          <w:bCs/>
          <w:i/>
          <w:iCs/>
          <w:sz w:val="20"/>
          <w:szCs w:val="20"/>
          <w:highlight w:val="yellow"/>
          <w:lang w:val="en-US"/>
        </w:rPr>
        <w:t xml:space="preserve">H. </w:t>
      </w:r>
      <w:proofErr w:type="spellStart"/>
      <w:r w:rsidRPr="003916FE">
        <w:rPr>
          <w:rFonts w:ascii="Times New Roman" w:hAnsi="Times New Roman" w:cs="Times New Roman"/>
          <w:bCs/>
          <w:i/>
          <w:iCs/>
          <w:sz w:val="20"/>
          <w:szCs w:val="20"/>
          <w:highlight w:val="yellow"/>
          <w:lang w:val="en-US"/>
        </w:rPr>
        <w:t>polyrhizus</w:t>
      </w:r>
      <w:proofErr w:type="spellEnd"/>
      <w:r w:rsidRPr="003916FE">
        <w:rPr>
          <w:rFonts w:ascii="Times New Roman" w:hAnsi="Times New Roman" w:cs="Times New Roman"/>
          <w:bCs/>
          <w:sz w:val="20"/>
          <w:szCs w:val="20"/>
          <w:highlight w:val="yellow"/>
          <w:lang w:val="en-US"/>
        </w:rPr>
        <w:t xml:space="preserve"> showed greater variation in spectral responses across treatments, whereas </w:t>
      </w:r>
      <w:r w:rsidRPr="003916FE">
        <w:rPr>
          <w:rFonts w:ascii="Times New Roman" w:hAnsi="Times New Roman" w:cs="Times New Roman"/>
          <w:bCs/>
          <w:i/>
          <w:iCs/>
          <w:sz w:val="20"/>
          <w:szCs w:val="20"/>
          <w:highlight w:val="yellow"/>
          <w:lang w:val="en-US"/>
        </w:rPr>
        <w:t>S. undatus</w:t>
      </w:r>
      <w:r w:rsidRPr="003916FE">
        <w:rPr>
          <w:rFonts w:ascii="Times New Roman" w:hAnsi="Times New Roman" w:cs="Times New Roman"/>
          <w:bCs/>
          <w:sz w:val="20"/>
          <w:szCs w:val="20"/>
          <w:highlight w:val="yellow"/>
          <w:lang w:val="en-US"/>
        </w:rPr>
        <w:t xml:space="preserve"> exhibited a more moderate spectral response under the evaluated conditions (Figure 2).</w:t>
      </w:r>
    </w:p>
    <w:p w14:paraId="7DC7986A" w14:textId="40DC6069" w:rsidR="003916FE" w:rsidRDefault="003916FE" w:rsidP="003916FE">
      <w:pPr>
        <w:spacing w:line="360" w:lineRule="auto"/>
        <w:ind w:firstLine="708"/>
        <w:jc w:val="both"/>
        <w:rPr>
          <w:rFonts w:ascii="Times New Roman" w:hAnsi="Times New Roman" w:cs="Times New Roman"/>
          <w:bCs/>
          <w:sz w:val="20"/>
          <w:szCs w:val="20"/>
          <w:lang w:val="en-US"/>
        </w:rPr>
      </w:pPr>
      <w:r w:rsidRPr="003916FE">
        <w:rPr>
          <w:rFonts w:ascii="Times New Roman" w:hAnsi="Times New Roman" w:cs="Times New Roman"/>
          <w:bCs/>
          <w:sz w:val="20"/>
          <w:szCs w:val="20"/>
          <w:highlight w:val="yellow"/>
          <w:lang w:val="en-US"/>
        </w:rPr>
        <w:t>These contrasting patterns indicate species-specific differences in biochemical composition as reflected by Raman spectral profiles under different light qualities. Previous studies have suggested that photoreceptor-mediated signaling may influence secondary metabolism in plants (Griffin &amp; Toledo-Ortiz, 2022; Xie et al., 2025).</w:t>
      </w:r>
      <w:r>
        <w:rPr>
          <w:rFonts w:ascii="Times New Roman" w:hAnsi="Times New Roman" w:cs="Times New Roman"/>
          <w:bCs/>
          <w:sz w:val="20"/>
          <w:szCs w:val="20"/>
          <w:lang w:val="en-US"/>
        </w:rPr>
        <w:t xml:space="preserve"> </w:t>
      </w:r>
      <w:r w:rsidRPr="003916FE">
        <w:rPr>
          <w:rFonts w:ascii="Times New Roman" w:hAnsi="Times New Roman" w:cs="Times New Roman"/>
          <w:bCs/>
          <w:sz w:val="20"/>
          <w:szCs w:val="20"/>
          <w:highlight w:val="yellow"/>
          <w:lang w:val="en-US"/>
        </w:rPr>
        <w:t>However, since these regulatory processes were not experimentally assessed in the present study, they are discussed here only as a general biological context rather than as mechanistic explanations.</w:t>
      </w:r>
    </w:p>
    <w:p w14:paraId="09DD7EA1" w14:textId="77777777" w:rsidR="003916FE" w:rsidRPr="003916FE" w:rsidRDefault="003916FE" w:rsidP="003916FE">
      <w:pPr>
        <w:spacing w:line="360" w:lineRule="auto"/>
        <w:ind w:firstLine="708"/>
        <w:jc w:val="both"/>
        <w:rPr>
          <w:rFonts w:ascii="Times New Roman" w:hAnsi="Times New Roman" w:cs="Times New Roman"/>
          <w:bCs/>
          <w:sz w:val="20"/>
          <w:szCs w:val="20"/>
          <w:lang w:val="en-US"/>
        </w:rPr>
      </w:pPr>
    </w:p>
    <w:p w14:paraId="5DE3DECC" w14:textId="4E28B2D9" w:rsidR="003A10A7" w:rsidRPr="001A0AC6" w:rsidRDefault="003A10A7" w:rsidP="003A10A7">
      <w:pPr>
        <w:spacing w:line="360" w:lineRule="auto"/>
        <w:ind w:firstLine="708"/>
        <w:jc w:val="both"/>
        <w:rPr>
          <w:rFonts w:ascii="Times New Roman" w:hAnsi="Times New Roman" w:cs="Times New Roman"/>
          <w:bCs/>
          <w:sz w:val="20"/>
          <w:szCs w:val="20"/>
          <w:lang w:val="en-US"/>
        </w:rPr>
      </w:pPr>
      <w:r w:rsidRPr="001A0AC6">
        <w:rPr>
          <w:rFonts w:ascii="Times New Roman" w:hAnsi="Times New Roman" w:cs="Times New Roman"/>
          <w:bCs/>
          <w:sz w:val="20"/>
          <w:szCs w:val="20"/>
          <w:lang w:val="en-US"/>
        </w:rPr>
        <w:t xml:space="preserve">The elemental composition of </w:t>
      </w:r>
      <w:r w:rsidRPr="001A0AC6">
        <w:rPr>
          <w:rFonts w:ascii="Times New Roman" w:hAnsi="Times New Roman" w:cs="Times New Roman"/>
          <w:bCs/>
          <w:i/>
          <w:iCs/>
          <w:sz w:val="20"/>
          <w:szCs w:val="20"/>
          <w:lang w:val="en-US"/>
        </w:rPr>
        <w:t>S. undatus</w:t>
      </w:r>
      <w:r w:rsidRPr="001A0AC6">
        <w:rPr>
          <w:rFonts w:ascii="Times New Roman" w:hAnsi="Times New Roman" w:cs="Times New Roman"/>
          <w:bCs/>
          <w:sz w:val="20"/>
          <w:szCs w:val="20"/>
          <w:lang w:val="en-US"/>
        </w:rPr>
        <w:t xml:space="preserve"> cladodes varied significantly between the central ribs (CR) and rib margins (RM), as well as among different light qualities (white, blue, purple, and red) (Table 4).</w:t>
      </w:r>
    </w:p>
    <w:p w14:paraId="09E713C0" w14:textId="77777777" w:rsidR="003A10A7" w:rsidRPr="001A0AC6" w:rsidRDefault="003A10A7" w:rsidP="003A10A7">
      <w:pPr>
        <w:spacing w:line="360" w:lineRule="auto"/>
        <w:ind w:firstLine="708"/>
        <w:jc w:val="both"/>
        <w:rPr>
          <w:rFonts w:ascii="Times New Roman" w:hAnsi="Times New Roman" w:cs="Times New Roman"/>
          <w:bCs/>
          <w:sz w:val="20"/>
          <w:szCs w:val="20"/>
          <w:lang w:val="en-US"/>
        </w:rPr>
      </w:pPr>
    </w:p>
    <w:p w14:paraId="00ED65D9" w14:textId="6B104971" w:rsidR="003A10A7" w:rsidRPr="001A0AC6" w:rsidRDefault="003A10A7" w:rsidP="003A10A7">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lang w:val="en-US"/>
        </w:rPr>
      </w:pPr>
      <w:r w:rsidRPr="001A0AC6">
        <w:rPr>
          <w:rFonts w:ascii="Times New Roman" w:hAnsi="Times New Roman" w:cs="Times New Roman"/>
          <w:bCs/>
          <w:sz w:val="20"/>
          <w:szCs w:val="20"/>
          <w:lang w:val="en-US"/>
        </w:rPr>
        <w:t xml:space="preserve">Table 4. Percentage distribution (atomic %) of chemical elements (CE) in cladodes of pitaya species </w:t>
      </w:r>
      <w:r w:rsidRPr="001A0AC6">
        <w:rPr>
          <w:rFonts w:ascii="Times New Roman" w:hAnsi="Times New Roman" w:cs="Times New Roman"/>
          <w:bCs/>
          <w:i/>
          <w:iCs/>
          <w:sz w:val="20"/>
          <w:szCs w:val="20"/>
          <w:lang w:val="en-US"/>
        </w:rPr>
        <w:t>Selenicereus undatus</w:t>
      </w:r>
      <w:r w:rsidRPr="001A0AC6">
        <w:rPr>
          <w:rFonts w:ascii="Times New Roman" w:hAnsi="Times New Roman" w:cs="Times New Roman"/>
          <w:bCs/>
          <w:sz w:val="20"/>
          <w:szCs w:val="20"/>
          <w:lang w:val="en-US"/>
        </w:rPr>
        <w:t xml:space="preserve"> (Haw.) D.R.</w:t>
      </w:r>
      <w:r w:rsidR="00372F65">
        <w:rPr>
          <w:rFonts w:ascii="Times New Roman" w:hAnsi="Times New Roman" w:cs="Times New Roman"/>
          <w:bCs/>
          <w:sz w:val="20"/>
          <w:szCs w:val="20"/>
          <w:lang w:val="en-US"/>
        </w:rPr>
        <w:t xml:space="preserve"> </w:t>
      </w:r>
      <w:r w:rsidRPr="001A0AC6">
        <w:rPr>
          <w:rFonts w:ascii="Times New Roman" w:hAnsi="Times New Roman" w:cs="Times New Roman"/>
          <w:bCs/>
          <w:sz w:val="20"/>
          <w:szCs w:val="20"/>
          <w:lang w:val="en-US"/>
        </w:rPr>
        <w:t xml:space="preserve">Hunt and </w:t>
      </w:r>
      <w:r w:rsidRPr="001A0AC6">
        <w:rPr>
          <w:rFonts w:ascii="Times New Roman" w:hAnsi="Times New Roman" w:cs="Times New Roman"/>
          <w:bCs/>
          <w:i/>
          <w:iCs/>
          <w:sz w:val="20"/>
          <w:szCs w:val="20"/>
          <w:lang w:val="en-US"/>
        </w:rPr>
        <w:t xml:space="preserve">Hylocereus </w:t>
      </w:r>
      <w:proofErr w:type="spellStart"/>
      <w:r w:rsidRPr="001A0AC6">
        <w:rPr>
          <w:rFonts w:ascii="Times New Roman" w:hAnsi="Times New Roman" w:cs="Times New Roman"/>
          <w:bCs/>
          <w:i/>
          <w:iCs/>
          <w:sz w:val="20"/>
          <w:szCs w:val="20"/>
          <w:lang w:val="en-US"/>
        </w:rPr>
        <w:t>polyrhizus</w:t>
      </w:r>
      <w:proofErr w:type="spellEnd"/>
      <w:r w:rsidRPr="001A0AC6">
        <w:rPr>
          <w:rFonts w:ascii="Times New Roman" w:hAnsi="Times New Roman" w:cs="Times New Roman"/>
          <w:bCs/>
          <w:sz w:val="20"/>
          <w:szCs w:val="20"/>
          <w:lang w:val="en-US"/>
        </w:rPr>
        <w:t xml:space="preserve"> (Salm-Dyck) R.</w:t>
      </w:r>
      <w:r w:rsidR="00372F65">
        <w:rPr>
          <w:rFonts w:ascii="Times New Roman" w:hAnsi="Times New Roman" w:cs="Times New Roman"/>
          <w:bCs/>
          <w:sz w:val="20"/>
          <w:szCs w:val="20"/>
          <w:lang w:val="en-US"/>
        </w:rPr>
        <w:t xml:space="preserve"> </w:t>
      </w:r>
      <w:r w:rsidRPr="001A0AC6">
        <w:rPr>
          <w:rFonts w:ascii="Times New Roman" w:hAnsi="Times New Roman" w:cs="Times New Roman"/>
          <w:bCs/>
          <w:sz w:val="20"/>
          <w:szCs w:val="20"/>
          <w:lang w:val="en-US"/>
        </w:rPr>
        <w:t xml:space="preserve">Bauer after 65 days of </w:t>
      </w:r>
      <w:r w:rsidRPr="001A0AC6">
        <w:rPr>
          <w:rFonts w:ascii="Times New Roman" w:hAnsi="Times New Roman" w:cs="Times New Roman"/>
          <w:bCs/>
          <w:i/>
          <w:iCs/>
          <w:sz w:val="20"/>
          <w:szCs w:val="20"/>
          <w:lang w:val="en-US"/>
        </w:rPr>
        <w:t>in vitro</w:t>
      </w:r>
      <w:r w:rsidRPr="001A0AC6">
        <w:rPr>
          <w:rFonts w:ascii="Times New Roman" w:hAnsi="Times New Roman" w:cs="Times New Roman"/>
          <w:bCs/>
          <w:sz w:val="20"/>
          <w:szCs w:val="20"/>
          <w:lang w:val="en-US"/>
        </w:rPr>
        <w:t xml:space="preserve"> cultivation under different light qualities (LQ) [White (WL); Blue (BL); Purple (PL); Red (RL)].</w:t>
      </w:r>
      <w:r w:rsidRPr="001A0AC6">
        <w:rPr>
          <w:rFonts w:ascii="Times New Roman" w:hAnsi="Times New Roman" w:cs="Times New Roman"/>
          <w:sz w:val="20"/>
          <w:szCs w:val="20"/>
          <w:lang w:val="en-US"/>
        </w:rPr>
        <w:t xml:space="preserve">  </w:t>
      </w:r>
    </w:p>
    <w:tbl>
      <w:tblPr>
        <w:tblStyle w:val="TableGrid"/>
        <w:tblpPr w:leftFromText="141" w:rightFromText="141" w:vertAnchor="text" w:tblpXSpec="center" w:tblpY="404"/>
        <w:tblW w:w="9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427"/>
        <w:gridCol w:w="956"/>
        <w:gridCol w:w="956"/>
        <w:gridCol w:w="956"/>
        <w:gridCol w:w="956"/>
        <w:gridCol w:w="956"/>
        <w:gridCol w:w="956"/>
        <w:gridCol w:w="956"/>
        <w:gridCol w:w="956"/>
      </w:tblGrid>
      <w:tr w:rsidR="003A10A7" w:rsidRPr="001A0AC6" w14:paraId="6AEF88DF" w14:textId="77777777" w:rsidTr="00087E54">
        <w:trPr>
          <w:trHeight w:val="297"/>
        </w:trPr>
        <w:tc>
          <w:tcPr>
            <w:tcW w:w="851" w:type="dxa"/>
            <w:tcBorders>
              <w:top w:val="single" w:sz="4" w:space="0" w:color="auto"/>
              <w:bottom w:val="single" w:sz="4" w:space="0" w:color="auto"/>
            </w:tcBorders>
          </w:tcPr>
          <w:p w14:paraId="2E68F90B"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shd w:val="clear" w:color="auto" w:fill="FFFFFF"/>
                <w:lang w:val="en-US"/>
              </w:rPr>
            </w:pPr>
          </w:p>
        </w:tc>
        <w:tc>
          <w:tcPr>
            <w:tcW w:w="1427" w:type="dxa"/>
            <w:tcBorders>
              <w:top w:val="single" w:sz="4" w:space="0" w:color="auto"/>
            </w:tcBorders>
          </w:tcPr>
          <w:p w14:paraId="0C26F238"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shd w:val="clear" w:color="auto" w:fill="FFFFFF"/>
                <w:lang w:val="en-US"/>
              </w:rPr>
            </w:pPr>
          </w:p>
        </w:tc>
        <w:tc>
          <w:tcPr>
            <w:tcW w:w="7648" w:type="dxa"/>
            <w:gridSpan w:val="8"/>
            <w:tcBorders>
              <w:top w:val="single" w:sz="4" w:space="0" w:color="auto"/>
              <w:bottom w:val="single" w:sz="4" w:space="0" w:color="auto"/>
            </w:tcBorders>
          </w:tcPr>
          <w:p w14:paraId="4D26F771"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r w:rsidRPr="001A0AC6">
              <w:rPr>
                <w:rFonts w:ascii="Times New Roman" w:hAnsi="Times New Roman" w:cs="Times New Roman"/>
                <w:sz w:val="20"/>
                <w:szCs w:val="20"/>
                <w:shd w:val="clear" w:color="auto" w:fill="FFFFFF"/>
              </w:rPr>
              <w:t>LQ</w:t>
            </w:r>
          </w:p>
        </w:tc>
      </w:tr>
      <w:tr w:rsidR="003A10A7" w:rsidRPr="001A0AC6" w14:paraId="06A4FA5B" w14:textId="77777777" w:rsidTr="00087E54">
        <w:trPr>
          <w:trHeight w:val="297"/>
        </w:trPr>
        <w:tc>
          <w:tcPr>
            <w:tcW w:w="851" w:type="dxa"/>
            <w:tcBorders>
              <w:top w:val="single" w:sz="4" w:space="0" w:color="auto"/>
              <w:bottom w:val="single" w:sz="4" w:space="0" w:color="auto"/>
            </w:tcBorders>
          </w:tcPr>
          <w:p w14:paraId="0262BADE"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r w:rsidRPr="001A0AC6">
              <w:rPr>
                <w:rFonts w:ascii="Times New Roman" w:hAnsi="Times New Roman" w:cs="Times New Roman"/>
                <w:sz w:val="20"/>
                <w:szCs w:val="20"/>
              </w:rPr>
              <w:t>CE</w:t>
            </w:r>
          </w:p>
        </w:tc>
        <w:tc>
          <w:tcPr>
            <w:tcW w:w="1427" w:type="dxa"/>
            <w:tcBorders>
              <w:bottom w:val="single" w:sz="4" w:space="0" w:color="auto"/>
            </w:tcBorders>
          </w:tcPr>
          <w:p w14:paraId="20A780D6"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shd w:val="clear" w:color="auto" w:fill="FFFFFF"/>
              </w:rPr>
            </w:pPr>
          </w:p>
        </w:tc>
        <w:tc>
          <w:tcPr>
            <w:tcW w:w="1912" w:type="dxa"/>
            <w:gridSpan w:val="2"/>
            <w:tcBorders>
              <w:top w:val="single" w:sz="4" w:space="0" w:color="auto"/>
              <w:bottom w:val="single" w:sz="4" w:space="0" w:color="auto"/>
            </w:tcBorders>
          </w:tcPr>
          <w:p w14:paraId="55064F56"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r w:rsidRPr="001A0AC6">
              <w:rPr>
                <w:rFonts w:ascii="Times New Roman" w:hAnsi="Times New Roman" w:cs="Times New Roman"/>
                <w:sz w:val="20"/>
                <w:szCs w:val="20"/>
              </w:rPr>
              <w:t>WL</w:t>
            </w:r>
          </w:p>
        </w:tc>
        <w:tc>
          <w:tcPr>
            <w:tcW w:w="1912" w:type="dxa"/>
            <w:gridSpan w:val="2"/>
            <w:tcBorders>
              <w:top w:val="single" w:sz="4" w:space="0" w:color="auto"/>
              <w:bottom w:val="single" w:sz="4" w:space="0" w:color="auto"/>
            </w:tcBorders>
          </w:tcPr>
          <w:p w14:paraId="6E1E6C8F"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r w:rsidRPr="001A0AC6">
              <w:rPr>
                <w:rFonts w:ascii="Times New Roman" w:hAnsi="Times New Roman" w:cs="Times New Roman"/>
                <w:sz w:val="20"/>
                <w:szCs w:val="20"/>
              </w:rPr>
              <w:t>BL</w:t>
            </w:r>
          </w:p>
        </w:tc>
        <w:tc>
          <w:tcPr>
            <w:tcW w:w="1912" w:type="dxa"/>
            <w:gridSpan w:val="2"/>
            <w:tcBorders>
              <w:top w:val="single" w:sz="4" w:space="0" w:color="auto"/>
              <w:bottom w:val="single" w:sz="4" w:space="0" w:color="auto"/>
            </w:tcBorders>
          </w:tcPr>
          <w:p w14:paraId="20378D62"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r w:rsidRPr="001A0AC6">
              <w:rPr>
                <w:rFonts w:ascii="Times New Roman" w:hAnsi="Times New Roman" w:cs="Times New Roman"/>
                <w:sz w:val="20"/>
                <w:szCs w:val="20"/>
              </w:rPr>
              <w:t>PL</w:t>
            </w:r>
          </w:p>
        </w:tc>
        <w:tc>
          <w:tcPr>
            <w:tcW w:w="1912" w:type="dxa"/>
            <w:gridSpan w:val="2"/>
            <w:tcBorders>
              <w:top w:val="single" w:sz="4" w:space="0" w:color="auto"/>
              <w:bottom w:val="single" w:sz="4" w:space="0" w:color="auto"/>
            </w:tcBorders>
          </w:tcPr>
          <w:p w14:paraId="0E379D94"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r w:rsidRPr="001A0AC6">
              <w:rPr>
                <w:rFonts w:ascii="Times New Roman" w:hAnsi="Times New Roman" w:cs="Times New Roman"/>
                <w:sz w:val="20"/>
                <w:szCs w:val="20"/>
              </w:rPr>
              <w:t>RL</w:t>
            </w:r>
          </w:p>
        </w:tc>
      </w:tr>
      <w:tr w:rsidR="003A10A7" w:rsidRPr="001A0AC6" w14:paraId="790CD2EA" w14:textId="77777777" w:rsidTr="00087E54">
        <w:trPr>
          <w:trHeight w:val="297"/>
        </w:trPr>
        <w:tc>
          <w:tcPr>
            <w:tcW w:w="851" w:type="dxa"/>
            <w:tcBorders>
              <w:top w:val="single" w:sz="4" w:space="0" w:color="auto"/>
              <w:bottom w:val="single" w:sz="4" w:space="0" w:color="auto"/>
            </w:tcBorders>
          </w:tcPr>
          <w:p w14:paraId="02252265"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r w:rsidRPr="001A0AC6">
              <w:rPr>
                <w:rFonts w:ascii="Times New Roman" w:hAnsi="Times New Roman" w:cs="Times New Roman"/>
                <w:sz w:val="20"/>
                <w:szCs w:val="20"/>
              </w:rPr>
              <w:t>(%)</w:t>
            </w:r>
          </w:p>
        </w:tc>
        <w:tc>
          <w:tcPr>
            <w:tcW w:w="1427" w:type="dxa"/>
            <w:tcBorders>
              <w:top w:val="single" w:sz="4" w:space="0" w:color="auto"/>
              <w:bottom w:val="single" w:sz="4" w:space="0" w:color="auto"/>
            </w:tcBorders>
          </w:tcPr>
          <w:p w14:paraId="65A52C0B"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shd w:val="clear" w:color="auto" w:fill="FFFFFF"/>
              </w:rPr>
            </w:pPr>
            <w:proofErr w:type="spellStart"/>
            <w:proofErr w:type="gramStart"/>
            <w:r w:rsidRPr="001A0AC6">
              <w:rPr>
                <w:rFonts w:ascii="Times New Roman" w:hAnsi="Times New Roman" w:cs="Times New Roman"/>
                <w:sz w:val="20"/>
                <w:szCs w:val="20"/>
                <w:shd w:val="clear" w:color="auto" w:fill="FFFFFF"/>
              </w:rPr>
              <w:t>spp</w:t>
            </w:r>
            <w:proofErr w:type="spellEnd"/>
            <w:proofErr w:type="gramEnd"/>
            <w:r w:rsidRPr="001A0AC6">
              <w:rPr>
                <w:rFonts w:ascii="Times New Roman" w:hAnsi="Times New Roman" w:cs="Times New Roman"/>
                <w:sz w:val="20"/>
                <w:szCs w:val="20"/>
                <w:shd w:val="clear" w:color="auto" w:fill="FFFFFF"/>
              </w:rPr>
              <w:t>.</w:t>
            </w:r>
          </w:p>
        </w:tc>
        <w:tc>
          <w:tcPr>
            <w:tcW w:w="956" w:type="dxa"/>
            <w:tcBorders>
              <w:top w:val="single" w:sz="4" w:space="0" w:color="auto"/>
              <w:bottom w:val="single" w:sz="4" w:space="0" w:color="auto"/>
            </w:tcBorders>
          </w:tcPr>
          <w:p w14:paraId="0C979A69"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r w:rsidRPr="001A0AC6">
              <w:rPr>
                <w:rFonts w:ascii="Times New Roman" w:hAnsi="Times New Roman" w:cs="Times New Roman"/>
                <w:sz w:val="20"/>
                <w:szCs w:val="20"/>
                <w:shd w:val="clear" w:color="auto" w:fill="FFFFFF"/>
              </w:rPr>
              <w:t>CR</w:t>
            </w:r>
          </w:p>
        </w:tc>
        <w:tc>
          <w:tcPr>
            <w:tcW w:w="956" w:type="dxa"/>
            <w:tcBorders>
              <w:top w:val="single" w:sz="4" w:space="0" w:color="auto"/>
              <w:bottom w:val="single" w:sz="4" w:space="0" w:color="auto"/>
            </w:tcBorders>
          </w:tcPr>
          <w:p w14:paraId="2F0B74A7"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r w:rsidRPr="001A0AC6">
              <w:rPr>
                <w:rFonts w:ascii="Times New Roman" w:hAnsi="Times New Roman" w:cs="Times New Roman"/>
                <w:sz w:val="20"/>
                <w:szCs w:val="20"/>
                <w:shd w:val="clear" w:color="auto" w:fill="FFFFFF"/>
              </w:rPr>
              <w:t>RM</w:t>
            </w:r>
          </w:p>
        </w:tc>
        <w:tc>
          <w:tcPr>
            <w:tcW w:w="956" w:type="dxa"/>
            <w:tcBorders>
              <w:top w:val="single" w:sz="4" w:space="0" w:color="auto"/>
              <w:bottom w:val="single" w:sz="4" w:space="0" w:color="auto"/>
            </w:tcBorders>
          </w:tcPr>
          <w:p w14:paraId="65870195"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r w:rsidRPr="001A0AC6">
              <w:rPr>
                <w:rFonts w:ascii="Times New Roman" w:hAnsi="Times New Roman" w:cs="Times New Roman"/>
                <w:sz w:val="20"/>
                <w:szCs w:val="20"/>
                <w:shd w:val="clear" w:color="auto" w:fill="FFFFFF"/>
              </w:rPr>
              <w:t>CR</w:t>
            </w:r>
          </w:p>
        </w:tc>
        <w:tc>
          <w:tcPr>
            <w:tcW w:w="956" w:type="dxa"/>
            <w:tcBorders>
              <w:top w:val="single" w:sz="4" w:space="0" w:color="auto"/>
              <w:bottom w:val="single" w:sz="4" w:space="0" w:color="auto"/>
            </w:tcBorders>
          </w:tcPr>
          <w:p w14:paraId="0754A5F2"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r w:rsidRPr="001A0AC6">
              <w:rPr>
                <w:rFonts w:ascii="Times New Roman" w:hAnsi="Times New Roman" w:cs="Times New Roman"/>
                <w:sz w:val="20"/>
                <w:szCs w:val="20"/>
                <w:shd w:val="clear" w:color="auto" w:fill="FFFFFF"/>
              </w:rPr>
              <w:t>RM</w:t>
            </w:r>
          </w:p>
        </w:tc>
        <w:tc>
          <w:tcPr>
            <w:tcW w:w="956" w:type="dxa"/>
            <w:tcBorders>
              <w:top w:val="single" w:sz="4" w:space="0" w:color="auto"/>
              <w:bottom w:val="single" w:sz="4" w:space="0" w:color="auto"/>
            </w:tcBorders>
          </w:tcPr>
          <w:p w14:paraId="556EEF35"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r w:rsidRPr="001A0AC6">
              <w:rPr>
                <w:rFonts w:ascii="Times New Roman" w:hAnsi="Times New Roman" w:cs="Times New Roman"/>
                <w:sz w:val="20"/>
                <w:szCs w:val="20"/>
                <w:shd w:val="clear" w:color="auto" w:fill="FFFFFF"/>
              </w:rPr>
              <w:t>CR</w:t>
            </w:r>
          </w:p>
        </w:tc>
        <w:tc>
          <w:tcPr>
            <w:tcW w:w="956" w:type="dxa"/>
            <w:tcBorders>
              <w:top w:val="single" w:sz="4" w:space="0" w:color="auto"/>
              <w:bottom w:val="single" w:sz="4" w:space="0" w:color="auto"/>
            </w:tcBorders>
          </w:tcPr>
          <w:p w14:paraId="1BDBAA3C"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r w:rsidRPr="001A0AC6">
              <w:rPr>
                <w:rFonts w:ascii="Times New Roman" w:hAnsi="Times New Roman" w:cs="Times New Roman"/>
                <w:sz w:val="20"/>
                <w:szCs w:val="20"/>
                <w:shd w:val="clear" w:color="auto" w:fill="FFFFFF"/>
              </w:rPr>
              <w:t>RM</w:t>
            </w:r>
          </w:p>
        </w:tc>
        <w:tc>
          <w:tcPr>
            <w:tcW w:w="956" w:type="dxa"/>
            <w:tcBorders>
              <w:top w:val="single" w:sz="4" w:space="0" w:color="auto"/>
              <w:bottom w:val="single" w:sz="4" w:space="0" w:color="auto"/>
            </w:tcBorders>
          </w:tcPr>
          <w:p w14:paraId="551E7B70"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r w:rsidRPr="001A0AC6">
              <w:rPr>
                <w:rFonts w:ascii="Times New Roman" w:hAnsi="Times New Roman" w:cs="Times New Roman"/>
                <w:sz w:val="20"/>
                <w:szCs w:val="20"/>
                <w:shd w:val="clear" w:color="auto" w:fill="FFFFFF"/>
              </w:rPr>
              <w:t>CR</w:t>
            </w:r>
          </w:p>
        </w:tc>
        <w:tc>
          <w:tcPr>
            <w:tcW w:w="956" w:type="dxa"/>
            <w:tcBorders>
              <w:top w:val="single" w:sz="4" w:space="0" w:color="auto"/>
              <w:bottom w:val="single" w:sz="4" w:space="0" w:color="auto"/>
            </w:tcBorders>
          </w:tcPr>
          <w:p w14:paraId="0D726802"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r w:rsidRPr="001A0AC6">
              <w:rPr>
                <w:rFonts w:ascii="Times New Roman" w:hAnsi="Times New Roman" w:cs="Times New Roman"/>
                <w:sz w:val="20"/>
                <w:szCs w:val="20"/>
                <w:shd w:val="clear" w:color="auto" w:fill="FFFFFF"/>
              </w:rPr>
              <w:t>RM</w:t>
            </w:r>
          </w:p>
        </w:tc>
      </w:tr>
      <w:tr w:rsidR="003A10A7" w:rsidRPr="001A0AC6" w14:paraId="3A12EC3F" w14:textId="77777777" w:rsidTr="00087E54">
        <w:tc>
          <w:tcPr>
            <w:tcW w:w="851" w:type="dxa"/>
            <w:vMerge w:val="restart"/>
            <w:tcBorders>
              <w:top w:val="single" w:sz="4" w:space="0" w:color="auto"/>
            </w:tcBorders>
          </w:tcPr>
          <w:p w14:paraId="7C045211"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r w:rsidRPr="001A0AC6">
              <w:rPr>
                <w:rFonts w:ascii="Times New Roman" w:hAnsi="Times New Roman" w:cs="Times New Roman"/>
                <w:sz w:val="20"/>
                <w:szCs w:val="20"/>
              </w:rPr>
              <w:t>K</w:t>
            </w:r>
          </w:p>
        </w:tc>
        <w:tc>
          <w:tcPr>
            <w:tcW w:w="1427" w:type="dxa"/>
            <w:tcBorders>
              <w:top w:val="single" w:sz="4" w:space="0" w:color="auto"/>
            </w:tcBorders>
          </w:tcPr>
          <w:p w14:paraId="4CCD4824"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shd w:val="clear" w:color="auto" w:fill="FFFFFF"/>
              </w:rPr>
            </w:pPr>
            <w:r w:rsidRPr="001A0AC6">
              <w:rPr>
                <w:rFonts w:ascii="Times New Roman" w:hAnsi="Times New Roman" w:cs="Times New Roman"/>
                <w:i/>
                <w:iCs/>
                <w:sz w:val="20"/>
                <w:szCs w:val="20"/>
              </w:rPr>
              <w:t>S. undatus</w:t>
            </w:r>
          </w:p>
        </w:tc>
        <w:tc>
          <w:tcPr>
            <w:tcW w:w="956" w:type="dxa"/>
            <w:tcBorders>
              <w:top w:val="single" w:sz="4" w:space="0" w:color="auto"/>
            </w:tcBorders>
          </w:tcPr>
          <w:p w14:paraId="7A55718E" w14:textId="77777777" w:rsidR="003A10A7" w:rsidRPr="001A0AC6" w:rsidRDefault="003A10A7" w:rsidP="00087E54">
            <w:pPr>
              <w:spacing w:line="360" w:lineRule="auto"/>
              <w:jc w:val="both"/>
              <w:rPr>
                <w:rFonts w:ascii="Times New Roman" w:hAnsi="Times New Roman" w:cs="Times New Roman"/>
                <w:sz w:val="20"/>
                <w:szCs w:val="20"/>
              </w:rPr>
            </w:pPr>
            <w:r w:rsidRPr="001A0AC6">
              <w:rPr>
                <w:rFonts w:ascii="Times New Roman" w:hAnsi="Times New Roman" w:cs="Times New Roman"/>
                <w:sz w:val="20"/>
                <w:szCs w:val="20"/>
              </w:rPr>
              <w:t>57.49</w:t>
            </w:r>
            <w:r w:rsidRPr="001A0AC6">
              <w:rPr>
                <w:rFonts w:ascii="Times New Roman" w:hAnsi="Times New Roman" w:cs="Times New Roman"/>
                <w:sz w:val="20"/>
                <w:szCs w:val="20"/>
                <w:vertAlign w:val="superscript"/>
              </w:rPr>
              <w:t xml:space="preserve">1.88 </w:t>
            </w:r>
          </w:p>
        </w:tc>
        <w:tc>
          <w:tcPr>
            <w:tcW w:w="956" w:type="dxa"/>
            <w:tcBorders>
              <w:top w:val="single" w:sz="4" w:space="0" w:color="auto"/>
            </w:tcBorders>
          </w:tcPr>
          <w:p w14:paraId="3AF244AE"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43.08</w:t>
            </w:r>
            <w:r w:rsidRPr="001A0AC6">
              <w:rPr>
                <w:rFonts w:ascii="Times New Roman" w:hAnsi="Times New Roman" w:cs="Times New Roman"/>
                <w:color w:val="000000"/>
                <w:sz w:val="20"/>
                <w:szCs w:val="20"/>
                <w:vertAlign w:val="superscript"/>
              </w:rPr>
              <w:t>1.55</w:t>
            </w:r>
          </w:p>
        </w:tc>
        <w:tc>
          <w:tcPr>
            <w:tcW w:w="956" w:type="dxa"/>
            <w:tcBorders>
              <w:top w:val="single" w:sz="4" w:space="0" w:color="auto"/>
            </w:tcBorders>
          </w:tcPr>
          <w:p w14:paraId="7B4196DB"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48.14</w:t>
            </w:r>
            <w:r w:rsidRPr="001A0AC6">
              <w:rPr>
                <w:rFonts w:ascii="Times New Roman" w:hAnsi="Times New Roman" w:cs="Times New Roman"/>
                <w:color w:val="000000"/>
                <w:sz w:val="20"/>
                <w:szCs w:val="20"/>
                <w:vertAlign w:val="superscript"/>
              </w:rPr>
              <w:t>1.68</w:t>
            </w:r>
          </w:p>
        </w:tc>
        <w:tc>
          <w:tcPr>
            <w:tcW w:w="956" w:type="dxa"/>
            <w:tcBorders>
              <w:top w:val="single" w:sz="4" w:space="0" w:color="auto"/>
            </w:tcBorders>
          </w:tcPr>
          <w:p w14:paraId="1E4552FC"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74.45</w:t>
            </w:r>
            <w:r w:rsidRPr="001A0AC6">
              <w:rPr>
                <w:rFonts w:ascii="Times New Roman" w:hAnsi="Times New Roman" w:cs="Times New Roman"/>
                <w:b/>
                <w:color w:val="000000"/>
                <w:sz w:val="20"/>
                <w:szCs w:val="20"/>
                <w:vertAlign w:val="superscript"/>
              </w:rPr>
              <w:t>2.47</w:t>
            </w:r>
          </w:p>
        </w:tc>
        <w:tc>
          <w:tcPr>
            <w:tcW w:w="956" w:type="dxa"/>
            <w:tcBorders>
              <w:top w:val="single" w:sz="4" w:space="0" w:color="auto"/>
            </w:tcBorders>
          </w:tcPr>
          <w:p w14:paraId="648D5819"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49.46</w:t>
            </w:r>
            <w:r w:rsidRPr="001A0AC6">
              <w:rPr>
                <w:rFonts w:ascii="Times New Roman" w:hAnsi="Times New Roman" w:cs="Times New Roman"/>
                <w:color w:val="000000"/>
                <w:sz w:val="20"/>
                <w:szCs w:val="20"/>
                <w:vertAlign w:val="superscript"/>
              </w:rPr>
              <w:t>1.76</w:t>
            </w:r>
          </w:p>
        </w:tc>
        <w:tc>
          <w:tcPr>
            <w:tcW w:w="956" w:type="dxa"/>
            <w:tcBorders>
              <w:top w:val="single" w:sz="4" w:space="0" w:color="auto"/>
            </w:tcBorders>
          </w:tcPr>
          <w:p w14:paraId="1D79AD06"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69.53</w:t>
            </w:r>
            <w:r w:rsidRPr="001A0AC6">
              <w:rPr>
                <w:rFonts w:ascii="Times New Roman" w:hAnsi="Times New Roman" w:cs="Times New Roman"/>
                <w:color w:val="000000"/>
                <w:sz w:val="20"/>
                <w:szCs w:val="20"/>
                <w:vertAlign w:val="superscript"/>
              </w:rPr>
              <w:t>2.35</w:t>
            </w:r>
          </w:p>
        </w:tc>
        <w:tc>
          <w:tcPr>
            <w:tcW w:w="956" w:type="dxa"/>
            <w:tcBorders>
              <w:top w:val="single" w:sz="4" w:space="0" w:color="auto"/>
            </w:tcBorders>
          </w:tcPr>
          <w:p w14:paraId="5FEF6EE8"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70.35</w:t>
            </w:r>
            <w:r w:rsidRPr="001A0AC6">
              <w:rPr>
                <w:rFonts w:ascii="Times New Roman" w:hAnsi="Times New Roman" w:cs="Times New Roman"/>
                <w:b/>
                <w:color w:val="000000"/>
                <w:sz w:val="20"/>
                <w:szCs w:val="20"/>
                <w:vertAlign w:val="superscript"/>
              </w:rPr>
              <w:t>2.44</w:t>
            </w:r>
          </w:p>
        </w:tc>
        <w:tc>
          <w:tcPr>
            <w:tcW w:w="956" w:type="dxa"/>
            <w:tcBorders>
              <w:top w:val="single" w:sz="4" w:space="0" w:color="auto"/>
            </w:tcBorders>
          </w:tcPr>
          <w:p w14:paraId="7F7EAF2A"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59.07</w:t>
            </w:r>
            <w:r w:rsidRPr="001A0AC6">
              <w:rPr>
                <w:rFonts w:ascii="Times New Roman" w:hAnsi="Times New Roman" w:cs="Times New Roman"/>
                <w:color w:val="000000"/>
                <w:sz w:val="20"/>
                <w:szCs w:val="20"/>
                <w:vertAlign w:val="superscript"/>
              </w:rPr>
              <w:t>2.05</w:t>
            </w:r>
          </w:p>
        </w:tc>
      </w:tr>
      <w:tr w:rsidR="003A10A7" w:rsidRPr="001A0AC6" w14:paraId="088BA140" w14:textId="77777777" w:rsidTr="00087E54">
        <w:tc>
          <w:tcPr>
            <w:tcW w:w="851" w:type="dxa"/>
            <w:vMerge/>
          </w:tcPr>
          <w:p w14:paraId="02FE0ED2"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p>
        </w:tc>
        <w:tc>
          <w:tcPr>
            <w:tcW w:w="1427" w:type="dxa"/>
          </w:tcPr>
          <w:p w14:paraId="678B5146"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shd w:val="clear" w:color="auto" w:fill="FFFFFF"/>
              </w:rPr>
            </w:pPr>
            <w:r w:rsidRPr="001A0AC6">
              <w:rPr>
                <w:rFonts w:ascii="Times New Roman" w:hAnsi="Times New Roman" w:cs="Times New Roman"/>
                <w:i/>
                <w:iCs/>
                <w:sz w:val="20"/>
                <w:szCs w:val="20"/>
              </w:rPr>
              <w:t xml:space="preserve">H. </w:t>
            </w:r>
            <w:proofErr w:type="spellStart"/>
            <w:r w:rsidRPr="001A0AC6">
              <w:rPr>
                <w:rFonts w:ascii="Times New Roman" w:hAnsi="Times New Roman" w:cs="Times New Roman"/>
                <w:i/>
                <w:iCs/>
                <w:sz w:val="20"/>
                <w:szCs w:val="20"/>
              </w:rPr>
              <w:t>polyrhizus</w:t>
            </w:r>
            <w:proofErr w:type="spellEnd"/>
          </w:p>
        </w:tc>
        <w:tc>
          <w:tcPr>
            <w:tcW w:w="956" w:type="dxa"/>
          </w:tcPr>
          <w:p w14:paraId="66B9D31B"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69.69</w:t>
            </w:r>
            <w:r w:rsidRPr="001A0AC6">
              <w:rPr>
                <w:rFonts w:ascii="Times New Roman" w:hAnsi="Times New Roman" w:cs="Times New Roman"/>
                <w:b/>
                <w:color w:val="000000"/>
                <w:sz w:val="20"/>
                <w:szCs w:val="20"/>
                <w:vertAlign w:val="superscript"/>
              </w:rPr>
              <w:t>2.92</w:t>
            </w:r>
          </w:p>
        </w:tc>
        <w:tc>
          <w:tcPr>
            <w:tcW w:w="956" w:type="dxa"/>
          </w:tcPr>
          <w:p w14:paraId="01E49A24"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58.11</w:t>
            </w:r>
            <w:r w:rsidRPr="001A0AC6">
              <w:rPr>
                <w:rFonts w:ascii="Times New Roman" w:hAnsi="Times New Roman" w:cs="Times New Roman"/>
                <w:color w:val="000000"/>
                <w:sz w:val="20"/>
                <w:szCs w:val="20"/>
                <w:vertAlign w:val="superscript"/>
              </w:rPr>
              <w:t>2.12</w:t>
            </w:r>
          </w:p>
        </w:tc>
        <w:tc>
          <w:tcPr>
            <w:tcW w:w="956" w:type="dxa"/>
          </w:tcPr>
          <w:p w14:paraId="39F9F6B3"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57.01</w:t>
            </w:r>
            <w:r w:rsidRPr="001A0AC6">
              <w:rPr>
                <w:rFonts w:ascii="Times New Roman" w:hAnsi="Times New Roman" w:cs="Times New Roman"/>
                <w:color w:val="000000"/>
                <w:sz w:val="20"/>
                <w:szCs w:val="20"/>
                <w:vertAlign w:val="superscript"/>
              </w:rPr>
              <w:t>1.89</w:t>
            </w:r>
          </w:p>
        </w:tc>
        <w:tc>
          <w:tcPr>
            <w:tcW w:w="956" w:type="dxa"/>
          </w:tcPr>
          <w:p w14:paraId="4579FD88"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66.43</w:t>
            </w:r>
            <w:r w:rsidRPr="001A0AC6">
              <w:rPr>
                <w:rFonts w:ascii="Times New Roman" w:hAnsi="Times New Roman" w:cs="Times New Roman"/>
                <w:b/>
                <w:color w:val="000000"/>
                <w:sz w:val="20"/>
                <w:szCs w:val="20"/>
                <w:vertAlign w:val="superscript"/>
              </w:rPr>
              <w:t>0.89</w:t>
            </w:r>
          </w:p>
        </w:tc>
        <w:tc>
          <w:tcPr>
            <w:tcW w:w="956" w:type="dxa"/>
          </w:tcPr>
          <w:p w14:paraId="74002657"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43.61</w:t>
            </w:r>
            <w:r w:rsidRPr="001A0AC6">
              <w:rPr>
                <w:rFonts w:ascii="Times New Roman" w:hAnsi="Times New Roman" w:cs="Times New Roman"/>
                <w:color w:val="000000"/>
                <w:sz w:val="20"/>
                <w:szCs w:val="20"/>
                <w:vertAlign w:val="superscript"/>
              </w:rPr>
              <w:t>1.48</w:t>
            </w:r>
          </w:p>
        </w:tc>
        <w:tc>
          <w:tcPr>
            <w:tcW w:w="956" w:type="dxa"/>
          </w:tcPr>
          <w:p w14:paraId="44CBD2F0"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54.88</w:t>
            </w:r>
            <w:r w:rsidRPr="001A0AC6">
              <w:rPr>
                <w:rFonts w:ascii="Times New Roman" w:hAnsi="Times New Roman" w:cs="Times New Roman"/>
                <w:color w:val="000000"/>
                <w:sz w:val="20"/>
                <w:szCs w:val="20"/>
                <w:vertAlign w:val="superscript"/>
              </w:rPr>
              <w:t>1.95</w:t>
            </w:r>
          </w:p>
        </w:tc>
        <w:tc>
          <w:tcPr>
            <w:tcW w:w="956" w:type="dxa"/>
          </w:tcPr>
          <w:p w14:paraId="5A681A6D"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33.37</w:t>
            </w:r>
            <w:r w:rsidRPr="001A0AC6">
              <w:rPr>
                <w:rFonts w:ascii="Times New Roman" w:hAnsi="Times New Roman" w:cs="Times New Roman"/>
                <w:color w:val="000000"/>
                <w:sz w:val="20"/>
                <w:szCs w:val="20"/>
                <w:vertAlign w:val="superscript"/>
              </w:rPr>
              <w:t>1.21</w:t>
            </w:r>
          </w:p>
        </w:tc>
        <w:tc>
          <w:tcPr>
            <w:tcW w:w="956" w:type="dxa"/>
          </w:tcPr>
          <w:p w14:paraId="66CAAE3F"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44.74</w:t>
            </w:r>
            <w:r w:rsidRPr="001A0AC6">
              <w:rPr>
                <w:rFonts w:ascii="Times New Roman" w:hAnsi="Times New Roman" w:cs="Times New Roman"/>
                <w:color w:val="000000"/>
                <w:sz w:val="20"/>
                <w:szCs w:val="20"/>
                <w:vertAlign w:val="superscript"/>
              </w:rPr>
              <w:t>1.54</w:t>
            </w:r>
          </w:p>
        </w:tc>
      </w:tr>
      <w:tr w:rsidR="003A10A7" w:rsidRPr="001A0AC6" w14:paraId="0377DDBB" w14:textId="77777777" w:rsidTr="00087E54">
        <w:tc>
          <w:tcPr>
            <w:tcW w:w="851" w:type="dxa"/>
            <w:vMerge w:val="restart"/>
          </w:tcPr>
          <w:p w14:paraId="6FB5B91D"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proofErr w:type="gramStart"/>
            <w:r w:rsidRPr="001A0AC6">
              <w:rPr>
                <w:rFonts w:ascii="Times New Roman" w:hAnsi="Times New Roman" w:cs="Times New Roman"/>
                <w:sz w:val="20"/>
                <w:szCs w:val="20"/>
              </w:rPr>
              <w:t>Ca</w:t>
            </w:r>
            <w:proofErr w:type="gramEnd"/>
          </w:p>
        </w:tc>
        <w:tc>
          <w:tcPr>
            <w:tcW w:w="1427" w:type="dxa"/>
          </w:tcPr>
          <w:p w14:paraId="298B7576"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shd w:val="clear" w:color="auto" w:fill="FFFFFF"/>
              </w:rPr>
            </w:pPr>
            <w:r w:rsidRPr="001A0AC6">
              <w:rPr>
                <w:rFonts w:ascii="Times New Roman" w:hAnsi="Times New Roman" w:cs="Times New Roman"/>
                <w:i/>
                <w:iCs/>
                <w:sz w:val="20"/>
                <w:szCs w:val="20"/>
              </w:rPr>
              <w:t>S. undatus</w:t>
            </w:r>
          </w:p>
        </w:tc>
        <w:tc>
          <w:tcPr>
            <w:tcW w:w="956" w:type="dxa"/>
          </w:tcPr>
          <w:p w14:paraId="6626074E" w14:textId="77777777" w:rsidR="003A10A7" w:rsidRPr="001A0AC6" w:rsidRDefault="003A10A7" w:rsidP="00087E54">
            <w:pPr>
              <w:spacing w:line="360" w:lineRule="auto"/>
              <w:jc w:val="both"/>
              <w:rPr>
                <w:rFonts w:ascii="Times New Roman" w:hAnsi="Times New Roman" w:cs="Times New Roman"/>
                <w:sz w:val="20"/>
                <w:szCs w:val="20"/>
              </w:rPr>
            </w:pPr>
            <w:r w:rsidRPr="001A0AC6">
              <w:rPr>
                <w:rFonts w:ascii="Times New Roman" w:hAnsi="Times New Roman" w:cs="Times New Roman"/>
                <w:sz w:val="20"/>
                <w:szCs w:val="20"/>
              </w:rPr>
              <w:t>6.39</w:t>
            </w:r>
            <w:r w:rsidRPr="001A0AC6">
              <w:rPr>
                <w:rFonts w:ascii="Times New Roman" w:hAnsi="Times New Roman" w:cs="Times New Roman"/>
                <w:sz w:val="20"/>
                <w:szCs w:val="20"/>
                <w:vertAlign w:val="superscript"/>
              </w:rPr>
              <w:t>0.38</w:t>
            </w:r>
          </w:p>
        </w:tc>
        <w:tc>
          <w:tcPr>
            <w:tcW w:w="956" w:type="dxa"/>
          </w:tcPr>
          <w:p w14:paraId="5BF33A90"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25.73</w:t>
            </w:r>
            <w:r w:rsidRPr="001A0AC6">
              <w:rPr>
                <w:rFonts w:ascii="Times New Roman" w:hAnsi="Times New Roman" w:cs="Times New Roman"/>
                <w:b/>
                <w:color w:val="000000"/>
                <w:sz w:val="20"/>
                <w:szCs w:val="20"/>
                <w:vertAlign w:val="superscript"/>
              </w:rPr>
              <w:t>1.03</w:t>
            </w:r>
          </w:p>
        </w:tc>
        <w:tc>
          <w:tcPr>
            <w:tcW w:w="956" w:type="dxa"/>
          </w:tcPr>
          <w:p w14:paraId="1D1A907D"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27.88</w:t>
            </w:r>
            <w:r w:rsidRPr="001A0AC6">
              <w:rPr>
                <w:rFonts w:ascii="Times New Roman" w:hAnsi="Times New Roman" w:cs="Times New Roman"/>
                <w:b/>
                <w:color w:val="000000"/>
                <w:sz w:val="20"/>
                <w:szCs w:val="20"/>
                <w:vertAlign w:val="superscript"/>
              </w:rPr>
              <w:t>1.08</w:t>
            </w:r>
          </w:p>
        </w:tc>
        <w:tc>
          <w:tcPr>
            <w:tcW w:w="956" w:type="dxa"/>
          </w:tcPr>
          <w:p w14:paraId="1F25CDA6"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11.17</w:t>
            </w:r>
            <w:r w:rsidRPr="001A0AC6">
              <w:rPr>
                <w:rFonts w:ascii="Times New Roman" w:hAnsi="Times New Roman" w:cs="Times New Roman"/>
                <w:color w:val="000000"/>
                <w:sz w:val="20"/>
                <w:szCs w:val="20"/>
                <w:vertAlign w:val="superscript"/>
              </w:rPr>
              <w:t>0.63</w:t>
            </w:r>
          </w:p>
        </w:tc>
        <w:tc>
          <w:tcPr>
            <w:tcW w:w="956" w:type="dxa"/>
          </w:tcPr>
          <w:p w14:paraId="084F22AA"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17.44</w:t>
            </w:r>
            <w:r w:rsidRPr="001A0AC6">
              <w:rPr>
                <w:rFonts w:ascii="Times New Roman" w:hAnsi="Times New Roman" w:cs="Times New Roman"/>
                <w:color w:val="000000"/>
                <w:sz w:val="20"/>
                <w:szCs w:val="20"/>
                <w:vertAlign w:val="superscript"/>
              </w:rPr>
              <w:t>0.83</w:t>
            </w:r>
          </w:p>
        </w:tc>
        <w:tc>
          <w:tcPr>
            <w:tcW w:w="956" w:type="dxa"/>
          </w:tcPr>
          <w:p w14:paraId="5EF18090"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13.28</w:t>
            </w:r>
            <w:r w:rsidRPr="001A0AC6">
              <w:rPr>
                <w:rFonts w:ascii="Times New Roman" w:hAnsi="Times New Roman" w:cs="Times New Roman"/>
                <w:color w:val="000000"/>
                <w:sz w:val="20"/>
                <w:szCs w:val="20"/>
                <w:vertAlign w:val="superscript"/>
              </w:rPr>
              <w:t>0.71</w:t>
            </w:r>
          </w:p>
        </w:tc>
        <w:tc>
          <w:tcPr>
            <w:tcW w:w="956" w:type="dxa"/>
          </w:tcPr>
          <w:p w14:paraId="71DE05FA"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23.37</w:t>
            </w:r>
            <w:r w:rsidRPr="001A0AC6">
              <w:rPr>
                <w:rFonts w:ascii="Times New Roman" w:hAnsi="Times New Roman" w:cs="Times New Roman"/>
                <w:color w:val="000000"/>
                <w:sz w:val="20"/>
                <w:szCs w:val="20"/>
                <w:vertAlign w:val="superscript"/>
              </w:rPr>
              <w:t>1.09</w:t>
            </w:r>
          </w:p>
        </w:tc>
        <w:tc>
          <w:tcPr>
            <w:tcW w:w="956" w:type="dxa"/>
          </w:tcPr>
          <w:p w14:paraId="6D9836B6"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18.89</w:t>
            </w:r>
            <w:r w:rsidRPr="001A0AC6">
              <w:rPr>
                <w:rFonts w:ascii="Times New Roman" w:hAnsi="Times New Roman" w:cs="Times New Roman"/>
                <w:color w:val="000000"/>
                <w:sz w:val="20"/>
                <w:szCs w:val="20"/>
                <w:vertAlign w:val="superscript"/>
              </w:rPr>
              <w:t>0.87</w:t>
            </w:r>
          </w:p>
        </w:tc>
      </w:tr>
      <w:tr w:rsidR="003A10A7" w:rsidRPr="001A0AC6" w14:paraId="0F8C0E2A" w14:textId="77777777" w:rsidTr="00087E54">
        <w:tc>
          <w:tcPr>
            <w:tcW w:w="851" w:type="dxa"/>
            <w:vMerge/>
          </w:tcPr>
          <w:p w14:paraId="2881FAEB"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p>
        </w:tc>
        <w:tc>
          <w:tcPr>
            <w:tcW w:w="1427" w:type="dxa"/>
          </w:tcPr>
          <w:p w14:paraId="1D83D4C0"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shd w:val="clear" w:color="auto" w:fill="FFFFFF"/>
              </w:rPr>
            </w:pPr>
            <w:r w:rsidRPr="001A0AC6">
              <w:rPr>
                <w:rFonts w:ascii="Times New Roman" w:hAnsi="Times New Roman" w:cs="Times New Roman"/>
                <w:i/>
                <w:iCs/>
                <w:sz w:val="20"/>
                <w:szCs w:val="20"/>
              </w:rPr>
              <w:t xml:space="preserve">H. </w:t>
            </w:r>
            <w:proofErr w:type="spellStart"/>
            <w:r w:rsidRPr="001A0AC6">
              <w:rPr>
                <w:rFonts w:ascii="Times New Roman" w:hAnsi="Times New Roman" w:cs="Times New Roman"/>
                <w:i/>
                <w:iCs/>
                <w:sz w:val="20"/>
                <w:szCs w:val="20"/>
              </w:rPr>
              <w:t>polyrhizus</w:t>
            </w:r>
            <w:proofErr w:type="spellEnd"/>
          </w:p>
        </w:tc>
        <w:tc>
          <w:tcPr>
            <w:tcW w:w="956" w:type="dxa"/>
          </w:tcPr>
          <w:p w14:paraId="6585993F"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20.51</w:t>
            </w:r>
            <w:r w:rsidRPr="001A0AC6">
              <w:rPr>
                <w:rFonts w:ascii="Times New Roman" w:hAnsi="Times New Roman" w:cs="Times New Roman"/>
                <w:color w:val="000000"/>
                <w:sz w:val="20"/>
                <w:szCs w:val="20"/>
                <w:vertAlign w:val="superscript"/>
              </w:rPr>
              <w:t>1.64</w:t>
            </w:r>
          </w:p>
        </w:tc>
        <w:tc>
          <w:tcPr>
            <w:tcW w:w="956" w:type="dxa"/>
          </w:tcPr>
          <w:p w14:paraId="5154FB60"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19.36</w:t>
            </w:r>
            <w:r w:rsidRPr="001A0AC6">
              <w:rPr>
                <w:rFonts w:ascii="Times New Roman" w:hAnsi="Times New Roman" w:cs="Times New Roman"/>
                <w:color w:val="000000"/>
                <w:sz w:val="20"/>
                <w:szCs w:val="20"/>
                <w:vertAlign w:val="superscript"/>
              </w:rPr>
              <w:t xml:space="preserve">1.01  </w:t>
            </w:r>
          </w:p>
        </w:tc>
        <w:tc>
          <w:tcPr>
            <w:tcW w:w="956" w:type="dxa"/>
          </w:tcPr>
          <w:p w14:paraId="443C6485"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17.24</w:t>
            </w:r>
            <w:r w:rsidRPr="001A0AC6">
              <w:rPr>
                <w:rFonts w:ascii="Times New Roman" w:hAnsi="Times New Roman" w:cs="Times New Roman"/>
                <w:color w:val="000000"/>
                <w:sz w:val="20"/>
                <w:szCs w:val="20"/>
                <w:vertAlign w:val="superscript"/>
              </w:rPr>
              <w:t>0.37</w:t>
            </w:r>
          </w:p>
        </w:tc>
        <w:tc>
          <w:tcPr>
            <w:tcW w:w="956" w:type="dxa"/>
          </w:tcPr>
          <w:p w14:paraId="5BE92991"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17.77</w:t>
            </w:r>
            <w:r w:rsidRPr="001A0AC6">
              <w:rPr>
                <w:rFonts w:ascii="Times New Roman" w:hAnsi="Times New Roman" w:cs="Times New Roman"/>
                <w:color w:val="000000"/>
                <w:sz w:val="20"/>
                <w:szCs w:val="20"/>
                <w:vertAlign w:val="superscript"/>
              </w:rPr>
              <w:t>0.08</w:t>
            </w:r>
          </w:p>
        </w:tc>
        <w:tc>
          <w:tcPr>
            <w:tcW w:w="956" w:type="dxa"/>
          </w:tcPr>
          <w:p w14:paraId="1AEC850E"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35.51</w:t>
            </w:r>
            <w:r w:rsidRPr="001A0AC6">
              <w:rPr>
                <w:rFonts w:ascii="Times New Roman" w:hAnsi="Times New Roman" w:cs="Times New Roman"/>
                <w:b/>
                <w:color w:val="000000"/>
                <w:sz w:val="20"/>
                <w:szCs w:val="20"/>
                <w:vertAlign w:val="superscript"/>
              </w:rPr>
              <w:t>1.22</w:t>
            </w:r>
          </w:p>
        </w:tc>
        <w:tc>
          <w:tcPr>
            <w:tcW w:w="956" w:type="dxa"/>
          </w:tcPr>
          <w:p w14:paraId="7EB93AB5"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27.56</w:t>
            </w:r>
            <w:r w:rsidRPr="001A0AC6">
              <w:rPr>
                <w:rFonts w:ascii="Times New Roman" w:hAnsi="Times New Roman" w:cs="Times New Roman"/>
                <w:b/>
                <w:color w:val="000000"/>
                <w:sz w:val="20"/>
                <w:szCs w:val="20"/>
                <w:vertAlign w:val="superscript"/>
              </w:rPr>
              <w:t>1.15</w:t>
            </w:r>
          </w:p>
        </w:tc>
        <w:tc>
          <w:tcPr>
            <w:tcW w:w="956" w:type="dxa"/>
          </w:tcPr>
          <w:p w14:paraId="230E1CAE"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21.67</w:t>
            </w:r>
            <w:r w:rsidRPr="001A0AC6">
              <w:rPr>
                <w:rFonts w:ascii="Times New Roman" w:hAnsi="Times New Roman" w:cs="Times New Roman"/>
                <w:color w:val="000000"/>
                <w:sz w:val="20"/>
                <w:szCs w:val="20"/>
                <w:vertAlign w:val="superscript"/>
              </w:rPr>
              <w:t>0.86</w:t>
            </w:r>
          </w:p>
        </w:tc>
        <w:tc>
          <w:tcPr>
            <w:tcW w:w="956" w:type="dxa"/>
          </w:tcPr>
          <w:p w14:paraId="6F6EFA7A"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5.50</w:t>
            </w:r>
            <w:r w:rsidRPr="001A0AC6">
              <w:rPr>
                <w:rFonts w:ascii="Times New Roman" w:hAnsi="Times New Roman" w:cs="Times New Roman"/>
                <w:color w:val="000000"/>
                <w:sz w:val="20"/>
                <w:szCs w:val="20"/>
                <w:vertAlign w:val="superscript"/>
              </w:rPr>
              <w:t>0.42</w:t>
            </w:r>
          </w:p>
        </w:tc>
      </w:tr>
      <w:tr w:rsidR="003A10A7" w:rsidRPr="001A0AC6" w14:paraId="2BCE4362" w14:textId="77777777" w:rsidTr="00087E54">
        <w:tc>
          <w:tcPr>
            <w:tcW w:w="851" w:type="dxa"/>
            <w:vMerge w:val="restart"/>
          </w:tcPr>
          <w:p w14:paraId="0B080DD8"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r w:rsidRPr="001A0AC6">
              <w:rPr>
                <w:rFonts w:ascii="Times New Roman" w:hAnsi="Times New Roman" w:cs="Times New Roman"/>
                <w:sz w:val="20"/>
                <w:szCs w:val="20"/>
              </w:rPr>
              <w:t>S</w:t>
            </w:r>
          </w:p>
        </w:tc>
        <w:tc>
          <w:tcPr>
            <w:tcW w:w="1427" w:type="dxa"/>
          </w:tcPr>
          <w:p w14:paraId="4F07CDDE"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shd w:val="clear" w:color="auto" w:fill="FFFFFF"/>
              </w:rPr>
            </w:pPr>
            <w:r w:rsidRPr="001A0AC6">
              <w:rPr>
                <w:rFonts w:ascii="Times New Roman" w:hAnsi="Times New Roman" w:cs="Times New Roman"/>
                <w:i/>
                <w:iCs/>
                <w:sz w:val="20"/>
                <w:szCs w:val="20"/>
              </w:rPr>
              <w:t>S. undatus</w:t>
            </w:r>
          </w:p>
        </w:tc>
        <w:tc>
          <w:tcPr>
            <w:tcW w:w="956" w:type="dxa"/>
          </w:tcPr>
          <w:p w14:paraId="7971928A" w14:textId="77777777" w:rsidR="003A10A7" w:rsidRPr="001A0AC6" w:rsidRDefault="003A10A7" w:rsidP="00087E54">
            <w:pPr>
              <w:spacing w:line="360" w:lineRule="auto"/>
              <w:jc w:val="both"/>
              <w:rPr>
                <w:rFonts w:ascii="Times New Roman" w:hAnsi="Times New Roman" w:cs="Times New Roman"/>
                <w:b/>
                <w:sz w:val="20"/>
                <w:szCs w:val="20"/>
              </w:rPr>
            </w:pPr>
            <w:r w:rsidRPr="001A0AC6">
              <w:rPr>
                <w:rFonts w:ascii="Times New Roman" w:hAnsi="Times New Roman" w:cs="Times New Roman"/>
                <w:b/>
                <w:sz w:val="20"/>
                <w:szCs w:val="20"/>
              </w:rPr>
              <w:t>7.37</w:t>
            </w:r>
            <w:r w:rsidRPr="001A0AC6">
              <w:rPr>
                <w:rFonts w:ascii="Times New Roman" w:hAnsi="Times New Roman" w:cs="Times New Roman"/>
                <w:b/>
                <w:sz w:val="20"/>
                <w:szCs w:val="20"/>
                <w:vertAlign w:val="superscript"/>
              </w:rPr>
              <w:t>0.44</w:t>
            </w:r>
          </w:p>
        </w:tc>
        <w:tc>
          <w:tcPr>
            <w:tcW w:w="956" w:type="dxa"/>
          </w:tcPr>
          <w:p w14:paraId="150FB09F"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6.06</w:t>
            </w:r>
            <w:r w:rsidRPr="001A0AC6">
              <w:rPr>
                <w:rFonts w:ascii="Times New Roman" w:hAnsi="Times New Roman" w:cs="Times New Roman"/>
                <w:b/>
                <w:color w:val="000000"/>
                <w:sz w:val="20"/>
                <w:szCs w:val="20"/>
                <w:vertAlign w:val="superscript"/>
              </w:rPr>
              <w:t>0.53</w:t>
            </w:r>
          </w:p>
        </w:tc>
        <w:tc>
          <w:tcPr>
            <w:tcW w:w="956" w:type="dxa"/>
          </w:tcPr>
          <w:p w14:paraId="15F77A3D"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3.01</w:t>
            </w:r>
            <w:r w:rsidRPr="001A0AC6">
              <w:rPr>
                <w:rFonts w:ascii="Times New Roman" w:hAnsi="Times New Roman" w:cs="Times New Roman"/>
                <w:color w:val="000000"/>
                <w:sz w:val="20"/>
                <w:szCs w:val="20"/>
                <w:vertAlign w:val="superscript"/>
              </w:rPr>
              <w:t>0.41</w:t>
            </w:r>
          </w:p>
        </w:tc>
        <w:tc>
          <w:tcPr>
            <w:tcW w:w="956" w:type="dxa"/>
          </w:tcPr>
          <w:p w14:paraId="52192BA8"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0.64</w:t>
            </w:r>
            <w:r w:rsidRPr="001A0AC6">
              <w:rPr>
                <w:rFonts w:ascii="Times New Roman" w:hAnsi="Times New Roman" w:cs="Times New Roman"/>
                <w:color w:val="000000"/>
                <w:sz w:val="20"/>
                <w:szCs w:val="20"/>
                <w:vertAlign w:val="superscript"/>
              </w:rPr>
              <w:t>0.03</w:t>
            </w:r>
          </w:p>
        </w:tc>
        <w:tc>
          <w:tcPr>
            <w:tcW w:w="956" w:type="dxa"/>
          </w:tcPr>
          <w:p w14:paraId="2AACC066"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3.07</w:t>
            </w:r>
            <w:r w:rsidRPr="001A0AC6">
              <w:rPr>
                <w:rFonts w:ascii="Times New Roman" w:hAnsi="Times New Roman" w:cs="Times New Roman"/>
                <w:color w:val="000000"/>
                <w:sz w:val="20"/>
                <w:szCs w:val="20"/>
                <w:vertAlign w:val="superscript"/>
              </w:rPr>
              <w:t>0.47</w:t>
            </w:r>
          </w:p>
        </w:tc>
        <w:tc>
          <w:tcPr>
            <w:tcW w:w="956" w:type="dxa"/>
          </w:tcPr>
          <w:p w14:paraId="405DBFE7"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1.78</w:t>
            </w:r>
            <w:r w:rsidRPr="001A0AC6">
              <w:rPr>
                <w:rFonts w:ascii="Times New Roman" w:hAnsi="Times New Roman" w:cs="Times New Roman"/>
                <w:color w:val="000000"/>
                <w:sz w:val="20"/>
                <w:szCs w:val="20"/>
                <w:vertAlign w:val="superscript"/>
              </w:rPr>
              <w:t>0.41</w:t>
            </w:r>
          </w:p>
        </w:tc>
        <w:tc>
          <w:tcPr>
            <w:tcW w:w="956" w:type="dxa"/>
          </w:tcPr>
          <w:p w14:paraId="6797D942"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477698BC"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0.17</w:t>
            </w:r>
            <w:r w:rsidRPr="001A0AC6">
              <w:rPr>
                <w:rFonts w:ascii="Times New Roman" w:hAnsi="Times New Roman" w:cs="Times New Roman"/>
                <w:color w:val="000000"/>
                <w:sz w:val="20"/>
                <w:szCs w:val="20"/>
                <w:vertAlign w:val="superscript"/>
              </w:rPr>
              <w:t>0.01</w:t>
            </w:r>
          </w:p>
        </w:tc>
      </w:tr>
      <w:tr w:rsidR="003A10A7" w:rsidRPr="001A0AC6" w14:paraId="49EFF39E" w14:textId="77777777" w:rsidTr="00087E54">
        <w:tc>
          <w:tcPr>
            <w:tcW w:w="851" w:type="dxa"/>
            <w:vMerge/>
          </w:tcPr>
          <w:p w14:paraId="22FBCD56"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p>
        </w:tc>
        <w:tc>
          <w:tcPr>
            <w:tcW w:w="1427" w:type="dxa"/>
          </w:tcPr>
          <w:p w14:paraId="310121B4"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shd w:val="clear" w:color="auto" w:fill="FFFFFF"/>
              </w:rPr>
            </w:pPr>
            <w:r w:rsidRPr="001A0AC6">
              <w:rPr>
                <w:rFonts w:ascii="Times New Roman" w:hAnsi="Times New Roman" w:cs="Times New Roman"/>
                <w:i/>
                <w:iCs/>
                <w:sz w:val="20"/>
                <w:szCs w:val="20"/>
              </w:rPr>
              <w:t xml:space="preserve">H. </w:t>
            </w:r>
            <w:proofErr w:type="spellStart"/>
            <w:r w:rsidRPr="001A0AC6">
              <w:rPr>
                <w:rFonts w:ascii="Times New Roman" w:hAnsi="Times New Roman" w:cs="Times New Roman"/>
                <w:i/>
                <w:iCs/>
                <w:sz w:val="20"/>
                <w:szCs w:val="20"/>
              </w:rPr>
              <w:t>polyrhizus</w:t>
            </w:r>
            <w:proofErr w:type="spellEnd"/>
          </w:p>
        </w:tc>
        <w:tc>
          <w:tcPr>
            <w:tcW w:w="956" w:type="dxa"/>
          </w:tcPr>
          <w:p w14:paraId="1376B87B"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4C90021A"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1.35</w:t>
            </w:r>
            <w:r w:rsidRPr="001A0AC6">
              <w:rPr>
                <w:rFonts w:ascii="Times New Roman" w:hAnsi="Times New Roman" w:cs="Times New Roman"/>
                <w:color w:val="000000"/>
                <w:sz w:val="20"/>
                <w:szCs w:val="20"/>
                <w:vertAlign w:val="superscript"/>
              </w:rPr>
              <w:t>0.02</w:t>
            </w:r>
          </w:p>
        </w:tc>
        <w:tc>
          <w:tcPr>
            <w:tcW w:w="956" w:type="dxa"/>
          </w:tcPr>
          <w:p w14:paraId="4BAD7ADC"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7.74</w:t>
            </w:r>
            <w:r w:rsidRPr="001A0AC6">
              <w:rPr>
                <w:rFonts w:ascii="Times New Roman" w:hAnsi="Times New Roman" w:cs="Times New Roman"/>
                <w:color w:val="000000"/>
                <w:sz w:val="20"/>
                <w:szCs w:val="20"/>
                <w:vertAlign w:val="superscript"/>
              </w:rPr>
              <w:t>0.10</w:t>
            </w:r>
          </w:p>
        </w:tc>
        <w:tc>
          <w:tcPr>
            <w:tcW w:w="956" w:type="dxa"/>
          </w:tcPr>
          <w:p w14:paraId="594F1479"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5.99</w:t>
            </w:r>
            <w:r w:rsidRPr="001A0AC6">
              <w:rPr>
                <w:rFonts w:ascii="Times New Roman" w:hAnsi="Times New Roman" w:cs="Times New Roman"/>
                <w:color w:val="000000"/>
                <w:sz w:val="20"/>
                <w:szCs w:val="20"/>
                <w:vertAlign w:val="superscript"/>
              </w:rPr>
              <w:t>0.01</w:t>
            </w:r>
          </w:p>
        </w:tc>
        <w:tc>
          <w:tcPr>
            <w:tcW w:w="956" w:type="dxa"/>
          </w:tcPr>
          <w:p w14:paraId="49D15BE5"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4.67</w:t>
            </w:r>
            <w:r w:rsidRPr="001A0AC6">
              <w:rPr>
                <w:rFonts w:ascii="Times New Roman" w:hAnsi="Times New Roman" w:cs="Times New Roman"/>
                <w:color w:val="000000"/>
                <w:sz w:val="20"/>
                <w:szCs w:val="20"/>
                <w:vertAlign w:val="superscript"/>
              </w:rPr>
              <w:t>0.10</w:t>
            </w:r>
          </w:p>
        </w:tc>
        <w:tc>
          <w:tcPr>
            <w:tcW w:w="956" w:type="dxa"/>
          </w:tcPr>
          <w:p w14:paraId="7FBF3648"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4.41</w:t>
            </w:r>
            <w:r w:rsidRPr="001A0AC6">
              <w:rPr>
                <w:rFonts w:ascii="Times New Roman" w:hAnsi="Times New Roman" w:cs="Times New Roman"/>
                <w:color w:val="000000"/>
                <w:sz w:val="20"/>
                <w:szCs w:val="20"/>
                <w:vertAlign w:val="superscript"/>
              </w:rPr>
              <w:t xml:space="preserve">0.55 </w:t>
            </w:r>
          </w:p>
        </w:tc>
        <w:tc>
          <w:tcPr>
            <w:tcW w:w="956" w:type="dxa"/>
          </w:tcPr>
          <w:p w14:paraId="65925D0B"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26.91</w:t>
            </w:r>
            <w:r w:rsidRPr="001A0AC6">
              <w:rPr>
                <w:rFonts w:ascii="Times New Roman" w:hAnsi="Times New Roman" w:cs="Times New Roman"/>
                <w:b/>
                <w:color w:val="000000"/>
                <w:sz w:val="20"/>
                <w:szCs w:val="20"/>
                <w:vertAlign w:val="superscript"/>
              </w:rPr>
              <w:t>1.19</w:t>
            </w:r>
          </w:p>
        </w:tc>
        <w:tc>
          <w:tcPr>
            <w:tcW w:w="956" w:type="dxa"/>
          </w:tcPr>
          <w:p w14:paraId="3B08569F"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25.86</w:t>
            </w:r>
            <w:r w:rsidRPr="001A0AC6">
              <w:rPr>
                <w:rFonts w:ascii="Times New Roman" w:hAnsi="Times New Roman" w:cs="Times New Roman"/>
                <w:b/>
                <w:color w:val="000000"/>
                <w:sz w:val="20"/>
                <w:szCs w:val="20"/>
                <w:vertAlign w:val="superscript"/>
              </w:rPr>
              <w:t>1.14</w:t>
            </w:r>
          </w:p>
        </w:tc>
      </w:tr>
      <w:tr w:rsidR="003A10A7" w:rsidRPr="001A0AC6" w14:paraId="4B20DD14" w14:textId="77777777" w:rsidTr="00087E54">
        <w:tc>
          <w:tcPr>
            <w:tcW w:w="851" w:type="dxa"/>
            <w:vMerge w:val="restart"/>
          </w:tcPr>
          <w:p w14:paraId="1561D6C8"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r w:rsidRPr="001A0AC6">
              <w:rPr>
                <w:rFonts w:ascii="Times New Roman" w:hAnsi="Times New Roman" w:cs="Times New Roman"/>
                <w:sz w:val="20"/>
                <w:szCs w:val="20"/>
              </w:rPr>
              <w:t>Mg</w:t>
            </w:r>
          </w:p>
        </w:tc>
        <w:tc>
          <w:tcPr>
            <w:tcW w:w="1427" w:type="dxa"/>
          </w:tcPr>
          <w:p w14:paraId="65797D16"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shd w:val="clear" w:color="auto" w:fill="FFFFFF"/>
              </w:rPr>
            </w:pPr>
            <w:r w:rsidRPr="001A0AC6">
              <w:rPr>
                <w:rFonts w:ascii="Times New Roman" w:hAnsi="Times New Roman" w:cs="Times New Roman"/>
                <w:i/>
                <w:iCs/>
                <w:sz w:val="20"/>
                <w:szCs w:val="20"/>
              </w:rPr>
              <w:t>S. undatus</w:t>
            </w:r>
          </w:p>
        </w:tc>
        <w:tc>
          <w:tcPr>
            <w:tcW w:w="956" w:type="dxa"/>
          </w:tcPr>
          <w:p w14:paraId="00C0AB4F" w14:textId="77777777" w:rsidR="003A10A7" w:rsidRPr="001A0AC6" w:rsidRDefault="003A10A7" w:rsidP="00087E54">
            <w:pPr>
              <w:spacing w:line="360" w:lineRule="auto"/>
              <w:jc w:val="both"/>
              <w:rPr>
                <w:rFonts w:ascii="Times New Roman" w:hAnsi="Times New Roman" w:cs="Times New Roman"/>
                <w:sz w:val="20"/>
                <w:szCs w:val="20"/>
              </w:rPr>
            </w:pPr>
            <w:r w:rsidRPr="001A0AC6">
              <w:rPr>
                <w:rFonts w:ascii="Times New Roman" w:hAnsi="Times New Roman" w:cs="Times New Roman"/>
                <w:sz w:val="20"/>
                <w:szCs w:val="20"/>
              </w:rPr>
              <w:t>10.80</w:t>
            </w:r>
            <w:r w:rsidRPr="001A0AC6">
              <w:rPr>
                <w:rFonts w:ascii="Times New Roman" w:hAnsi="Times New Roman" w:cs="Times New Roman"/>
                <w:sz w:val="20"/>
                <w:szCs w:val="20"/>
                <w:vertAlign w:val="superscript"/>
              </w:rPr>
              <w:t>0.85</w:t>
            </w:r>
          </w:p>
        </w:tc>
        <w:tc>
          <w:tcPr>
            <w:tcW w:w="956" w:type="dxa"/>
          </w:tcPr>
          <w:p w14:paraId="7A78A1E7"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13.62</w:t>
            </w:r>
            <w:r w:rsidRPr="001A0AC6">
              <w:rPr>
                <w:rFonts w:ascii="Times New Roman" w:hAnsi="Times New Roman" w:cs="Times New Roman"/>
                <w:b/>
                <w:color w:val="000000"/>
                <w:sz w:val="20"/>
                <w:szCs w:val="20"/>
                <w:vertAlign w:val="superscript"/>
              </w:rPr>
              <w:t>1.20</w:t>
            </w:r>
          </w:p>
        </w:tc>
        <w:tc>
          <w:tcPr>
            <w:tcW w:w="956" w:type="dxa"/>
          </w:tcPr>
          <w:p w14:paraId="00E82192"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6.18</w:t>
            </w:r>
            <w:r w:rsidRPr="001A0AC6">
              <w:rPr>
                <w:rFonts w:ascii="Times New Roman" w:hAnsi="Times New Roman" w:cs="Times New Roman"/>
                <w:color w:val="000000"/>
                <w:sz w:val="20"/>
                <w:szCs w:val="20"/>
                <w:vertAlign w:val="superscript"/>
              </w:rPr>
              <w:t>0.79</w:t>
            </w:r>
          </w:p>
        </w:tc>
        <w:tc>
          <w:tcPr>
            <w:tcW w:w="956" w:type="dxa"/>
          </w:tcPr>
          <w:p w14:paraId="645C866C"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4C9DD9C4"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16.25</w:t>
            </w:r>
            <w:r w:rsidRPr="001A0AC6">
              <w:rPr>
                <w:rFonts w:ascii="Times New Roman" w:hAnsi="Times New Roman" w:cs="Times New Roman"/>
                <w:b/>
                <w:color w:val="000000"/>
                <w:sz w:val="20"/>
                <w:szCs w:val="20"/>
                <w:vertAlign w:val="superscript"/>
              </w:rPr>
              <w:t>1.37</w:t>
            </w:r>
          </w:p>
        </w:tc>
        <w:tc>
          <w:tcPr>
            <w:tcW w:w="956" w:type="dxa"/>
          </w:tcPr>
          <w:p w14:paraId="5EB81529"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0.28</w:t>
            </w:r>
            <w:r w:rsidRPr="001A0AC6">
              <w:rPr>
                <w:rFonts w:ascii="Times New Roman" w:hAnsi="Times New Roman" w:cs="Times New Roman"/>
                <w:color w:val="000000"/>
                <w:sz w:val="20"/>
                <w:szCs w:val="20"/>
                <w:vertAlign w:val="superscript"/>
              </w:rPr>
              <w:t>0.03</w:t>
            </w:r>
          </w:p>
        </w:tc>
        <w:tc>
          <w:tcPr>
            <w:tcW w:w="956" w:type="dxa"/>
          </w:tcPr>
          <w:p w14:paraId="5710A162"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340BFE20"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9.07</w:t>
            </w:r>
            <w:r w:rsidRPr="001A0AC6">
              <w:rPr>
                <w:rFonts w:ascii="Times New Roman" w:hAnsi="Times New Roman" w:cs="Times New Roman"/>
                <w:color w:val="000000"/>
                <w:sz w:val="20"/>
                <w:szCs w:val="20"/>
                <w:vertAlign w:val="superscript"/>
              </w:rPr>
              <w:t>1.02</w:t>
            </w:r>
          </w:p>
        </w:tc>
      </w:tr>
      <w:tr w:rsidR="003A10A7" w:rsidRPr="001A0AC6" w14:paraId="3A960360" w14:textId="77777777" w:rsidTr="00087E54">
        <w:tc>
          <w:tcPr>
            <w:tcW w:w="851" w:type="dxa"/>
            <w:vMerge/>
          </w:tcPr>
          <w:p w14:paraId="46CE1EBC"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p>
        </w:tc>
        <w:tc>
          <w:tcPr>
            <w:tcW w:w="1427" w:type="dxa"/>
          </w:tcPr>
          <w:p w14:paraId="6C7DDD4C"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shd w:val="clear" w:color="auto" w:fill="FFFFFF"/>
              </w:rPr>
            </w:pPr>
            <w:r w:rsidRPr="001A0AC6">
              <w:rPr>
                <w:rFonts w:ascii="Times New Roman" w:hAnsi="Times New Roman" w:cs="Times New Roman"/>
                <w:i/>
                <w:iCs/>
                <w:sz w:val="20"/>
                <w:szCs w:val="20"/>
              </w:rPr>
              <w:t xml:space="preserve">H. </w:t>
            </w:r>
            <w:proofErr w:type="spellStart"/>
            <w:r w:rsidRPr="001A0AC6">
              <w:rPr>
                <w:rFonts w:ascii="Times New Roman" w:hAnsi="Times New Roman" w:cs="Times New Roman"/>
                <w:i/>
                <w:iCs/>
                <w:sz w:val="20"/>
                <w:szCs w:val="20"/>
              </w:rPr>
              <w:t>polyrhizus</w:t>
            </w:r>
            <w:proofErr w:type="spellEnd"/>
          </w:p>
        </w:tc>
        <w:tc>
          <w:tcPr>
            <w:tcW w:w="956" w:type="dxa"/>
          </w:tcPr>
          <w:p w14:paraId="339FA5FF"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0EAFE502"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0CF12824"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4.36</w:t>
            </w:r>
            <w:r w:rsidRPr="001A0AC6">
              <w:rPr>
                <w:rFonts w:ascii="Times New Roman" w:hAnsi="Times New Roman" w:cs="Times New Roman"/>
                <w:color w:val="000000"/>
                <w:sz w:val="20"/>
                <w:szCs w:val="20"/>
                <w:vertAlign w:val="superscript"/>
              </w:rPr>
              <w:t>0.06</w:t>
            </w:r>
          </w:p>
        </w:tc>
        <w:tc>
          <w:tcPr>
            <w:tcW w:w="956" w:type="dxa"/>
          </w:tcPr>
          <w:p w14:paraId="1A9D9937"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2B0B85EF"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5.78</w:t>
            </w:r>
            <w:r w:rsidRPr="001A0AC6">
              <w:rPr>
                <w:rFonts w:ascii="Times New Roman" w:hAnsi="Times New Roman" w:cs="Times New Roman"/>
                <w:color w:val="000000"/>
                <w:sz w:val="20"/>
                <w:szCs w:val="20"/>
                <w:vertAlign w:val="superscript"/>
              </w:rPr>
              <w:t>0.07</w:t>
            </w:r>
          </w:p>
        </w:tc>
        <w:tc>
          <w:tcPr>
            <w:tcW w:w="956" w:type="dxa"/>
          </w:tcPr>
          <w:p w14:paraId="741DE914"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2.80</w:t>
            </w:r>
            <w:r w:rsidRPr="001A0AC6">
              <w:rPr>
                <w:rFonts w:ascii="Times New Roman" w:hAnsi="Times New Roman" w:cs="Times New Roman"/>
                <w:color w:val="000000"/>
                <w:sz w:val="20"/>
                <w:szCs w:val="20"/>
                <w:vertAlign w:val="superscript"/>
              </w:rPr>
              <w:t>0.06</w:t>
            </w:r>
          </w:p>
        </w:tc>
        <w:tc>
          <w:tcPr>
            <w:tcW w:w="956" w:type="dxa"/>
          </w:tcPr>
          <w:p w14:paraId="3A839A81"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9.41</w:t>
            </w:r>
            <w:r w:rsidRPr="001A0AC6">
              <w:rPr>
                <w:rFonts w:ascii="Times New Roman" w:hAnsi="Times New Roman" w:cs="Times New Roman"/>
                <w:b/>
                <w:color w:val="000000"/>
                <w:sz w:val="20"/>
                <w:szCs w:val="20"/>
                <w:vertAlign w:val="superscript"/>
              </w:rPr>
              <w:t>0.88</w:t>
            </w:r>
          </w:p>
        </w:tc>
        <w:tc>
          <w:tcPr>
            <w:tcW w:w="956" w:type="dxa"/>
          </w:tcPr>
          <w:p w14:paraId="65CB129D"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12.05</w:t>
            </w:r>
            <w:r w:rsidRPr="001A0AC6">
              <w:rPr>
                <w:rFonts w:ascii="Times New Roman" w:hAnsi="Times New Roman" w:cs="Times New Roman"/>
                <w:b/>
                <w:color w:val="000000"/>
                <w:sz w:val="20"/>
                <w:szCs w:val="20"/>
                <w:vertAlign w:val="superscript"/>
              </w:rPr>
              <w:t>1.00</w:t>
            </w:r>
          </w:p>
        </w:tc>
      </w:tr>
      <w:tr w:rsidR="003A10A7" w:rsidRPr="001A0AC6" w14:paraId="32BAB166" w14:textId="77777777" w:rsidTr="00087E54">
        <w:tc>
          <w:tcPr>
            <w:tcW w:w="851" w:type="dxa"/>
            <w:vMerge w:val="restart"/>
          </w:tcPr>
          <w:p w14:paraId="280C5AC2"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r w:rsidRPr="001A0AC6">
              <w:rPr>
                <w:rFonts w:ascii="Times New Roman" w:hAnsi="Times New Roman" w:cs="Times New Roman"/>
                <w:sz w:val="20"/>
                <w:szCs w:val="20"/>
              </w:rPr>
              <w:t>P</w:t>
            </w:r>
          </w:p>
        </w:tc>
        <w:tc>
          <w:tcPr>
            <w:tcW w:w="1427" w:type="dxa"/>
          </w:tcPr>
          <w:p w14:paraId="7D0298FE"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shd w:val="clear" w:color="auto" w:fill="FFFFFF"/>
              </w:rPr>
            </w:pPr>
            <w:r w:rsidRPr="001A0AC6">
              <w:rPr>
                <w:rFonts w:ascii="Times New Roman" w:hAnsi="Times New Roman" w:cs="Times New Roman"/>
                <w:i/>
                <w:iCs/>
                <w:sz w:val="20"/>
                <w:szCs w:val="20"/>
              </w:rPr>
              <w:t>S. undatus</w:t>
            </w:r>
          </w:p>
        </w:tc>
        <w:tc>
          <w:tcPr>
            <w:tcW w:w="956" w:type="dxa"/>
          </w:tcPr>
          <w:p w14:paraId="67B44447" w14:textId="77777777" w:rsidR="003A10A7" w:rsidRPr="001A0AC6" w:rsidRDefault="003A10A7" w:rsidP="00087E54">
            <w:pPr>
              <w:spacing w:line="360" w:lineRule="auto"/>
              <w:jc w:val="both"/>
              <w:rPr>
                <w:rFonts w:ascii="Times New Roman" w:hAnsi="Times New Roman" w:cs="Times New Roman"/>
                <w:sz w:val="20"/>
                <w:szCs w:val="20"/>
              </w:rPr>
            </w:pPr>
            <w:r w:rsidRPr="001A0AC6">
              <w:rPr>
                <w:rFonts w:ascii="Times New Roman" w:hAnsi="Times New Roman" w:cs="Times New Roman"/>
                <w:sz w:val="20"/>
                <w:szCs w:val="20"/>
              </w:rPr>
              <w:t>8.17</w:t>
            </w:r>
            <w:r w:rsidRPr="001A0AC6">
              <w:rPr>
                <w:rFonts w:ascii="Times New Roman" w:hAnsi="Times New Roman" w:cs="Times New Roman"/>
                <w:sz w:val="20"/>
                <w:szCs w:val="20"/>
                <w:vertAlign w:val="superscript"/>
              </w:rPr>
              <w:t>0.50</w:t>
            </w:r>
          </w:p>
        </w:tc>
        <w:tc>
          <w:tcPr>
            <w:tcW w:w="956" w:type="dxa"/>
          </w:tcPr>
          <w:p w14:paraId="09AC4950"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6.45</w:t>
            </w:r>
            <w:r w:rsidRPr="001A0AC6">
              <w:rPr>
                <w:rFonts w:ascii="Times New Roman" w:hAnsi="Times New Roman" w:cs="Times New Roman"/>
                <w:b/>
                <w:color w:val="000000"/>
                <w:sz w:val="20"/>
                <w:szCs w:val="20"/>
                <w:vertAlign w:val="superscript"/>
              </w:rPr>
              <w:t>0.58</w:t>
            </w:r>
          </w:p>
        </w:tc>
        <w:tc>
          <w:tcPr>
            <w:tcW w:w="956" w:type="dxa"/>
          </w:tcPr>
          <w:p w14:paraId="31853CA8"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6.54</w:t>
            </w:r>
            <w:r w:rsidRPr="001A0AC6">
              <w:rPr>
                <w:rFonts w:ascii="Times New Roman" w:hAnsi="Times New Roman" w:cs="Times New Roman"/>
                <w:color w:val="000000"/>
                <w:sz w:val="20"/>
                <w:szCs w:val="20"/>
                <w:vertAlign w:val="superscript"/>
              </w:rPr>
              <w:t>0.55</w:t>
            </w:r>
          </w:p>
        </w:tc>
        <w:tc>
          <w:tcPr>
            <w:tcW w:w="956" w:type="dxa"/>
          </w:tcPr>
          <w:p w14:paraId="5F74D484"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2.56</w:t>
            </w:r>
            <w:r w:rsidRPr="001A0AC6">
              <w:rPr>
                <w:rFonts w:ascii="Times New Roman" w:hAnsi="Times New Roman" w:cs="Times New Roman"/>
                <w:color w:val="000000"/>
                <w:sz w:val="20"/>
                <w:szCs w:val="20"/>
                <w:vertAlign w:val="superscript"/>
              </w:rPr>
              <w:t>0.43</w:t>
            </w:r>
          </w:p>
        </w:tc>
        <w:tc>
          <w:tcPr>
            <w:tcW w:w="956" w:type="dxa"/>
          </w:tcPr>
          <w:p w14:paraId="2009C3D7"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8.67</w:t>
            </w:r>
            <w:r w:rsidRPr="001A0AC6">
              <w:rPr>
                <w:rFonts w:ascii="Times New Roman" w:hAnsi="Times New Roman" w:cs="Times New Roman"/>
                <w:b/>
                <w:color w:val="000000"/>
                <w:sz w:val="20"/>
                <w:szCs w:val="20"/>
                <w:vertAlign w:val="superscript"/>
              </w:rPr>
              <w:t>0.69</w:t>
            </w:r>
          </w:p>
        </w:tc>
        <w:tc>
          <w:tcPr>
            <w:tcW w:w="956" w:type="dxa"/>
          </w:tcPr>
          <w:p w14:paraId="31AADA8F"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5.22</w:t>
            </w:r>
            <w:r w:rsidRPr="001A0AC6">
              <w:rPr>
                <w:rFonts w:ascii="Times New Roman" w:hAnsi="Times New Roman" w:cs="Times New Roman"/>
                <w:color w:val="000000"/>
                <w:sz w:val="20"/>
                <w:szCs w:val="20"/>
                <w:vertAlign w:val="superscript"/>
              </w:rPr>
              <w:t>0.55</w:t>
            </w:r>
          </w:p>
        </w:tc>
        <w:tc>
          <w:tcPr>
            <w:tcW w:w="956" w:type="dxa"/>
          </w:tcPr>
          <w:p w14:paraId="028F766C"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54BEB1E0"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3.87</w:t>
            </w:r>
            <w:r w:rsidRPr="001A0AC6">
              <w:rPr>
                <w:rFonts w:ascii="Times New Roman" w:hAnsi="Times New Roman" w:cs="Times New Roman"/>
                <w:color w:val="000000"/>
                <w:sz w:val="20"/>
                <w:szCs w:val="20"/>
                <w:vertAlign w:val="superscript"/>
              </w:rPr>
              <w:t>0.53</w:t>
            </w:r>
          </w:p>
        </w:tc>
      </w:tr>
      <w:tr w:rsidR="003A10A7" w:rsidRPr="001A0AC6" w14:paraId="72F87713" w14:textId="77777777" w:rsidTr="00087E54">
        <w:tc>
          <w:tcPr>
            <w:tcW w:w="851" w:type="dxa"/>
            <w:vMerge/>
          </w:tcPr>
          <w:p w14:paraId="3F346A6D"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p>
        </w:tc>
        <w:tc>
          <w:tcPr>
            <w:tcW w:w="1427" w:type="dxa"/>
          </w:tcPr>
          <w:p w14:paraId="58E39F4E"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shd w:val="clear" w:color="auto" w:fill="FFFFFF"/>
              </w:rPr>
            </w:pPr>
            <w:r w:rsidRPr="001A0AC6">
              <w:rPr>
                <w:rFonts w:ascii="Times New Roman" w:hAnsi="Times New Roman" w:cs="Times New Roman"/>
                <w:i/>
                <w:iCs/>
                <w:sz w:val="20"/>
                <w:szCs w:val="20"/>
              </w:rPr>
              <w:t xml:space="preserve">H. </w:t>
            </w:r>
            <w:proofErr w:type="spellStart"/>
            <w:r w:rsidRPr="001A0AC6">
              <w:rPr>
                <w:rFonts w:ascii="Times New Roman" w:hAnsi="Times New Roman" w:cs="Times New Roman"/>
                <w:i/>
                <w:iCs/>
                <w:sz w:val="20"/>
                <w:szCs w:val="20"/>
              </w:rPr>
              <w:t>polyrhizus</w:t>
            </w:r>
            <w:proofErr w:type="spellEnd"/>
          </w:p>
        </w:tc>
        <w:tc>
          <w:tcPr>
            <w:tcW w:w="956" w:type="dxa"/>
          </w:tcPr>
          <w:p w14:paraId="2F6346A8"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0E9A7446"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566B61B8"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5.03</w:t>
            </w:r>
            <w:r w:rsidRPr="001A0AC6">
              <w:rPr>
                <w:rFonts w:ascii="Times New Roman" w:hAnsi="Times New Roman" w:cs="Times New Roman"/>
                <w:color w:val="000000"/>
                <w:sz w:val="20"/>
                <w:szCs w:val="20"/>
                <w:vertAlign w:val="superscript"/>
              </w:rPr>
              <w:t>0.07</w:t>
            </w:r>
          </w:p>
        </w:tc>
        <w:tc>
          <w:tcPr>
            <w:tcW w:w="956" w:type="dxa"/>
          </w:tcPr>
          <w:p w14:paraId="7090A3D6"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1.69</w:t>
            </w:r>
            <w:r w:rsidRPr="001A0AC6">
              <w:rPr>
                <w:rFonts w:ascii="Times New Roman" w:hAnsi="Times New Roman" w:cs="Times New Roman"/>
                <w:color w:val="000000"/>
                <w:sz w:val="20"/>
                <w:szCs w:val="20"/>
                <w:vertAlign w:val="superscript"/>
              </w:rPr>
              <w:t>0.01</w:t>
            </w:r>
          </w:p>
        </w:tc>
        <w:tc>
          <w:tcPr>
            <w:tcW w:w="956" w:type="dxa"/>
          </w:tcPr>
          <w:p w14:paraId="77EA3A55"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2.62</w:t>
            </w:r>
            <w:r w:rsidRPr="001A0AC6">
              <w:rPr>
                <w:rFonts w:ascii="Times New Roman" w:hAnsi="Times New Roman" w:cs="Times New Roman"/>
                <w:color w:val="000000"/>
                <w:sz w:val="20"/>
                <w:szCs w:val="20"/>
                <w:vertAlign w:val="superscript"/>
              </w:rPr>
              <w:t>0.05</w:t>
            </w:r>
          </w:p>
        </w:tc>
        <w:tc>
          <w:tcPr>
            <w:tcW w:w="956" w:type="dxa"/>
          </w:tcPr>
          <w:p w14:paraId="6FCCB6CD"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1.15</w:t>
            </w:r>
            <w:r w:rsidRPr="001A0AC6">
              <w:rPr>
                <w:rFonts w:ascii="Times New Roman" w:hAnsi="Times New Roman" w:cs="Times New Roman"/>
                <w:color w:val="000000"/>
                <w:sz w:val="20"/>
                <w:szCs w:val="20"/>
                <w:vertAlign w:val="superscript"/>
              </w:rPr>
              <w:t>0.05</w:t>
            </w:r>
          </w:p>
        </w:tc>
        <w:tc>
          <w:tcPr>
            <w:tcW w:w="956" w:type="dxa"/>
          </w:tcPr>
          <w:p w14:paraId="1B8DD448"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5.64</w:t>
            </w:r>
            <w:r w:rsidRPr="001A0AC6">
              <w:rPr>
                <w:rFonts w:ascii="Times New Roman" w:hAnsi="Times New Roman" w:cs="Times New Roman"/>
                <w:b/>
                <w:color w:val="000000"/>
                <w:sz w:val="20"/>
                <w:szCs w:val="20"/>
                <w:vertAlign w:val="superscript"/>
              </w:rPr>
              <w:t>0.48</w:t>
            </w:r>
          </w:p>
        </w:tc>
        <w:tc>
          <w:tcPr>
            <w:tcW w:w="956" w:type="dxa"/>
          </w:tcPr>
          <w:p w14:paraId="2B1580BC"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8.05</w:t>
            </w:r>
            <w:r w:rsidRPr="001A0AC6">
              <w:rPr>
                <w:rFonts w:ascii="Times New Roman" w:hAnsi="Times New Roman" w:cs="Times New Roman"/>
                <w:b/>
                <w:color w:val="000000"/>
                <w:sz w:val="20"/>
                <w:szCs w:val="20"/>
                <w:vertAlign w:val="superscript"/>
              </w:rPr>
              <w:t>0.55</w:t>
            </w:r>
          </w:p>
        </w:tc>
      </w:tr>
      <w:tr w:rsidR="003A10A7" w:rsidRPr="001A0AC6" w14:paraId="6579BD01" w14:textId="77777777" w:rsidTr="00087E54">
        <w:tc>
          <w:tcPr>
            <w:tcW w:w="851" w:type="dxa"/>
            <w:vMerge w:val="restart"/>
          </w:tcPr>
          <w:p w14:paraId="40FCF862"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r w:rsidRPr="001A0AC6">
              <w:rPr>
                <w:rFonts w:ascii="Times New Roman" w:hAnsi="Times New Roman" w:cs="Times New Roman"/>
                <w:sz w:val="20"/>
                <w:szCs w:val="20"/>
              </w:rPr>
              <w:t>Cl</w:t>
            </w:r>
          </w:p>
        </w:tc>
        <w:tc>
          <w:tcPr>
            <w:tcW w:w="1427" w:type="dxa"/>
          </w:tcPr>
          <w:p w14:paraId="43D19168"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shd w:val="clear" w:color="auto" w:fill="FFFFFF"/>
              </w:rPr>
            </w:pPr>
            <w:r w:rsidRPr="001A0AC6">
              <w:rPr>
                <w:rFonts w:ascii="Times New Roman" w:hAnsi="Times New Roman" w:cs="Times New Roman"/>
                <w:i/>
                <w:iCs/>
                <w:sz w:val="20"/>
                <w:szCs w:val="20"/>
              </w:rPr>
              <w:t>S. undatus</w:t>
            </w:r>
          </w:p>
        </w:tc>
        <w:tc>
          <w:tcPr>
            <w:tcW w:w="956" w:type="dxa"/>
          </w:tcPr>
          <w:p w14:paraId="59C41966" w14:textId="77777777" w:rsidR="003A10A7" w:rsidRPr="001A0AC6" w:rsidRDefault="003A10A7" w:rsidP="00087E54">
            <w:pPr>
              <w:spacing w:line="360" w:lineRule="auto"/>
              <w:jc w:val="both"/>
              <w:rPr>
                <w:rFonts w:ascii="Times New Roman" w:hAnsi="Times New Roman" w:cs="Times New Roman"/>
                <w:b/>
                <w:sz w:val="20"/>
                <w:szCs w:val="20"/>
              </w:rPr>
            </w:pPr>
            <w:r w:rsidRPr="001A0AC6">
              <w:rPr>
                <w:rFonts w:ascii="Times New Roman" w:hAnsi="Times New Roman" w:cs="Times New Roman"/>
                <w:b/>
                <w:sz w:val="20"/>
                <w:szCs w:val="20"/>
              </w:rPr>
              <w:t>8.67</w:t>
            </w:r>
            <w:r w:rsidRPr="001A0AC6">
              <w:rPr>
                <w:rFonts w:ascii="Times New Roman" w:hAnsi="Times New Roman" w:cs="Times New Roman"/>
                <w:b/>
                <w:sz w:val="20"/>
                <w:szCs w:val="20"/>
                <w:vertAlign w:val="superscript"/>
              </w:rPr>
              <w:t>0.45</w:t>
            </w:r>
          </w:p>
        </w:tc>
        <w:tc>
          <w:tcPr>
            <w:tcW w:w="956" w:type="dxa"/>
          </w:tcPr>
          <w:p w14:paraId="530F36FE"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3.61</w:t>
            </w:r>
            <w:r w:rsidRPr="001A0AC6">
              <w:rPr>
                <w:rFonts w:ascii="Times New Roman" w:hAnsi="Times New Roman" w:cs="Times New Roman"/>
                <w:color w:val="000000"/>
                <w:sz w:val="20"/>
                <w:szCs w:val="20"/>
                <w:vertAlign w:val="superscript"/>
              </w:rPr>
              <w:t>0.42</w:t>
            </w:r>
          </w:p>
        </w:tc>
        <w:tc>
          <w:tcPr>
            <w:tcW w:w="956" w:type="dxa"/>
          </w:tcPr>
          <w:p w14:paraId="09BD9F6B"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6.94</w:t>
            </w:r>
            <w:r w:rsidRPr="001A0AC6">
              <w:rPr>
                <w:rFonts w:ascii="Times New Roman" w:hAnsi="Times New Roman" w:cs="Times New Roman"/>
                <w:color w:val="000000"/>
                <w:sz w:val="20"/>
                <w:szCs w:val="20"/>
                <w:vertAlign w:val="superscript"/>
              </w:rPr>
              <w:t>0.49</w:t>
            </w:r>
          </w:p>
        </w:tc>
        <w:tc>
          <w:tcPr>
            <w:tcW w:w="956" w:type="dxa"/>
          </w:tcPr>
          <w:p w14:paraId="4A9989FD"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8.48</w:t>
            </w:r>
            <w:r w:rsidRPr="001A0AC6">
              <w:rPr>
                <w:rFonts w:ascii="Times New Roman" w:hAnsi="Times New Roman" w:cs="Times New Roman"/>
                <w:color w:val="000000"/>
                <w:sz w:val="20"/>
                <w:szCs w:val="20"/>
                <w:vertAlign w:val="superscript"/>
              </w:rPr>
              <w:t>0.54</w:t>
            </w:r>
          </w:p>
        </w:tc>
        <w:tc>
          <w:tcPr>
            <w:tcW w:w="956" w:type="dxa"/>
          </w:tcPr>
          <w:p w14:paraId="7F4F78A3"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4.91</w:t>
            </w:r>
            <w:r w:rsidRPr="001A0AC6">
              <w:rPr>
                <w:rFonts w:ascii="Times New Roman" w:hAnsi="Times New Roman" w:cs="Times New Roman"/>
                <w:color w:val="000000"/>
                <w:sz w:val="20"/>
                <w:szCs w:val="20"/>
                <w:vertAlign w:val="superscript"/>
              </w:rPr>
              <w:t>0.48</w:t>
            </w:r>
          </w:p>
        </w:tc>
        <w:tc>
          <w:tcPr>
            <w:tcW w:w="956" w:type="dxa"/>
          </w:tcPr>
          <w:p w14:paraId="26D3FB3B"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8.54</w:t>
            </w:r>
            <w:r w:rsidRPr="001A0AC6">
              <w:rPr>
                <w:rFonts w:ascii="Times New Roman" w:hAnsi="Times New Roman" w:cs="Times New Roman"/>
                <w:b/>
                <w:color w:val="000000"/>
                <w:sz w:val="20"/>
                <w:szCs w:val="20"/>
                <w:vertAlign w:val="superscript"/>
              </w:rPr>
              <w:t>0.57</w:t>
            </w:r>
          </w:p>
        </w:tc>
        <w:tc>
          <w:tcPr>
            <w:tcW w:w="956" w:type="dxa"/>
          </w:tcPr>
          <w:p w14:paraId="2D59BD35"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4.12</w:t>
            </w:r>
            <w:r w:rsidRPr="001A0AC6">
              <w:rPr>
                <w:rFonts w:ascii="Times New Roman" w:hAnsi="Times New Roman" w:cs="Times New Roman"/>
                <w:color w:val="000000"/>
                <w:sz w:val="20"/>
                <w:szCs w:val="20"/>
                <w:vertAlign w:val="superscript"/>
              </w:rPr>
              <w:t>0.51</w:t>
            </w:r>
          </w:p>
        </w:tc>
        <w:tc>
          <w:tcPr>
            <w:tcW w:w="956" w:type="dxa"/>
          </w:tcPr>
          <w:p w14:paraId="66BC6BA0"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4.71</w:t>
            </w:r>
            <w:r w:rsidRPr="001A0AC6">
              <w:rPr>
                <w:rFonts w:ascii="Times New Roman" w:hAnsi="Times New Roman" w:cs="Times New Roman"/>
                <w:color w:val="000000"/>
                <w:sz w:val="20"/>
                <w:szCs w:val="20"/>
                <w:vertAlign w:val="superscript"/>
              </w:rPr>
              <w:t>0.48</w:t>
            </w:r>
          </w:p>
        </w:tc>
      </w:tr>
      <w:tr w:rsidR="003A10A7" w:rsidRPr="001A0AC6" w14:paraId="29A2D7C8" w14:textId="77777777" w:rsidTr="00087E54">
        <w:tc>
          <w:tcPr>
            <w:tcW w:w="851" w:type="dxa"/>
            <w:vMerge/>
          </w:tcPr>
          <w:p w14:paraId="0A54AE14"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p>
        </w:tc>
        <w:tc>
          <w:tcPr>
            <w:tcW w:w="1427" w:type="dxa"/>
          </w:tcPr>
          <w:p w14:paraId="6DA6D927"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shd w:val="clear" w:color="auto" w:fill="FFFFFF"/>
              </w:rPr>
            </w:pPr>
            <w:r w:rsidRPr="001A0AC6">
              <w:rPr>
                <w:rFonts w:ascii="Times New Roman" w:hAnsi="Times New Roman" w:cs="Times New Roman"/>
                <w:i/>
                <w:iCs/>
                <w:sz w:val="20"/>
                <w:szCs w:val="20"/>
              </w:rPr>
              <w:t xml:space="preserve">H. </w:t>
            </w:r>
            <w:proofErr w:type="spellStart"/>
            <w:r w:rsidRPr="001A0AC6">
              <w:rPr>
                <w:rFonts w:ascii="Times New Roman" w:hAnsi="Times New Roman" w:cs="Times New Roman"/>
                <w:i/>
                <w:iCs/>
                <w:sz w:val="20"/>
                <w:szCs w:val="20"/>
              </w:rPr>
              <w:t>polyrhizus</w:t>
            </w:r>
            <w:proofErr w:type="spellEnd"/>
          </w:p>
        </w:tc>
        <w:tc>
          <w:tcPr>
            <w:tcW w:w="956" w:type="dxa"/>
          </w:tcPr>
          <w:p w14:paraId="34E5AD99"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6A4186F1"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1.10</w:t>
            </w:r>
            <w:r w:rsidRPr="001A0AC6">
              <w:rPr>
                <w:rFonts w:ascii="Times New Roman" w:hAnsi="Times New Roman" w:cs="Times New Roman"/>
                <w:color w:val="000000"/>
                <w:sz w:val="20"/>
                <w:szCs w:val="20"/>
                <w:vertAlign w:val="superscript"/>
              </w:rPr>
              <w:t>0.06</w:t>
            </w:r>
          </w:p>
        </w:tc>
        <w:tc>
          <w:tcPr>
            <w:tcW w:w="956" w:type="dxa"/>
          </w:tcPr>
          <w:p w14:paraId="6EE2CCE0"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7.55</w:t>
            </w:r>
            <w:r w:rsidRPr="001A0AC6">
              <w:rPr>
                <w:rFonts w:ascii="Times New Roman" w:hAnsi="Times New Roman" w:cs="Times New Roman"/>
                <w:b/>
                <w:color w:val="000000"/>
                <w:sz w:val="20"/>
                <w:szCs w:val="20"/>
                <w:vertAlign w:val="superscript"/>
              </w:rPr>
              <w:t>0.14</w:t>
            </w:r>
          </w:p>
        </w:tc>
        <w:tc>
          <w:tcPr>
            <w:tcW w:w="956" w:type="dxa"/>
          </w:tcPr>
          <w:p w14:paraId="0DDA9AD9"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6.10</w:t>
            </w:r>
            <w:r w:rsidRPr="001A0AC6">
              <w:rPr>
                <w:rFonts w:ascii="Times New Roman" w:hAnsi="Times New Roman" w:cs="Times New Roman"/>
                <w:color w:val="000000"/>
                <w:sz w:val="20"/>
                <w:szCs w:val="20"/>
                <w:vertAlign w:val="superscript"/>
              </w:rPr>
              <w:t>0.03</w:t>
            </w:r>
          </w:p>
        </w:tc>
        <w:tc>
          <w:tcPr>
            <w:tcW w:w="956" w:type="dxa"/>
          </w:tcPr>
          <w:p w14:paraId="167338D9"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5.74</w:t>
            </w:r>
            <w:r w:rsidRPr="001A0AC6">
              <w:rPr>
                <w:rFonts w:ascii="Times New Roman" w:hAnsi="Times New Roman" w:cs="Times New Roman"/>
                <w:color w:val="000000"/>
                <w:sz w:val="20"/>
                <w:szCs w:val="20"/>
                <w:vertAlign w:val="superscript"/>
              </w:rPr>
              <w:t>0.38</w:t>
            </w:r>
          </w:p>
        </w:tc>
        <w:tc>
          <w:tcPr>
            <w:tcW w:w="956" w:type="dxa"/>
          </w:tcPr>
          <w:p w14:paraId="5D589148"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7.46</w:t>
            </w:r>
            <w:r w:rsidRPr="001A0AC6">
              <w:rPr>
                <w:rFonts w:ascii="Times New Roman" w:hAnsi="Times New Roman" w:cs="Times New Roman"/>
                <w:b/>
                <w:color w:val="000000"/>
                <w:sz w:val="20"/>
                <w:szCs w:val="20"/>
                <w:vertAlign w:val="superscript"/>
              </w:rPr>
              <w:t>0.60</w:t>
            </w:r>
          </w:p>
        </w:tc>
        <w:tc>
          <w:tcPr>
            <w:tcW w:w="956" w:type="dxa"/>
          </w:tcPr>
          <w:p w14:paraId="29CA56B1"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1.46</w:t>
            </w:r>
            <w:r w:rsidRPr="001A0AC6">
              <w:rPr>
                <w:rFonts w:ascii="Times New Roman" w:hAnsi="Times New Roman" w:cs="Times New Roman"/>
                <w:color w:val="000000"/>
                <w:sz w:val="20"/>
                <w:szCs w:val="20"/>
                <w:vertAlign w:val="superscript"/>
              </w:rPr>
              <w:t>0.02</w:t>
            </w:r>
          </w:p>
        </w:tc>
        <w:tc>
          <w:tcPr>
            <w:tcW w:w="956" w:type="dxa"/>
          </w:tcPr>
          <w:p w14:paraId="526C8E7B"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3.13</w:t>
            </w:r>
            <w:r w:rsidRPr="001A0AC6">
              <w:rPr>
                <w:rFonts w:ascii="Times New Roman" w:hAnsi="Times New Roman" w:cs="Times New Roman"/>
                <w:color w:val="000000"/>
                <w:sz w:val="20"/>
                <w:szCs w:val="20"/>
                <w:vertAlign w:val="superscript"/>
              </w:rPr>
              <w:t>0.34</w:t>
            </w:r>
          </w:p>
        </w:tc>
      </w:tr>
      <w:tr w:rsidR="003A10A7" w:rsidRPr="001A0AC6" w14:paraId="276286D7" w14:textId="77777777" w:rsidTr="00087E54">
        <w:tc>
          <w:tcPr>
            <w:tcW w:w="851" w:type="dxa"/>
            <w:vMerge w:val="restart"/>
          </w:tcPr>
          <w:p w14:paraId="673CD7FD"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r w:rsidRPr="001A0AC6">
              <w:rPr>
                <w:rFonts w:ascii="Times New Roman" w:hAnsi="Times New Roman" w:cs="Times New Roman"/>
                <w:sz w:val="20"/>
                <w:szCs w:val="20"/>
              </w:rPr>
              <w:t>Fe</w:t>
            </w:r>
          </w:p>
        </w:tc>
        <w:tc>
          <w:tcPr>
            <w:tcW w:w="1427" w:type="dxa"/>
          </w:tcPr>
          <w:p w14:paraId="2436F7ED"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shd w:val="clear" w:color="auto" w:fill="FFFFFF"/>
              </w:rPr>
            </w:pPr>
            <w:r w:rsidRPr="001A0AC6">
              <w:rPr>
                <w:rFonts w:ascii="Times New Roman" w:hAnsi="Times New Roman" w:cs="Times New Roman"/>
                <w:i/>
                <w:iCs/>
                <w:sz w:val="20"/>
                <w:szCs w:val="20"/>
              </w:rPr>
              <w:t>S. undatus</w:t>
            </w:r>
          </w:p>
        </w:tc>
        <w:tc>
          <w:tcPr>
            <w:tcW w:w="956" w:type="dxa"/>
          </w:tcPr>
          <w:p w14:paraId="6BD211F7" w14:textId="77777777" w:rsidR="003A10A7" w:rsidRPr="001A0AC6" w:rsidRDefault="003A10A7" w:rsidP="00087E54">
            <w:pPr>
              <w:spacing w:line="360" w:lineRule="auto"/>
              <w:jc w:val="both"/>
              <w:rPr>
                <w:rFonts w:ascii="Times New Roman" w:hAnsi="Times New Roman" w:cs="Times New Roman"/>
                <w:sz w:val="20"/>
                <w:szCs w:val="20"/>
              </w:rPr>
            </w:pPr>
            <w:r w:rsidRPr="001A0AC6">
              <w:rPr>
                <w:rFonts w:ascii="Times New Roman" w:hAnsi="Times New Roman" w:cs="Times New Roman"/>
                <w:sz w:val="20"/>
                <w:szCs w:val="20"/>
              </w:rPr>
              <w:t>0.55</w:t>
            </w:r>
            <w:r w:rsidRPr="001A0AC6">
              <w:rPr>
                <w:rFonts w:ascii="Times New Roman" w:hAnsi="Times New Roman" w:cs="Times New Roman"/>
                <w:sz w:val="20"/>
                <w:szCs w:val="20"/>
                <w:vertAlign w:val="superscript"/>
              </w:rPr>
              <w:t>0.18</w:t>
            </w:r>
          </w:p>
        </w:tc>
        <w:tc>
          <w:tcPr>
            <w:tcW w:w="956" w:type="dxa"/>
          </w:tcPr>
          <w:p w14:paraId="75082CE2"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0.78</w:t>
            </w:r>
            <w:r w:rsidRPr="001A0AC6">
              <w:rPr>
                <w:rFonts w:ascii="Times New Roman" w:hAnsi="Times New Roman" w:cs="Times New Roman"/>
                <w:color w:val="000000"/>
                <w:sz w:val="20"/>
                <w:szCs w:val="20"/>
                <w:vertAlign w:val="superscript"/>
              </w:rPr>
              <w:t>0.29</w:t>
            </w:r>
          </w:p>
        </w:tc>
        <w:tc>
          <w:tcPr>
            <w:tcW w:w="956" w:type="dxa"/>
          </w:tcPr>
          <w:p w14:paraId="55AED98E"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0.91</w:t>
            </w:r>
            <w:r w:rsidRPr="001A0AC6">
              <w:rPr>
                <w:rFonts w:ascii="Times New Roman" w:hAnsi="Times New Roman" w:cs="Times New Roman"/>
                <w:b/>
                <w:color w:val="000000"/>
                <w:sz w:val="20"/>
                <w:szCs w:val="20"/>
                <w:vertAlign w:val="superscript"/>
              </w:rPr>
              <w:t>0.27</w:t>
            </w:r>
          </w:p>
        </w:tc>
        <w:tc>
          <w:tcPr>
            <w:tcW w:w="956" w:type="dxa"/>
          </w:tcPr>
          <w:p w14:paraId="2FDCF561"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1.41</w:t>
            </w:r>
            <w:r w:rsidRPr="001A0AC6">
              <w:rPr>
                <w:rFonts w:ascii="Times New Roman" w:hAnsi="Times New Roman" w:cs="Times New Roman"/>
                <w:b/>
                <w:color w:val="000000"/>
                <w:sz w:val="20"/>
                <w:szCs w:val="20"/>
                <w:vertAlign w:val="superscript"/>
              </w:rPr>
              <w:t>0.31</w:t>
            </w:r>
          </w:p>
        </w:tc>
        <w:tc>
          <w:tcPr>
            <w:tcW w:w="956" w:type="dxa"/>
          </w:tcPr>
          <w:p w14:paraId="4ABE4714"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0.13</w:t>
            </w:r>
            <w:r w:rsidRPr="001A0AC6">
              <w:rPr>
                <w:rFonts w:ascii="Times New Roman" w:hAnsi="Times New Roman" w:cs="Times New Roman"/>
                <w:color w:val="000000"/>
                <w:sz w:val="20"/>
                <w:szCs w:val="20"/>
                <w:vertAlign w:val="superscript"/>
              </w:rPr>
              <w:t>0.01</w:t>
            </w:r>
          </w:p>
        </w:tc>
        <w:tc>
          <w:tcPr>
            <w:tcW w:w="956" w:type="dxa"/>
          </w:tcPr>
          <w:p w14:paraId="00B9B6FE"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0.72</w:t>
            </w:r>
            <w:r w:rsidRPr="001A0AC6">
              <w:rPr>
                <w:rFonts w:ascii="Times New Roman" w:hAnsi="Times New Roman" w:cs="Times New Roman"/>
                <w:color w:val="000000"/>
                <w:sz w:val="20"/>
                <w:szCs w:val="20"/>
                <w:vertAlign w:val="superscript"/>
              </w:rPr>
              <w:t>0.30</w:t>
            </w:r>
          </w:p>
        </w:tc>
        <w:tc>
          <w:tcPr>
            <w:tcW w:w="956" w:type="dxa"/>
          </w:tcPr>
          <w:p w14:paraId="6FADD0E3"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0.91</w:t>
            </w:r>
            <w:r w:rsidRPr="001A0AC6">
              <w:rPr>
                <w:rFonts w:ascii="Times New Roman" w:hAnsi="Times New Roman" w:cs="Times New Roman"/>
                <w:b/>
                <w:color w:val="000000"/>
                <w:sz w:val="20"/>
                <w:szCs w:val="20"/>
                <w:vertAlign w:val="superscript"/>
              </w:rPr>
              <w:t>0.37</w:t>
            </w:r>
          </w:p>
        </w:tc>
        <w:tc>
          <w:tcPr>
            <w:tcW w:w="956" w:type="dxa"/>
          </w:tcPr>
          <w:p w14:paraId="7A339185"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1.40</w:t>
            </w:r>
            <w:r w:rsidRPr="001A0AC6">
              <w:rPr>
                <w:rFonts w:ascii="Times New Roman" w:hAnsi="Times New Roman" w:cs="Times New Roman"/>
                <w:b/>
                <w:color w:val="000000"/>
                <w:sz w:val="20"/>
                <w:szCs w:val="20"/>
                <w:vertAlign w:val="superscript"/>
              </w:rPr>
              <w:t>0.35</w:t>
            </w:r>
          </w:p>
        </w:tc>
      </w:tr>
      <w:tr w:rsidR="003A10A7" w:rsidRPr="001A0AC6" w14:paraId="68F94B2C" w14:textId="77777777" w:rsidTr="00087E54">
        <w:tc>
          <w:tcPr>
            <w:tcW w:w="851" w:type="dxa"/>
            <w:vMerge/>
          </w:tcPr>
          <w:p w14:paraId="09DBB2C3"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p>
        </w:tc>
        <w:tc>
          <w:tcPr>
            <w:tcW w:w="1427" w:type="dxa"/>
          </w:tcPr>
          <w:p w14:paraId="4C658F59"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shd w:val="clear" w:color="auto" w:fill="FFFFFF"/>
              </w:rPr>
            </w:pPr>
            <w:r w:rsidRPr="001A0AC6">
              <w:rPr>
                <w:rFonts w:ascii="Times New Roman" w:hAnsi="Times New Roman" w:cs="Times New Roman"/>
                <w:i/>
                <w:iCs/>
                <w:sz w:val="20"/>
                <w:szCs w:val="20"/>
              </w:rPr>
              <w:t xml:space="preserve">H. </w:t>
            </w:r>
            <w:proofErr w:type="spellStart"/>
            <w:r w:rsidRPr="001A0AC6">
              <w:rPr>
                <w:rFonts w:ascii="Times New Roman" w:hAnsi="Times New Roman" w:cs="Times New Roman"/>
                <w:i/>
                <w:iCs/>
                <w:sz w:val="20"/>
                <w:szCs w:val="20"/>
              </w:rPr>
              <w:t>polyrhizus</w:t>
            </w:r>
            <w:proofErr w:type="spellEnd"/>
          </w:p>
        </w:tc>
        <w:tc>
          <w:tcPr>
            <w:tcW w:w="956" w:type="dxa"/>
          </w:tcPr>
          <w:p w14:paraId="6F391F1F"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8.52</w:t>
            </w:r>
            <w:r w:rsidRPr="001A0AC6">
              <w:rPr>
                <w:rFonts w:ascii="Times New Roman" w:hAnsi="Times New Roman" w:cs="Times New Roman"/>
                <w:b/>
                <w:color w:val="000000"/>
                <w:sz w:val="20"/>
                <w:szCs w:val="20"/>
                <w:vertAlign w:val="superscript"/>
              </w:rPr>
              <w:t>0.96</w:t>
            </w:r>
          </w:p>
        </w:tc>
        <w:tc>
          <w:tcPr>
            <w:tcW w:w="956" w:type="dxa"/>
          </w:tcPr>
          <w:p w14:paraId="7D6BE7A3"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19.84</w:t>
            </w:r>
            <w:r w:rsidRPr="001A0AC6">
              <w:rPr>
                <w:rFonts w:ascii="Times New Roman" w:hAnsi="Times New Roman" w:cs="Times New Roman"/>
                <w:b/>
                <w:color w:val="000000"/>
                <w:sz w:val="20"/>
                <w:szCs w:val="20"/>
                <w:vertAlign w:val="superscript"/>
              </w:rPr>
              <w:t>0.91</w:t>
            </w:r>
          </w:p>
        </w:tc>
        <w:tc>
          <w:tcPr>
            <w:tcW w:w="956" w:type="dxa"/>
          </w:tcPr>
          <w:p w14:paraId="2FA25054"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1.05</w:t>
            </w:r>
            <w:r w:rsidRPr="001A0AC6">
              <w:rPr>
                <w:rFonts w:ascii="Times New Roman" w:hAnsi="Times New Roman" w:cs="Times New Roman"/>
                <w:color w:val="000000"/>
                <w:sz w:val="20"/>
                <w:szCs w:val="20"/>
                <w:vertAlign w:val="superscript"/>
              </w:rPr>
              <w:t>0.02</w:t>
            </w:r>
          </w:p>
        </w:tc>
        <w:tc>
          <w:tcPr>
            <w:tcW w:w="956" w:type="dxa"/>
          </w:tcPr>
          <w:p w14:paraId="00F06097"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1.45</w:t>
            </w:r>
            <w:r w:rsidRPr="001A0AC6">
              <w:rPr>
                <w:rFonts w:ascii="Times New Roman" w:hAnsi="Times New Roman" w:cs="Times New Roman"/>
                <w:color w:val="000000"/>
                <w:sz w:val="20"/>
                <w:szCs w:val="20"/>
                <w:vertAlign w:val="superscript"/>
              </w:rPr>
              <w:t>0.00</w:t>
            </w:r>
          </w:p>
        </w:tc>
        <w:tc>
          <w:tcPr>
            <w:tcW w:w="956" w:type="dxa"/>
          </w:tcPr>
          <w:p w14:paraId="20B62B91"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1.14</w:t>
            </w:r>
            <w:r w:rsidRPr="001A0AC6">
              <w:rPr>
                <w:rFonts w:ascii="Times New Roman" w:hAnsi="Times New Roman" w:cs="Times New Roman"/>
                <w:color w:val="000000"/>
                <w:sz w:val="20"/>
                <w:szCs w:val="20"/>
                <w:vertAlign w:val="superscript"/>
              </w:rPr>
              <w:t>0.02</w:t>
            </w:r>
          </w:p>
        </w:tc>
        <w:tc>
          <w:tcPr>
            <w:tcW w:w="956" w:type="dxa"/>
          </w:tcPr>
          <w:p w14:paraId="07B221B0"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1.15</w:t>
            </w:r>
            <w:r w:rsidRPr="001A0AC6">
              <w:rPr>
                <w:rFonts w:ascii="Times New Roman" w:hAnsi="Times New Roman" w:cs="Times New Roman"/>
                <w:color w:val="000000"/>
                <w:sz w:val="20"/>
                <w:szCs w:val="20"/>
                <w:vertAlign w:val="superscript"/>
              </w:rPr>
              <w:t>0.06</w:t>
            </w:r>
          </w:p>
        </w:tc>
        <w:tc>
          <w:tcPr>
            <w:tcW w:w="956" w:type="dxa"/>
          </w:tcPr>
          <w:p w14:paraId="57C30AE8"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1.25</w:t>
            </w:r>
            <w:r w:rsidRPr="001A0AC6">
              <w:rPr>
                <w:rFonts w:ascii="Times New Roman" w:hAnsi="Times New Roman" w:cs="Times New Roman"/>
                <w:color w:val="000000"/>
                <w:sz w:val="20"/>
                <w:szCs w:val="20"/>
                <w:vertAlign w:val="superscript"/>
              </w:rPr>
              <w:t>0.00</w:t>
            </w:r>
          </w:p>
        </w:tc>
        <w:tc>
          <w:tcPr>
            <w:tcW w:w="956" w:type="dxa"/>
          </w:tcPr>
          <w:p w14:paraId="70863DAF"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0.29</w:t>
            </w:r>
            <w:r w:rsidRPr="001A0AC6">
              <w:rPr>
                <w:rFonts w:ascii="Times New Roman" w:hAnsi="Times New Roman" w:cs="Times New Roman"/>
                <w:color w:val="000000"/>
                <w:sz w:val="20"/>
                <w:szCs w:val="20"/>
                <w:vertAlign w:val="superscript"/>
              </w:rPr>
              <w:t>0.22</w:t>
            </w:r>
          </w:p>
        </w:tc>
      </w:tr>
      <w:tr w:rsidR="003A10A7" w:rsidRPr="001A0AC6" w14:paraId="4EB6F060" w14:textId="77777777" w:rsidTr="00087E54">
        <w:tc>
          <w:tcPr>
            <w:tcW w:w="851" w:type="dxa"/>
            <w:vMerge w:val="restart"/>
          </w:tcPr>
          <w:p w14:paraId="3EC5C6B4"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r w:rsidRPr="001A0AC6">
              <w:rPr>
                <w:rFonts w:ascii="Times New Roman" w:hAnsi="Times New Roman" w:cs="Times New Roman"/>
                <w:sz w:val="20"/>
                <w:szCs w:val="20"/>
              </w:rPr>
              <w:t>Mn</w:t>
            </w:r>
          </w:p>
        </w:tc>
        <w:tc>
          <w:tcPr>
            <w:tcW w:w="1427" w:type="dxa"/>
          </w:tcPr>
          <w:p w14:paraId="4464BA90"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shd w:val="clear" w:color="auto" w:fill="FFFFFF"/>
              </w:rPr>
            </w:pPr>
            <w:r w:rsidRPr="001A0AC6">
              <w:rPr>
                <w:rFonts w:ascii="Times New Roman" w:hAnsi="Times New Roman" w:cs="Times New Roman"/>
                <w:i/>
                <w:iCs/>
                <w:sz w:val="20"/>
                <w:szCs w:val="20"/>
              </w:rPr>
              <w:t>S. undatus</w:t>
            </w:r>
          </w:p>
        </w:tc>
        <w:tc>
          <w:tcPr>
            <w:tcW w:w="956" w:type="dxa"/>
          </w:tcPr>
          <w:p w14:paraId="6755F19D" w14:textId="77777777" w:rsidR="003A10A7" w:rsidRPr="001A0AC6" w:rsidRDefault="003A10A7" w:rsidP="00087E54">
            <w:pPr>
              <w:spacing w:line="360" w:lineRule="auto"/>
              <w:jc w:val="both"/>
              <w:rPr>
                <w:rFonts w:ascii="Times New Roman" w:hAnsi="Times New Roman" w:cs="Times New Roman"/>
                <w:sz w:val="20"/>
                <w:szCs w:val="20"/>
              </w:rPr>
            </w:pPr>
            <w:r w:rsidRPr="001A0AC6">
              <w:rPr>
                <w:rFonts w:ascii="Times New Roman" w:hAnsi="Times New Roman" w:cs="Times New Roman"/>
                <w:sz w:val="20"/>
                <w:szCs w:val="20"/>
              </w:rPr>
              <w:t>0.27</w:t>
            </w:r>
            <w:r w:rsidRPr="001A0AC6">
              <w:rPr>
                <w:rFonts w:ascii="Times New Roman" w:hAnsi="Times New Roman" w:cs="Times New Roman"/>
                <w:sz w:val="20"/>
                <w:szCs w:val="20"/>
                <w:vertAlign w:val="superscript"/>
              </w:rPr>
              <w:t>0.16</w:t>
            </w:r>
          </w:p>
        </w:tc>
        <w:tc>
          <w:tcPr>
            <w:tcW w:w="956" w:type="dxa"/>
          </w:tcPr>
          <w:p w14:paraId="672302ED"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0.61</w:t>
            </w:r>
            <w:r w:rsidRPr="001A0AC6">
              <w:rPr>
                <w:rFonts w:ascii="Times New Roman" w:hAnsi="Times New Roman" w:cs="Times New Roman"/>
                <w:color w:val="000000"/>
                <w:sz w:val="20"/>
                <w:szCs w:val="20"/>
                <w:vertAlign w:val="superscript"/>
              </w:rPr>
              <w:t>0.28</w:t>
            </w:r>
          </w:p>
        </w:tc>
        <w:tc>
          <w:tcPr>
            <w:tcW w:w="956" w:type="dxa"/>
          </w:tcPr>
          <w:p w14:paraId="453437B5"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0.33</w:t>
            </w:r>
            <w:r w:rsidRPr="001A0AC6">
              <w:rPr>
                <w:rFonts w:ascii="Times New Roman" w:hAnsi="Times New Roman" w:cs="Times New Roman"/>
                <w:color w:val="000000"/>
                <w:sz w:val="20"/>
                <w:szCs w:val="20"/>
                <w:vertAlign w:val="superscript"/>
              </w:rPr>
              <w:t>0.15</w:t>
            </w:r>
          </w:p>
        </w:tc>
        <w:tc>
          <w:tcPr>
            <w:tcW w:w="956" w:type="dxa"/>
          </w:tcPr>
          <w:p w14:paraId="7F49ED06"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0.91</w:t>
            </w:r>
            <w:r w:rsidRPr="001A0AC6">
              <w:rPr>
                <w:rFonts w:ascii="Times New Roman" w:hAnsi="Times New Roman" w:cs="Times New Roman"/>
                <w:color w:val="000000"/>
                <w:sz w:val="20"/>
                <w:szCs w:val="20"/>
                <w:vertAlign w:val="superscript"/>
              </w:rPr>
              <w:t>0.28</w:t>
            </w:r>
          </w:p>
        </w:tc>
        <w:tc>
          <w:tcPr>
            <w:tcW w:w="956" w:type="dxa"/>
          </w:tcPr>
          <w:p w14:paraId="5216E9F4"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0.07</w:t>
            </w:r>
            <w:r w:rsidRPr="001A0AC6">
              <w:rPr>
                <w:rFonts w:ascii="Times New Roman" w:hAnsi="Times New Roman" w:cs="Times New Roman"/>
                <w:color w:val="000000"/>
                <w:sz w:val="20"/>
                <w:szCs w:val="20"/>
                <w:vertAlign w:val="superscript"/>
              </w:rPr>
              <w:t>0.01</w:t>
            </w:r>
          </w:p>
        </w:tc>
        <w:tc>
          <w:tcPr>
            <w:tcW w:w="956" w:type="dxa"/>
          </w:tcPr>
          <w:p w14:paraId="541A0956"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0.47</w:t>
            </w:r>
            <w:r w:rsidRPr="001A0AC6">
              <w:rPr>
                <w:rFonts w:ascii="Times New Roman" w:hAnsi="Times New Roman" w:cs="Times New Roman"/>
                <w:color w:val="000000"/>
                <w:sz w:val="20"/>
                <w:szCs w:val="20"/>
                <w:vertAlign w:val="superscript"/>
              </w:rPr>
              <w:t>0.03</w:t>
            </w:r>
          </w:p>
        </w:tc>
        <w:tc>
          <w:tcPr>
            <w:tcW w:w="956" w:type="dxa"/>
          </w:tcPr>
          <w:p w14:paraId="05E4FDF7"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1.25</w:t>
            </w:r>
            <w:r w:rsidRPr="001A0AC6">
              <w:rPr>
                <w:rFonts w:ascii="Times New Roman" w:hAnsi="Times New Roman" w:cs="Times New Roman"/>
                <w:b/>
                <w:color w:val="000000"/>
                <w:sz w:val="20"/>
                <w:szCs w:val="20"/>
                <w:vertAlign w:val="superscript"/>
              </w:rPr>
              <w:t>0.37</w:t>
            </w:r>
          </w:p>
        </w:tc>
        <w:tc>
          <w:tcPr>
            <w:tcW w:w="956" w:type="dxa"/>
          </w:tcPr>
          <w:p w14:paraId="3CEF986A"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2.40</w:t>
            </w:r>
            <w:r w:rsidRPr="001A0AC6">
              <w:rPr>
                <w:rFonts w:ascii="Times New Roman" w:hAnsi="Times New Roman" w:cs="Times New Roman"/>
                <w:b/>
                <w:color w:val="000000"/>
                <w:sz w:val="20"/>
                <w:szCs w:val="20"/>
                <w:vertAlign w:val="superscript"/>
              </w:rPr>
              <w:t>0.36</w:t>
            </w:r>
          </w:p>
        </w:tc>
      </w:tr>
      <w:tr w:rsidR="003A10A7" w:rsidRPr="001A0AC6" w14:paraId="71DBDD52" w14:textId="77777777" w:rsidTr="00087E54">
        <w:tc>
          <w:tcPr>
            <w:tcW w:w="851" w:type="dxa"/>
            <w:vMerge/>
          </w:tcPr>
          <w:p w14:paraId="5B3072DB"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p>
        </w:tc>
        <w:tc>
          <w:tcPr>
            <w:tcW w:w="1427" w:type="dxa"/>
          </w:tcPr>
          <w:p w14:paraId="6CB32F8C"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shd w:val="clear" w:color="auto" w:fill="FFFFFF"/>
              </w:rPr>
            </w:pPr>
            <w:r w:rsidRPr="001A0AC6">
              <w:rPr>
                <w:rFonts w:ascii="Times New Roman" w:hAnsi="Times New Roman" w:cs="Times New Roman"/>
                <w:i/>
                <w:iCs/>
                <w:sz w:val="20"/>
                <w:szCs w:val="20"/>
              </w:rPr>
              <w:t xml:space="preserve">H. </w:t>
            </w:r>
            <w:proofErr w:type="spellStart"/>
            <w:r w:rsidRPr="001A0AC6">
              <w:rPr>
                <w:rFonts w:ascii="Times New Roman" w:hAnsi="Times New Roman" w:cs="Times New Roman"/>
                <w:i/>
                <w:iCs/>
                <w:sz w:val="20"/>
                <w:szCs w:val="20"/>
              </w:rPr>
              <w:t>polyrhizus</w:t>
            </w:r>
            <w:proofErr w:type="spellEnd"/>
          </w:p>
        </w:tc>
        <w:tc>
          <w:tcPr>
            <w:tcW w:w="956" w:type="dxa"/>
          </w:tcPr>
          <w:p w14:paraId="3133EE98"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0.44</w:t>
            </w:r>
            <w:r w:rsidRPr="001A0AC6">
              <w:rPr>
                <w:rFonts w:ascii="Times New Roman" w:hAnsi="Times New Roman" w:cs="Times New Roman"/>
                <w:color w:val="000000"/>
                <w:sz w:val="20"/>
                <w:szCs w:val="20"/>
                <w:vertAlign w:val="superscript"/>
              </w:rPr>
              <w:t>0.03</w:t>
            </w:r>
          </w:p>
        </w:tc>
        <w:tc>
          <w:tcPr>
            <w:tcW w:w="956" w:type="dxa"/>
          </w:tcPr>
          <w:p w14:paraId="305503E1"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0.24</w:t>
            </w:r>
            <w:r w:rsidRPr="001A0AC6">
              <w:rPr>
                <w:rFonts w:ascii="Times New Roman" w:hAnsi="Times New Roman" w:cs="Times New Roman"/>
                <w:color w:val="000000"/>
                <w:sz w:val="20"/>
                <w:szCs w:val="20"/>
                <w:vertAlign w:val="superscript"/>
              </w:rPr>
              <w:t>0.00</w:t>
            </w:r>
          </w:p>
        </w:tc>
        <w:tc>
          <w:tcPr>
            <w:tcW w:w="956" w:type="dxa"/>
          </w:tcPr>
          <w:p w14:paraId="48828D3A"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5370D6A4"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0.56</w:t>
            </w:r>
            <w:r w:rsidRPr="001A0AC6">
              <w:rPr>
                <w:rFonts w:ascii="Times New Roman" w:hAnsi="Times New Roman" w:cs="Times New Roman"/>
                <w:b/>
                <w:color w:val="000000"/>
                <w:sz w:val="20"/>
                <w:szCs w:val="20"/>
                <w:vertAlign w:val="superscript"/>
              </w:rPr>
              <w:t>0.00</w:t>
            </w:r>
          </w:p>
        </w:tc>
        <w:tc>
          <w:tcPr>
            <w:tcW w:w="956" w:type="dxa"/>
          </w:tcPr>
          <w:p w14:paraId="2AE732FD" w14:textId="77777777" w:rsidR="003A10A7" w:rsidRPr="001A0AC6" w:rsidRDefault="003A10A7" w:rsidP="00087E54">
            <w:pPr>
              <w:spacing w:line="360" w:lineRule="auto"/>
              <w:jc w:val="both"/>
              <w:rPr>
                <w:rFonts w:ascii="Times New Roman" w:hAnsi="Times New Roman" w:cs="Times New Roman"/>
                <w:b/>
                <w:color w:val="000000"/>
                <w:sz w:val="20"/>
                <w:szCs w:val="20"/>
              </w:rPr>
            </w:pPr>
            <w:r w:rsidRPr="001A0AC6">
              <w:rPr>
                <w:rFonts w:ascii="Times New Roman" w:hAnsi="Times New Roman" w:cs="Times New Roman"/>
                <w:b/>
                <w:color w:val="000000"/>
                <w:sz w:val="20"/>
                <w:szCs w:val="20"/>
              </w:rPr>
              <w:t>0.92</w:t>
            </w:r>
            <w:r w:rsidRPr="001A0AC6">
              <w:rPr>
                <w:rFonts w:ascii="Times New Roman" w:hAnsi="Times New Roman" w:cs="Times New Roman"/>
                <w:b/>
                <w:color w:val="000000"/>
                <w:sz w:val="20"/>
                <w:szCs w:val="20"/>
                <w:vertAlign w:val="superscript"/>
              </w:rPr>
              <w:t>0.02</w:t>
            </w:r>
          </w:p>
        </w:tc>
        <w:tc>
          <w:tcPr>
            <w:tcW w:w="956" w:type="dxa"/>
          </w:tcPr>
          <w:p w14:paraId="029BCC7C"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0.34</w:t>
            </w:r>
            <w:r w:rsidRPr="001A0AC6">
              <w:rPr>
                <w:rFonts w:ascii="Times New Roman" w:hAnsi="Times New Roman" w:cs="Times New Roman"/>
                <w:color w:val="000000"/>
                <w:sz w:val="20"/>
                <w:szCs w:val="20"/>
                <w:vertAlign w:val="superscript"/>
              </w:rPr>
              <w:t>0.01</w:t>
            </w:r>
          </w:p>
        </w:tc>
        <w:tc>
          <w:tcPr>
            <w:tcW w:w="956" w:type="dxa"/>
          </w:tcPr>
          <w:p w14:paraId="2E0069D8"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0.30</w:t>
            </w:r>
            <w:r w:rsidRPr="001A0AC6">
              <w:rPr>
                <w:rFonts w:ascii="Times New Roman" w:hAnsi="Times New Roman" w:cs="Times New Roman"/>
                <w:color w:val="000000"/>
                <w:sz w:val="20"/>
                <w:szCs w:val="20"/>
                <w:vertAlign w:val="superscript"/>
              </w:rPr>
              <w:t>0.02</w:t>
            </w:r>
          </w:p>
        </w:tc>
        <w:tc>
          <w:tcPr>
            <w:tcW w:w="956" w:type="dxa"/>
          </w:tcPr>
          <w:p w14:paraId="60E9512C"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0.23</w:t>
            </w:r>
            <w:r w:rsidRPr="001A0AC6">
              <w:rPr>
                <w:rFonts w:ascii="Times New Roman" w:hAnsi="Times New Roman" w:cs="Times New Roman"/>
                <w:color w:val="000000"/>
                <w:sz w:val="20"/>
                <w:szCs w:val="20"/>
                <w:vertAlign w:val="superscript"/>
              </w:rPr>
              <w:t>0.00</w:t>
            </w:r>
          </w:p>
        </w:tc>
      </w:tr>
      <w:tr w:rsidR="003A10A7" w:rsidRPr="001A0AC6" w14:paraId="7D432957" w14:textId="77777777" w:rsidTr="00087E54">
        <w:tc>
          <w:tcPr>
            <w:tcW w:w="851" w:type="dxa"/>
            <w:vMerge w:val="restart"/>
          </w:tcPr>
          <w:p w14:paraId="1AC698EA"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r w:rsidRPr="001A0AC6">
              <w:rPr>
                <w:rFonts w:ascii="Times New Roman" w:hAnsi="Times New Roman" w:cs="Times New Roman"/>
                <w:sz w:val="20"/>
                <w:szCs w:val="20"/>
              </w:rPr>
              <w:t>Na</w:t>
            </w:r>
          </w:p>
        </w:tc>
        <w:tc>
          <w:tcPr>
            <w:tcW w:w="1427" w:type="dxa"/>
          </w:tcPr>
          <w:p w14:paraId="4FE501E1"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shd w:val="clear" w:color="auto" w:fill="FFFFFF"/>
              </w:rPr>
            </w:pPr>
            <w:r w:rsidRPr="001A0AC6">
              <w:rPr>
                <w:rFonts w:ascii="Times New Roman" w:hAnsi="Times New Roman" w:cs="Times New Roman"/>
                <w:i/>
                <w:iCs/>
                <w:sz w:val="20"/>
                <w:szCs w:val="20"/>
              </w:rPr>
              <w:t>S. undatus</w:t>
            </w:r>
          </w:p>
        </w:tc>
        <w:tc>
          <w:tcPr>
            <w:tcW w:w="956" w:type="dxa"/>
          </w:tcPr>
          <w:p w14:paraId="1F85E969" w14:textId="77777777" w:rsidR="003A10A7" w:rsidRPr="001A0AC6" w:rsidRDefault="003A10A7" w:rsidP="00087E54">
            <w:pPr>
              <w:spacing w:line="360" w:lineRule="auto"/>
              <w:jc w:val="both"/>
              <w:rPr>
                <w:rFonts w:ascii="Times New Roman" w:hAnsi="Times New Roman" w:cs="Times New Roman"/>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6F581E5C"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229198A0"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4698E680"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72CF9510"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20967B7A"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480BCA1E"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0755AFBA"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r>
      <w:tr w:rsidR="003A10A7" w:rsidRPr="001A0AC6" w14:paraId="645EAA66" w14:textId="77777777" w:rsidTr="00087E54">
        <w:tc>
          <w:tcPr>
            <w:tcW w:w="851" w:type="dxa"/>
            <w:vMerge/>
          </w:tcPr>
          <w:p w14:paraId="1495E658"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p>
        </w:tc>
        <w:tc>
          <w:tcPr>
            <w:tcW w:w="1427" w:type="dxa"/>
          </w:tcPr>
          <w:p w14:paraId="55B27BA2"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shd w:val="clear" w:color="auto" w:fill="FFFFFF"/>
              </w:rPr>
            </w:pPr>
            <w:r w:rsidRPr="001A0AC6">
              <w:rPr>
                <w:rFonts w:ascii="Times New Roman" w:hAnsi="Times New Roman" w:cs="Times New Roman"/>
                <w:i/>
                <w:iCs/>
                <w:sz w:val="20"/>
                <w:szCs w:val="20"/>
              </w:rPr>
              <w:t xml:space="preserve">H. </w:t>
            </w:r>
            <w:proofErr w:type="spellStart"/>
            <w:r w:rsidRPr="001A0AC6">
              <w:rPr>
                <w:rFonts w:ascii="Times New Roman" w:hAnsi="Times New Roman" w:cs="Times New Roman"/>
                <w:i/>
                <w:iCs/>
                <w:sz w:val="20"/>
                <w:szCs w:val="20"/>
              </w:rPr>
              <w:t>polyrhizus</w:t>
            </w:r>
            <w:proofErr w:type="spellEnd"/>
          </w:p>
        </w:tc>
        <w:tc>
          <w:tcPr>
            <w:tcW w:w="956" w:type="dxa"/>
          </w:tcPr>
          <w:p w14:paraId="3B3DE280"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50270A83"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04CB1E68"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7F5A34F3"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42AE3ED2"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31ACD189"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4DEF470A"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0.19</w:t>
            </w:r>
            <w:r w:rsidRPr="001A0AC6">
              <w:rPr>
                <w:rFonts w:ascii="Times New Roman" w:hAnsi="Times New Roman" w:cs="Times New Roman"/>
                <w:color w:val="000000"/>
                <w:sz w:val="20"/>
                <w:szCs w:val="20"/>
                <w:vertAlign w:val="superscript"/>
              </w:rPr>
              <w:t>0.04</w:t>
            </w:r>
          </w:p>
        </w:tc>
        <w:tc>
          <w:tcPr>
            <w:tcW w:w="956" w:type="dxa"/>
          </w:tcPr>
          <w:p w14:paraId="6F853567"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r>
      <w:tr w:rsidR="003A10A7" w:rsidRPr="001A0AC6" w14:paraId="2D406A34" w14:textId="77777777" w:rsidTr="00087E54">
        <w:tc>
          <w:tcPr>
            <w:tcW w:w="851" w:type="dxa"/>
            <w:vMerge w:val="restart"/>
          </w:tcPr>
          <w:p w14:paraId="1EBC002C"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sz w:val="20"/>
                <w:szCs w:val="20"/>
                <w:shd w:val="clear" w:color="auto" w:fill="FFFFFF"/>
              </w:rPr>
            </w:pPr>
            <w:r w:rsidRPr="001A0AC6">
              <w:rPr>
                <w:rFonts w:ascii="Times New Roman" w:hAnsi="Times New Roman" w:cs="Times New Roman"/>
                <w:sz w:val="20"/>
                <w:szCs w:val="20"/>
              </w:rPr>
              <w:t>Zn</w:t>
            </w:r>
          </w:p>
        </w:tc>
        <w:tc>
          <w:tcPr>
            <w:tcW w:w="1427" w:type="dxa"/>
          </w:tcPr>
          <w:p w14:paraId="2D5F47CA"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shd w:val="clear" w:color="auto" w:fill="FFFFFF"/>
              </w:rPr>
            </w:pPr>
            <w:r w:rsidRPr="001A0AC6">
              <w:rPr>
                <w:rFonts w:ascii="Times New Roman" w:hAnsi="Times New Roman" w:cs="Times New Roman"/>
                <w:i/>
                <w:iCs/>
                <w:sz w:val="20"/>
                <w:szCs w:val="20"/>
              </w:rPr>
              <w:t>S. undatus</w:t>
            </w:r>
          </w:p>
        </w:tc>
        <w:tc>
          <w:tcPr>
            <w:tcW w:w="956" w:type="dxa"/>
          </w:tcPr>
          <w:p w14:paraId="3B51E5E0" w14:textId="77777777" w:rsidR="003A10A7" w:rsidRPr="001A0AC6" w:rsidRDefault="003A10A7" w:rsidP="00087E54">
            <w:pPr>
              <w:spacing w:line="360" w:lineRule="auto"/>
              <w:jc w:val="both"/>
              <w:rPr>
                <w:rFonts w:ascii="Times New Roman" w:hAnsi="Times New Roman" w:cs="Times New Roman"/>
                <w:sz w:val="20"/>
                <w:szCs w:val="20"/>
              </w:rPr>
            </w:pPr>
            <w:r w:rsidRPr="001A0AC6">
              <w:rPr>
                <w:rFonts w:ascii="Times New Roman" w:hAnsi="Times New Roman" w:cs="Times New Roman"/>
                <w:sz w:val="20"/>
                <w:szCs w:val="20"/>
              </w:rPr>
              <w:t>0.29</w:t>
            </w:r>
            <w:r w:rsidRPr="001A0AC6">
              <w:rPr>
                <w:rFonts w:ascii="Times New Roman" w:hAnsi="Times New Roman" w:cs="Times New Roman"/>
                <w:sz w:val="20"/>
                <w:szCs w:val="20"/>
                <w:vertAlign w:val="superscript"/>
              </w:rPr>
              <w:t>0.19</w:t>
            </w:r>
          </w:p>
        </w:tc>
        <w:tc>
          <w:tcPr>
            <w:tcW w:w="956" w:type="dxa"/>
          </w:tcPr>
          <w:p w14:paraId="4FECA5E1"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0.08</w:t>
            </w:r>
            <w:r w:rsidRPr="001A0AC6">
              <w:rPr>
                <w:rFonts w:ascii="Times New Roman" w:hAnsi="Times New Roman" w:cs="Times New Roman"/>
                <w:color w:val="000000"/>
                <w:sz w:val="20"/>
                <w:szCs w:val="20"/>
                <w:vertAlign w:val="superscript"/>
              </w:rPr>
              <w:t>0.04</w:t>
            </w:r>
          </w:p>
        </w:tc>
        <w:tc>
          <w:tcPr>
            <w:tcW w:w="956" w:type="dxa"/>
          </w:tcPr>
          <w:p w14:paraId="44A48AF8"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0.07</w:t>
            </w:r>
            <w:r w:rsidRPr="001A0AC6">
              <w:rPr>
                <w:rFonts w:ascii="Times New Roman" w:hAnsi="Times New Roman" w:cs="Times New Roman"/>
                <w:color w:val="000000"/>
                <w:sz w:val="20"/>
                <w:szCs w:val="20"/>
                <w:vertAlign w:val="superscript"/>
              </w:rPr>
              <w:t>0.02</w:t>
            </w:r>
          </w:p>
        </w:tc>
        <w:tc>
          <w:tcPr>
            <w:tcW w:w="956" w:type="dxa"/>
          </w:tcPr>
          <w:p w14:paraId="77742AF3"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0.37</w:t>
            </w:r>
            <w:r w:rsidRPr="001A0AC6">
              <w:rPr>
                <w:rFonts w:ascii="Times New Roman" w:hAnsi="Times New Roman" w:cs="Times New Roman"/>
                <w:color w:val="000000"/>
                <w:sz w:val="20"/>
                <w:szCs w:val="20"/>
                <w:vertAlign w:val="superscript"/>
              </w:rPr>
              <w:t>0.03</w:t>
            </w:r>
          </w:p>
        </w:tc>
        <w:tc>
          <w:tcPr>
            <w:tcW w:w="956" w:type="dxa"/>
          </w:tcPr>
          <w:p w14:paraId="3EA0AAD5"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34C67F47"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0.17</w:t>
            </w:r>
            <w:r w:rsidRPr="001A0AC6">
              <w:rPr>
                <w:rFonts w:ascii="Times New Roman" w:hAnsi="Times New Roman" w:cs="Times New Roman"/>
                <w:color w:val="000000"/>
                <w:sz w:val="20"/>
                <w:szCs w:val="20"/>
                <w:vertAlign w:val="superscript"/>
              </w:rPr>
              <w:t>0.04</w:t>
            </w:r>
          </w:p>
        </w:tc>
        <w:tc>
          <w:tcPr>
            <w:tcW w:w="956" w:type="dxa"/>
          </w:tcPr>
          <w:p w14:paraId="3E0D8EB9"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Pr>
          <w:p w14:paraId="2929376F"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0.42</w:t>
            </w:r>
            <w:r w:rsidRPr="001A0AC6">
              <w:rPr>
                <w:rFonts w:ascii="Times New Roman" w:hAnsi="Times New Roman" w:cs="Times New Roman"/>
                <w:color w:val="000000"/>
                <w:sz w:val="20"/>
                <w:szCs w:val="20"/>
                <w:vertAlign w:val="superscript"/>
              </w:rPr>
              <w:t>0.04</w:t>
            </w:r>
          </w:p>
        </w:tc>
      </w:tr>
      <w:tr w:rsidR="003A10A7" w:rsidRPr="001A0AC6" w14:paraId="69109970" w14:textId="77777777" w:rsidTr="00087E54">
        <w:tc>
          <w:tcPr>
            <w:tcW w:w="851" w:type="dxa"/>
            <w:vMerge/>
            <w:tcBorders>
              <w:bottom w:val="single" w:sz="4" w:space="0" w:color="auto"/>
            </w:tcBorders>
          </w:tcPr>
          <w:p w14:paraId="1B370E4E"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shd w:val="clear" w:color="auto" w:fill="FFFFFF"/>
              </w:rPr>
            </w:pPr>
          </w:p>
        </w:tc>
        <w:tc>
          <w:tcPr>
            <w:tcW w:w="1427" w:type="dxa"/>
            <w:tcBorders>
              <w:bottom w:val="single" w:sz="4" w:space="0" w:color="auto"/>
            </w:tcBorders>
          </w:tcPr>
          <w:p w14:paraId="2A2C8FC4" w14:textId="77777777" w:rsidR="003A10A7" w:rsidRPr="001A0AC6" w:rsidRDefault="003A10A7" w:rsidP="00087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sz w:val="20"/>
                <w:szCs w:val="20"/>
                <w:shd w:val="clear" w:color="auto" w:fill="FFFFFF"/>
              </w:rPr>
            </w:pPr>
            <w:r w:rsidRPr="001A0AC6">
              <w:rPr>
                <w:rFonts w:ascii="Times New Roman" w:hAnsi="Times New Roman" w:cs="Times New Roman"/>
                <w:i/>
                <w:iCs/>
                <w:sz w:val="20"/>
                <w:szCs w:val="20"/>
              </w:rPr>
              <w:t xml:space="preserve">H. </w:t>
            </w:r>
            <w:proofErr w:type="spellStart"/>
            <w:r w:rsidRPr="001A0AC6">
              <w:rPr>
                <w:rFonts w:ascii="Times New Roman" w:hAnsi="Times New Roman" w:cs="Times New Roman"/>
                <w:i/>
                <w:iCs/>
                <w:sz w:val="20"/>
                <w:szCs w:val="20"/>
              </w:rPr>
              <w:t>polyrhizus</w:t>
            </w:r>
            <w:proofErr w:type="spellEnd"/>
          </w:p>
        </w:tc>
        <w:tc>
          <w:tcPr>
            <w:tcW w:w="956" w:type="dxa"/>
            <w:tcBorders>
              <w:bottom w:val="single" w:sz="4" w:space="0" w:color="auto"/>
            </w:tcBorders>
          </w:tcPr>
          <w:p w14:paraId="0A942C58"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0.84</w:t>
            </w:r>
            <w:r w:rsidRPr="001A0AC6">
              <w:rPr>
                <w:rFonts w:ascii="Times New Roman" w:hAnsi="Times New Roman" w:cs="Times New Roman"/>
                <w:color w:val="000000"/>
                <w:sz w:val="20"/>
                <w:szCs w:val="20"/>
                <w:vertAlign w:val="superscript"/>
              </w:rPr>
              <w:t>0.07</w:t>
            </w:r>
          </w:p>
        </w:tc>
        <w:tc>
          <w:tcPr>
            <w:tcW w:w="956" w:type="dxa"/>
            <w:tcBorders>
              <w:bottom w:val="single" w:sz="4" w:space="0" w:color="auto"/>
            </w:tcBorders>
          </w:tcPr>
          <w:p w14:paraId="7175F326"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Borders>
              <w:bottom w:val="single" w:sz="4" w:space="0" w:color="auto"/>
            </w:tcBorders>
          </w:tcPr>
          <w:p w14:paraId="54FDE812"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0.02</w:t>
            </w:r>
            <w:r w:rsidRPr="001A0AC6">
              <w:rPr>
                <w:rFonts w:ascii="Times New Roman" w:hAnsi="Times New Roman" w:cs="Times New Roman"/>
                <w:color w:val="000000"/>
                <w:sz w:val="20"/>
                <w:szCs w:val="20"/>
                <w:vertAlign w:val="superscript"/>
              </w:rPr>
              <w:t>0.00</w:t>
            </w:r>
          </w:p>
        </w:tc>
        <w:tc>
          <w:tcPr>
            <w:tcW w:w="956" w:type="dxa"/>
            <w:tcBorders>
              <w:bottom w:val="single" w:sz="4" w:space="0" w:color="auto"/>
            </w:tcBorders>
          </w:tcPr>
          <w:p w14:paraId="2BBCF0B4"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Borders>
              <w:bottom w:val="single" w:sz="4" w:space="0" w:color="auto"/>
            </w:tcBorders>
          </w:tcPr>
          <w:p w14:paraId="0A6AEE07"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Borders>
              <w:bottom w:val="single" w:sz="4" w:space="0" w:color="auto"/>
            </w:tcBorders>
          </w:tcPr>
          <w:p w14:paraId="433A44B4"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Borders>
              <w:bottom w:val="single" w:sz="4" w:space="0" w:color="auto"/>
            </w:tcBorders>
          </w:tcPr>
          <w:p w14:paraId="2D6A9624"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0.00</w:t>
            </w:r>
            <w:r w:rsidRPr="001A0AC6">
              <w:rPr>
                <w:rFonts w:ascii="Times New Roman" w:hAnsi="Times New Roman" w:cs="Times New Roman"/>
                <w:color w:val="000000"/>
                <w:sz w:val="20"/>
                <w:szCs w:val="20"/>
                <w:vertAlign w:val="superscript"/>
              </w:rPr>
              <w:t>0.00</w:t>
            </w:r>
          </w:p>
        </w:tc>
        <w:tc>
          <w:tcPr>
            <w:tcW w:w="956" w:type="dxa"/>
            <w:tcBorders>
              <w:bottom w:val="single" w:sz="4" w:space="0" w:color="auto"/>
            </w:tcBorders>
          </w:tcPr>
          <w:p w14:paraId="6D0EBA5E" w14:textId="77777777" w:rsidR="003A10A7" w:rsidRPr="001A0AC6" w:rsidRDefault="003A10A7" w:rsidP="00087E54">
            <w:pPr>
              <w:spacing w:line="360" w:lineRule="auto"/>
              <w:jc w:val="both"/>
              <w:rPr>
                <w:rFonts w:ascii="Times New Roman" w:hAnsi="Times New Roman" w:cs="Times New Roman"/>
                <w:color w:val="000000"/>
                <w:sz w:val="20"/>
                <w:szCs w:val="20"/>
              </w:rPr>
            </w:pPr>
            <w:r w:rsidRPr="001A0AC6">
              <w:rPr>
                <w:rFonts w:ascii="Times New Roman" w:hAnsi="Times New Roman" w:cs="Times New Roman"/>
                <w:color w:val="000000"/>
                <w:sz w:val="20"/>
                <w:szCs w:val="20"/>
              </w:rPr>
              <w:t>0.15</w:t>
            </w:r>
            <w:r w:rsidRPr="001A0AC6">
              <w:rPr>
                <w:rFonts w:ascii="Times New Roman" w:hAnsi="Times New Roman" w:cs="Times New Roman"/>
                <w:color w:val="000000"/>
                <w:sz w:val="20"/>
                <w:szCs w:val="20"/>
                <w:vertAlign w:val="superscript"/>
              </w:rPr>
              <w:t>0.00</w:t>
            </w:r>
          </w:p>
        </w:tc>
      </w:tr>
    </w:tbl>
    <w:p w14:paraId="3CDB501B" w14:textId="5B2CA685" w:rsidR="003A10A7" w:rsidRPr="001A0AC6" w:rsidRDefault="003A10A7" w:rsidP="003A10A7">
      <w:pPr>
        <w:spacing w:line="360" w:lineRule="auto"/>
        <w:jc w:val="both"/>
        <w:rPr>
          <w:rFonts w:ascii="Times New Roman" w:hAnsi="Times New Roman" w:cs="Times New Roman"/>
          <w:sz w:val="20"/>
          <w:szCs w:val="20"/>
          <w:shd w:val="clear" w:color="auto" w:fill="FFFFFF"/>
          <w:lang w:val="en-US"/>
        </w:rPr>
      </w:pPr>
      <w:r w:rsidRPr="001A0AC6">
        <w:rPr>
          <w:rFonts w:ascii="Times New Roman" w:hAnsi="Times New Roman" w:cs="Times New Roman"/>
          <w:sz w:val="20"/>
          <w:szCs w:val="20"/>
          <w:shd w:val="clear" w:color="auto" w:fill="FFFFFF"/>
          <w:lang w:val="en-US"/>
        </w:rPr>
        <w:t xml:space="preserve">Percentage distribution (atomic %) of chemical elements (CE) in cladodes of </w:t>
      </w:r>
      <w:r w:rsidRPr="001A0AC6">
        <w:rPr>
          <w:rFonts w:ascii="Times New Roman" w:hAnsi="Times New Roman" w:cs="Times New Roman"/>
          <w:bCs/>
          <w:i/>
          <w:iCs/>
          <w:sz w:val="20"/>
          <w:szCs w:val="20"/>
          <w:lang w:val="en-US"/>
        </w:rPr>
        <w:t>Selenicereus undatus</w:t>
      </w:r>
      <w:r w:rsidRPr="001A0AC6">
        <w:rPr>
          <w:rFonts w:ascii="Times New Roman" w:hAnsi="Times New Roman" w:cs="Times New Roman"/>
          <w:bCs/>
          <w:sz w:val="20"/>
          <w:szCs w:val="20"/>
          <w:lang w:val="en-US"/>
        </w:rPr>
        <w:t xml:space="preserve"> (Haw.) D.R.</w:t>
      </w:r>
      <w:r w:rsidR="0064654D">
        <w:rPr>
          <w:rFonts w:ascii="Times New Roman" w:hAnsi="Times New Roman" w:cs="Times New Roman"/>
          <w:bCs/>
          <w:sz w:val="20"/>
          <w:szCs w:val="20"/>
          <w:lang w:val="en-US"/>
        </w:rPr>
        <w:t xml:space="preserve"> </w:t>
      </w:r>
      <w:r w:rsidRPr="001A0AC6">
        <w:rPr>
          <w:rFonts w:ascii="Times New Roman" w:hAnsi="Times New Roman" w:cs="Times New Roman"/>
          <w:bCs/>
          <w:sz w:val="20"/>
          <w:szCs w:val="20"/>
          <w:lang w:val="en-US"/>
        </w:rPr>
        <w:t xml:space="preserve">Hunt and </w:t>
      </w:r>
      <w:r w:rsidRPr="001A0AC6">
        <w:rPr>
          <w:rFonts w:ascii="Times New Roman" w:hAnsi="Times New Roman" w:cs="Times New Roman"/>
          <w:bCs/>
          <w:i/>
          <w:iCs/>
          <w:sz w:val="20"/>
          <w:szCs w:val="20"/>
          <w:lang w:val="en-US"/>
        </w:rPr>
        <w:t xml:space="preserve">Hylocereus </w:t>
      </w:r>
      <w:proofErr w:type="spellStart"/>
      <w:r w:rsidRPr="001A0AC6">
        <w:rPr>
          <w:rFonts w:ascii="Times New Roman" w:hAnsi="Times New Roman" w:cs="Times New Roman"/>
          <w:bCs/>
          <w:i/>
          <w:iCs/>
          <w:sz w:val="20"/>
          <w:szCs w:val="20"/>
          <w:lang w:val="en-US"/>
        </w:rPr>
        <w:t>polyrhizus</w:t>
      </w:r>
      <w:proofErr w:type="spellEnd"/>
      <w:r w:rsidRPr="001A0AC6">
        <w:rPr>
          <w:rFonts w:ascii="Times New Roman" w:hAnsi="Times New Roman" w:cs="Times New Roman"/>
          <w:bCs/>
          <w:sz w:val="20"/>
          <w:szCs w:val="20"/>
          <w:lang w:val="en-US"/>
        </w:rPr>
        <w:t xml:space="preserve"> (Salm-Dyck) R.</w:t>
      </w:r>
      <w:r w:rsidR="0064654D">
        <w:rPr>
          <w:rFonts w:ascii="Times New Roman" w:hAnsi="Times New Roman" w:cs="Times New Roman"/>
          <w:bCs/>
          <w:sz w:val="20"/>
          <w:szCs w:val="20"/>
          <w:lang w:val="en-US"/>
        </w:rPr>
        <w:t xml:space="preserve"> </w:t>
      </w:r>
      <w:r w:rsidRPr="001A0AC6">
        <w:rPr>
          <w:rFonts w:ascii="Times New Roman" w:hAnsi="Times New Roman" w:cs="Times New Roman"/>
          <w:bCs/>
          <w:sz w:val="20"/>
          <w:szCs w:val="20"/>
          <w:lang w:val="en-US"/>
        </w:rPr>
        <w:t>Bauer</w:t>
      </w:r>
      <w:r w:rsidRPr="001A0AC6">
        <w:rPr>
          <w:rFonts w:ascii="Times New Roman" w:hAnsi="Times New Roman" w:cs="Times New Roman"/>
          <w:sz w:val="20"/>
          <w:szCs w:val="20"/>
          <w:shd w:val="clear" w:color="auto" w:fill="FFFFFF"/>
          <w:lang w:val="en-US"/>
        </w:rPr>
        <w:t xml:space="preserve">. Values are expressed as mean ± standard error (n = 3). CR = central ribs; RM = rib margins. </w:t>
      </w:r>
    </w:p>
    <w:p w14:paraId="449CDD4C" w14:textId="77777777" w:rsidR="003A10A7" w:rsidRPr="00D31F1E" w:rsidRDefault="003A10A7" w:rsidP="003A10A7">
      <w:pPr>
        <w:spacing w:after="0" w:line="360" w:lineRule="auto"/>
        <w:jc w:val="both"/>
        <w:rPr>
          <w:sz w:val="24"/>
          <w:szCs w:val="24"/>
          <w:lang w:val="en-US"/>
        </w:rPr>
      </w:pPr>
    </w:p>
    <w:p w14:paraId="6DC47415" w14:textId="77777777" w:rsidR="006E5C85" w:rsidRPr="006E5C85" w:rsidRDefault="00A812DC" w:rsidP="006E5C8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highlight w:val="yellow"/>
          <w:lang w:val="en-US"/>
        </w:rPr>
      </w:pPr>
      <w:r>
        <w:rPr>
          <w:rFonts w:ascii="Times New Roman" w:hAnsi="Times New Roman" w:cs="Times New Roman"/>
          <w:bCs/>
          <w:sz w:val="20"/>
          <w:szCs w:val="20"/>
          <w:highlight w:val="yellow"/>
          <w:lang w:val="en-US"/>
        </w:rPr>
        <w:tab/>
      </w:r>
      <w:r w:rsidR="006E5C85" w:rsidRPr="006E5C85">
        <w:rPr>
          <w:rFonts w:ascii="Times New Roman" w:hAnsi="Times New Roman" w:cs="Times New Roman"/>
          <w:bCs/>
          <w:sz w:val="20"/>
          <w:szCs w:val="20"/>
          <w:highlight w:val="yellow"/>
          <w:lang w:val="en-US"/>
        </w:rPr>
        <w:t xml:space="preserve">Potassium (K) was the predominant mineral under all evaluated conditions, particularly under blue light, where </w:t>
      </w:r>
      <w:r w:rsidR="006E5C85" w:rsidRPr="006E5C85">
        <w:rPr>
          <w:rFonts w:ascii="Times New Roman" w:hAnsi="Times New Roman" w:cs="Times New Roman"/>
          <w:bCs/>
          <w:i/>
          <w:iCs/>
          <w:sz w:val="20"/>
          <w:szCs w:val="20"/>
          <w:highlight w:val="yellow"/>
          <w:lang w:val="en-US"/>
        </w:rPr>
        <w:t>S. undatus</w:t>
      </w:r>
      <w:r w:rsidR="006E5C85" w:rsidRPr="006E5C85">
        <w:rPr>
          <w:rFonts w:ascii="Times New Roman" w:hAnsi="Times New Roman" w:cs="Times New Roman"/>
          <w:bCs/>
          <w:sz w:val="20"/>
          <w:szCs w:val="20"/>
          <w:highlight w:val="yellow"/>
          <w:lang w:val="en-US"/>
        </w:rPr>
        <w:t xml:space="preserve"> reached 74.55% in the rib margins (RM) and 70.35% in the central ribs (CR). In </w:t>
      </w:r>
      <w:r w:rsidR="006E5C85" w:rsidRPr="006E5C85">
        <w:rPr>
          <w:rFonts w:ascii="Times New Roman" w:hAnsi="Times New Roman" w:cs="Times New Roman"/>
          <w:bCs/>
          <w:i/>
          <w:iCs/>
          <w:sz w:val="20"/>
          <w:szCs w:val="20"/>
          <w:highlight w:val="yellow"/>
          <w:lang w:val="en-US"/>
        </w:rPr>
        <w:t xml:space="preserve">H. </w:t>
      </w:r>
      <w:proofErr w:type="spellStart"/>
      <w:r w:rsidR="006E5C85" w:rsidRPr="006E5C85">
        <w:rPr>
          <w:rFonts w:ascii="Times New Roman" w:hAnsi="Times New Roman" w:cs="Times New Roman"/>
          <w:bCs/>
          <w:i/>
          <w:iCs/>
          <w:sz w:val="20"/>
          <w:szCs w:val="20"/>
          <w:highlight w:val="yellow"/>
          <w:lang w:val="en-US"/>
        </w:rPr>
        <w:t>polyrhizus</w:t>
      </w:r>
      <w:proofErr w:type="spellEnd"/>
      <w:r w:rsidR="006E5C85" w:rsidRPr="006E5C85">
        <w:rPr>
          <w:rFonts w:ascii="Times New Roman" w:hAnsi="Times New Roman" w:cs="Times New Roman"/>
          <w:bCs/>
          <w:sz w:val="20"/>
          <w:szCs w:val="20"/>
          <w:highlight w:val="yellow"/>
          <w:lang w:val="en-US"/>
        </w:rPr>
        <w:t>, K concentrations were also high, reaching 69.69% under white light in the CR and 66.43% under blue light in the RM (Table 4).</w:t>
      </w:r>
    </w:p>
    <w:p w14:paraId="24A63680" w14:textId="7A469D86" w:rsidR="006E5C85" w:rsidRPr="006E5C85" w:rsidRDefault="006E5C85" w:rsidP="006E5C8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highlight w:val="yellow"/>
          <w:lang w:val="en-US"/>
        </w:rPr>
      </w:pPr>
      <w:r>
        <w:rPr>
          <w:rFonts w:ascii="Times New Roman" w:hAnsi="Times New Roman" w:cs="Times New Roman"/>
          <w:bCs/>
          <w:sz w:val="20"/>
          <w:szCs w:val="20"/>
          <w:highlight w:val="yellow"/>
          <w:lang w:val="en-US"/>
        </w:rPr>
        <w:tab/>
      </w:r>
      <w:r w:rsidRPr="006E5C85">
        <w:rPr>
          <w:rFonts w:ascii="Times New Roman" w:hAnsi="Times New Roman" w:cs="Times New Roman"/>
          <w:bCs/>
          <w:sz w:val="20"/>
          <w:szCs w:val="20"/>
          <w:highlight w:val="yellow"/>
          <w:lang w:val="en-US"/>
        </w:rPr>
        <w:t xml:space="preserve">The elevated K values highlight its importance as a major mineral constituent involved in plant cellular functions and osmotic regulation (Pinho et al., 2017). In </w:t>
      </w:r>
      <w:r w:rsidRPr="006E5C85">
        <w:rPr>
          <w:rFonts w:ascii="Times New Roman" w:hAnsi="Times New Roman" w:cs="Times New Roman"/>
          <w:bCs/>
          <w:i/>
          <w:iCs/>
          <w:sz w:val="20"/>
          <w:szCs w:val="20"/>
          <w:highlight w:val="yellow"/>
          <w:lang w:val="en-US"/>
        </w:rPr>
        <w:t>Selenicereus undatus</w:t>
      </w:r>
      <w:r w:rsidRPr="006E5C85">
        <w:rPr>
          <w:rFonts w:ascii="Times New Roman" w:hAnsi="Times New Roman" w:cs="Times New Roman"/>
          <w:bCs/>
          <w:sz w:val="20"/>
          <w:szCs w:val="20"/>
          <w:highlight w:val="yellow"/>
          <w:lang w:val="en-US"/>
        </w:rPr>
        <w:t xml:space="preserve">, higher K levels were observed under red light, while in </w:t>
      </w:r>
      <w:r w:rsidRPr="006E5C85">
        <w:rPr>
          <w:rFonts w:ascii="Times New Roman" w:hAnsi="Times New Roman" w:cs="Times New Roman"/>
          <w:bCs/>
          <w:i/>
          <w:iCs/>
          <w:sz w:val="20"/>
          <w:szCs w:val="20"/>
          <w:highlight w:val="yellow"/>
          <w:lang w:val="en-US"/>
        </w:rPr>
        <w:t xml:space="preserve">Hylocereus </w:t>
      </w:r>
      <w:proofErr w:type="spellStart"/>
      <w:r w:rsidRPr="006E5C85">
        <w:rPr>
          <w:rFonts w:ascii="Times New Roman" w:hAnsi="Times New Roman" w:cs="Times New Roman"/>
          <w:bCs/>
          <w:i/>
          <w:iCs/>
          <w:sz w:val="20"/>
          <w:szCs w:val="20"/>
          <w:highlight w:val="yellow"/>
          <w:lang w:val="en-US"/>
        </w:rPr>
        <w:t>polyrhizus</w:t>
      </w:r>
      <w:proofErr w:type="spellEnd"/>
      <w:r w:rsidRPr="006E5C85">
        <w:rPr>
          <w:rFonts w:ascii="Times New Roman" w:hAnsi="Times New Roman" w:cs="Times New Roman"/>
          <w:bCs/>
          <w:sz w:val="20"/>
          <w:szCs w:val="20"/>
          <w:highlight w:val="yellow"/>
          <w:lang w:val="en-US"/>
        </w:rPr>
        <w:t xml:space="preserve"> the highest concentration occurred under white light, indicating species </w:t>
      </w:r>
      <w:r w:rsidRPr="0058723E">
        <w:rPr>
          <w:rFonts w:ascii="Times New Roman" w:hAnsi="Times New Roman" w:cs="Times New Roman"/>
          <w:bCs/>
          <w:sz w:val="20"/>
          <w:szCs w:val="20"/>
          <w:highlight w:val="yellow"/>
          <w:lang w:val="en-US"/>
        </w:rPr>
        <w:t xml:space="preserve">and treatment-dependent variation </w:t>
      </w:r>
      <w:r w:rsidRPr="006E5C85">
        <w:rPr>
          <w:rFonts w:ascii="Times New Roman" w:hAnsi="Times New Roman" w:cs="Times New Roman"/>
          <w:bCs/>
          <w:sz w:val="20"/>
          <w:szCs w:val="20"/>
          <w:highlight w:val="yellow"/>
          <w:lang w:val="en-US"/>
        </w:rPr>
        <w:t>in elemental composition (Lima et al., 2021; Soufi et al., 2023).</w:t>
      </w:r>
    </w:p>
    <w:p w14:paraId="1785A37F" w14:textId="2E1BB6A9" w:rsidR="006E5C85" w:rsidRPr="006E5C85" w:rsidRDefault="006E5C85" w:rsidP="006E5C8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highlight w:val="yellow"/>
          <w:lang w:val="en-US"/>
        </w:rPr>
      </w:pPr>
      <w:r>
        <w:rPr>
          <w:rFonts w:ascii="Times New Roman" w:hAnsi="Times New Roman" w:cs="Times New Roman"/>
          <w:bCs/>
          <w:sz w:val="20"/>
          <w:szCs w:val="20"/>
          <w:highlight w:val="yellow"/>
          <w:lang w:val="en-US"/>
        </w:rPr>
        <w:lastRenderedPageBreak/>
        <w:tab/>
      </w:r>
      <w:r w:rsidRPr="006E5C85">
        <w:rPr>
          <w:rFonts w:ascii="Times New Roman" w:hAnsi="Times New Roman" w:cs="Times New Roman"/>
          <w:bCs/>
          <w:sz w:val="20"/>
          <w:szCs w:val="20"/>
          <w:highlight w:val="yellow"/>
          <w:lang w:val="en-US"/>
        </w:rPr>
        <w:t xml:space="preserve">The highest calcium (Ca) contents were observed in </w:t>
      </w:r>
      <w:r w:rsidRPr="006E5C85">
        <w:rPr>
          <w:rFonts w:ascii="Times New Roman" w:hAnsi="Times New Roman" w:cs="Times New Roman"/>
          <w:bCs/>
          <w:i/>
          <w:iCs/>
          <w:sz w:val="20"/>
          <w:szCs w:val="20"/>
          <w:highlight w:val="yellow"/>
          <w:lang w:val="en-US"/>
        </w:rPr>
        <w:t xml:space="preserve">H. </w:t>
      </w:r>
      <w:proofErr w:type="spellStart"/>
      <w:r w:rsidRPr="006E5C85">
        <w:rPr>
          <w:rFonts w:ascii="Times New Roman" w:hAnsi="Times New Roman" w:cs="Times New Roman"/>
          <w:bCs/>
          <w:i/>
          <w:iCs/>
          <w:sz w:val="20"/>
          <w:szCs w:val="20"/>
          <w:highlight w:val="yellow"/>
          <w:lang w:val="en-US"/>
        </w:rPr>
        <w:t>polyrhizus</w:t>
      </w:r>
      <w:proofErr w:type="spellEnd"/>
      <w:r w:rsidRPr="006E5C85">
        <w:rPr>
          <w:rFonts w:ascii="Times New Roman" w:hAnsi="Times New Roman" w:cs="Times New Roman"/>
          <w:bCs/>
          <w:sz w:val="20"/>
          <w:szCs w:val="20"/>
          <w:highlight w:val="yellow"/>
          <w:lang w:val="en-US"/>
        </w:rPr>
        <w:t xml:space="preserve"> under purple light, in both the central ribs (CR) and rib margins (RM). In </w:t>
      </w:r>
      <w:r w:rsidRPr="006E5C85">
        <w:rPr>
          <w:rFonts w:ascii="Times New Roman" w:hAnsi="Times New Roman" w:cs="Times New Roman"/>
          <w:bCs/>
          <w:i/>
          <w:iCs/>
          <w:sz w:val="20"/>
          <w:szCs w:val="20"/>
          <w:highlight w:val="yellow"/>
          <w:lang w:val="en-US"/>
        </w:rPr>
        <w:t>S. undatus</w:t>
      </w:r>
      <w:r w:rsidRPr="006E5C85">
        <w:rPr>
          <w:rFonts w:ascii="Times New Roman" w:hAnsi="Times New Roman" w:cs="Times New Roman"/>
          <w:bCs/>
          <w:sz w:val="20"/>
          <w:szCs w:val="20"/>
          <w:highlight w:val="yellow"/>
          <w:lang w:val="en-US"/>
        </w:rPr>
        <w:t>, maximum Ca content occurred under blue light in the CR (27.88%) and under white light in the RM (25.73%) (Table 4). These results indicate differences in Ca distribution between species and LED treatments. Previous studies have reported that light conditions may influence Ca accumulation in plant tissues (Soufi et al., 2023; Ahmed et al., 2023); however, no physiological measurements were conducted in the present study to further explain these patterns.</w:t>
      </w:r>
    </w:p>
    <w:p w14:paraId="7CDDEE30" w14:textId="4CCC2332" w:rsidR="006E5C85" w:rsidRPr="006E5C85" w:rsidRDefault="006E5C85" w:rsidP="006E5C8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highlight w:val="yellow"/>
          <w:lang w:val="en-US"/>
        </w:rPr>
      </w:pPr>
      <w:r>
        <w:rPr>
          <w:rFonts w:ascii="Times New Roman" w:hAnsi="Times New Roman" w:cs="Times New Roman"/>
          <w:bCs/>
          <w:sz w:val="20"/>
          <w:szCs w:val="20"/>
          <w:highlight w:val="yellow"/>
          <w:lang w:val="en-US"/>
        </w:rPr>
        <w:tab/>
      </w:r>
      <w:r w:rsidRPr="006E5C85">
        <w:rPr>
          <w:rFonts w:ascii="Times New Roman" w:hAnsi="Times New Roman" w:cs="Times New Roman"/>
          <w:bCs/>
          <w:sz w:val="20"/>
          <w:szCs w:val="20"/>
          <w:highlight w:val="yellow"/>
          <w:lang w:val="en-US"/>
        </w:rPr>
        <w:t xml:space="preserve">Sulfur (S) content was highest in </w:t>
      </w:r>
      <w:r w:rsidRPr="006E5C85">
        <w:rPr>
          <w:rFonts w:ascii="Times New Roman" w:hAnsi="Times New Roman" w:cs="Times New Roman"/>
          <w:bCs/>
          <w:i/>
          <w:iCs/>
          <w:sz w:val="20"/>
          <w:szCs w:val="20"/>
          <w:highlight w:val="yellow"/>
          <w:lang w:val="en-US"/>
        </w:rPr>
        <w:t xml:space="preserve">H. </w:t>
      </w:r>
      <w:proofErr w:type="spellStart"/>
      <w:r w:rsidRPr="006E5C85">
        <w:rPr>
          <w:rFonts w:ascii="Times New Roman" w:hAnsi="Times New Roman" w:cs="Times New Roman"/>
          <w:bCs/>
          <w:i/>
          <w:iCs/>
          <w:sz w:val="20"/>
          <w:szCs w:val="20"/>
          <w:highlight w:val="yellow"/>
          <w:lang w:val="en-US"/>
        </w:rPr>
        <w:t>polyrhizus</w:t>
      </w:r>
      <w:proofErr w:type="spellEnd"/>
      <w:r w:rsidRPr="006E5C85">
        <w:rPr>
          <w:rFonts w:ascii="Times New Roman" w:hAnsi="Times New Roman" w:cs="Times New Roman"/>
          <w:bCs/>
          <w:sz w:val="20"/>
          <w:szCs w:val="20"/>
          <w:highlight w:val="yellow"/>
          <w:lang w:val="en-US"/>
        </w:rPr>
        <w:t xml:space="preserve"> under red light (26.91% in the central ribs [CR] and 25.86% in the rib margins [RM]), whereas in </w:t>
      </w:r>
      <w:r w:rsidRPr="006E5C85">
        <w:rPr>
          <w:rFonts w:ascii="Times New Roman" w:hAnsi="Times New Roman" w:cs="Times New Roman"/>
          <w:bCs/>
          <w:i/>
          <w:iCs/>
          <w:sz w:val="20"/>
          <w:szCs w:val="20"/>
          <w:highlight w:val="yellow"/>
          <w:lang w:val="en-US"/>
        </w:rPr>
        <w:t>S. undatus</w:t>
      </w:r>
      <w:r w:rsidRPr="006E5C85">
        <w:rPr>
          <w:rFonts w:ascii="Times New Roman" w:hAnsi="Times New Roman" w:cs="Times New Roman"/>
          <w:bCs/>
          <w:sz w:val="20"/>
          <w:szCs w:val="20"/>
          <w:highlight w:val="yellow"/>
          <w:lang w:val="en-US"/>
        </w:rPr>
        <w:t xml:space="preserve"> it was highest under white light (7.37% in the CR and 6.06% in the RM) (Table 4). These results further demonstrate variation in elemental composition between species under different LED treatments. Sulfur levels are known to vary under different environmental conditions (Soufi et al., 2023), although no functional analyses were performed in the present study.</w:t>
      </w:r>
    </w:p>
    <w:p w14:paraId="6907AA56" w14:textId="725EFBC7" w:rsidR="006E5C85" w:rsidRPr="006E5C85" w:rsidRDefault="006E5C85" w:rsidP="006E5C8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highlight w:val="yellow"/>
          <w:lang w:val="en-US"/>
        </w:rPr>
      </w:pPr>
      <w:r>
        <w:rPr>
          <w:rFonts w:ascii="Times New Roman" w:hAnsi="Times New Roman" w:cs="Times New Roman"/>
          <w:bCs/>
          <w:sz w:val="20"/>
          <w:szCs w:val="20"/>
          <w:highlight w:val="yellow"/>
          <w:lang w:val="en-US"/>
        </w:rPr>
        <w:tab/>
      </w:r>
      <w:r w:rsidRPr="006E5C85">
        <w:rPr>
          <w:rFonts w:ascii="Times New Roman" w:hAnsi="Times New Roman" w:cs="Times New Roman"/>
          <w:bCs/>
          <w:sz w:val="20"/>
          <w:szCs w:val="20"/>
          <w:highlight w:val="yellow"/>
          <w:lang w:val="en-US"/>
        </w:rPr>
        <w:t xml:space="preserve">Magnesium (Mg), phosphorus (P), and chlorine (Cl) contents were higher in </w:t>
      </w:r>
      <w:r w:rsidRPr="006E5C85">
        <w:rPr>
          <w:rFonts w:ascii="Times New Roman" w:hAnsi="Times New Roman" w:cs="Times New Roman"/>
          <w:bCs/>
          <w:i/>
          <w:iCs/>
          <w:sz w:val="20"/>
          <w:szCs w:val="20"/>
          <w:highlight w:val="yellow"/>
          <w:lang w:val="en-US"/>
        </w:rPr>
        <w:t>S. undatus</w:t>
      </w:r>
      <w:r w:rsidRPr="006E5C85">
        <w:rPr>
          <w:rFonts w:ascii="Times New Roman" w:hAnsi="Times New Roman" w:cs="Times New Roman"/>
          <w:bCs/>
          <w:sz w:val="20"/>
          <w:szCs w:val="20"/>
          <w:highlight w:val="yellow"/>
          <w:lang w:val="en-US"/>
        </w:rPr>
        <w:t xml:space="preserve"> under purple light in the central ribs (CR) and under white light in the rib margins (RM). In </w:t>
      </w:r>
      <w:r w:rsidRPr="006E5C85">
        <w:rPr>
          <w:rFonts w:ascii="Times New Roman" w:hAnsi="Times New Roman" w:cs="Times New Roman"/>
          <w:bCs/>
          <w:i/>
          <w:iCs/>
          <w:sz w:val="20"/>
          <w:szCs w:val="20"/>
          <w:highlight w:val="yellow"/>
          <w:lang w:val="en-US"/>
        </w:rPr>
        <w:t xml:space="preserve">H. </w:t>
      </w:r>
      <w:proofErr w:type="spellStart"/>
      <w:r w:rsidRPr="006E5C85">
        <w:rPr>
          <w:rFonts w:ascii="Times New Roman" w:hAnsi="Times New Roman" w:cs="Times New Roman"/>
          <w:bCs/>
          <w:i/>
          <w:iCs/>
          <w:sz w:val="20"/>
          <w:szCs w:val="20"/>
          <w:highlight w:val="yellow"/>
          <w:lang w:val="en-US"/>
        </w:rPr>
        <w:t>polyrhizus</w:t>
      </w:r>
      <w:proofErr w:type="spellEnd"/>
      <w:r w:rsidRPr="006E5C85">
        <w:rPr>
          <w:rFonts w:ascii="Times New Roman" w:hAnsi="Times New Roman" w:cs="Times New Roman"/>
          <w:bCs/>
          <w:sz w:val="20"/>
          <w:szCs w:val="20"/>
          <w:highlight w:val="yellow"/>
          <w:lang w:val="en-US"/>
        </w:rPr>
        <w:t>, Mg and P contents were highest under red light (12.05% and 8.05% in the CR; 9.41% and 5.64% in the RM, respectively). Chlorine (Cl) content was highest under white light in the CR (7.55%) and under red light in the RM (7.46%) (Table 4). The observed differences indicate treatment</w:t>
      </w:r>
      <w:r w:rsidR="0058723E">
        <w:rPr>
          <w:rFonts w:ascii="Times New Roman" w:hAnsi="Times New Roman" w:cs="Times New Roman"/>
          <w:bCs/>
          <w:sz w:val="20"/>
          <w:szCs w:val="20"/>
          <w:highlight w:val="yellow"/>
          <w:lang w:val="en-US"/>
        </w:rPr>
        <w:t>-</w:t>
      </w:r>
      <w:r w:rsidRPr="006E5C85">
        <w:rPr>
          <w:rFonts w:ascii="Times New Roman" w:hAnsi="Times New Roman" w:cs="Times New Roman"/>
          <w:bCs/>
          <w:sz w:val="20"/>
          <w:szCs w:val="20"/>
          <w:highlight w:val="yellow"/>
          <w:lang w:val="en-US"/>
        </w:rPr>
        <w:t>dependent variation in mineral distribution between species.</w:t>
      </w:r>
    </w:p>
    <w:p w14:paraId="661E8BAB" w14:textId="4C3AE491" w:rsidR="006E5C85" w:rsidRPr="006E5C85" w:rsidRDefault="006E5C85" w:rsidP="006E5C8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highlight w:val="yellow"/>
          <w:lang w:val="en-US"/>
        </w:rPr>
      </w:pPr>
      <w:r>
        <w:rPr>
          <w:rFonts w:ascii="Times New Roman" w:hAnsi="Times New Roman" w:cs="Times New Roman"/>
          <w:bCs/>
          <w:sz w:val="20"/>
          <w:szCs w:val="20"/>
          <w:highlight w:val="yellow"/>
          <w:lang w:val="en-US"/>
        </w:rPr>
        <w:tab/>
      </w:r>
      <w:r w:rsidRPr="006E5C85">
        <w:rPr>
          <w:rFonts w:ascii="Times New Roman" w:hAnsi="Times New Roman" w:cs="Times New Roman"/>
          <w:bCs/>
          <w:sz w:val="20"/>
          <w:szCs w:val="20"/>
          <w:highlight w:val="yellow"/>
          <w:lang w:val="en-US"/>
        </w:rPr>
        <w:t xml:space="preserve">Regarding micronutrients, Fe showed the highest levels in </w:t>
      </w:r>
      <w:r w:rsidRPr="006E5C85">
        <w:rPr>
          <w:rFonts w:ascii="Times New Roman" w:hAnsi="Times New Roman" w:cs="Times New Roman"/>
          <w:bCs/>
          <w:i/>
          <w:iCs/>
          <w:sz w:val="20"/>
          <w:szCs w:val="20"/>
          <w:highlight w:val="yellow"/>
          <w:lang w:val="en-US"/>
        </w:rPr>
        <w:t xml:space="preserve">H. </w:t>
      </w:r>
      <w:proofErr w:type="spellStart"/>
      <w:r w:rsidRPr="006E5C85">
        <w:rPr>
          <w:rFonts w:ascii="Times New Roman" w:hAnsi="Times New Roman" w:cs="Times New Roman"/>
          <w:bCs/>
          <w:i/>
          <w:iCs/>
          <w:sz w:val="20"/>
          <w:szCs w:val="20"/>
          <w:highlight w:val="yellow"/>
          <w:lang w:val="en-US"/>
        </w:rPr>
        <w:t>polyrhizus</w:t>
      </w:r>
      <w:proofErr w:type="spellEnd"/>
      <w:r w:rsidRPr="006E5C85">
        <w:rPr>
          <w:rFonts w:ascii="Times New Roman" w:hAnsi="Times New Roman" w:cs="Times New Roman"/>
          <w:bCs/>
          <w:sz w:val="20"/>
          <w:szCs w:val="20"/>
          <w:highlight w:val="yellow"/>
          <w:lang w:val="en-US"/>
        </w:rPr>
        <w:t xml:space="preserve"> under white light in both the CR and RM. Mn content peaked in </w:t>
      </w:r>
      <w:r w:rsidRPr="006E5C85">
        <w:rPr>
          <w:rFonts w:ascii="Times New Roman" w:hAnsi="Times New Roman" w:cs="Times New Roman"/>
          <w:bCs/>
          <w:i/>
          <w:iCs/>
          <w:sz w:val="20"/>
          <w:szCs w:val="20"/>
          <w:highlight w:val="yellow"/>
          <w:lang w:val="en-US"/>
        </w:rPr>
        <w:t>S. undatus</w:t>
      </w:r>
      <w:r w:rsidRPr="006E5C85">
        <w:rPr>
          <w:rFonts w:ascii="Times New Roman" w:hAnsi="Times New Roman" w:cs="Times New Roman"/>
          <w:bCs/>
          <w:sz w:val="20"/>
          <w:szCs w:val="20"/>
          <w:highlight w:val="yellow"/>
          <w:lang w:val="en-US"/>
        </w:rPr>
        <w:t xml:space="preserve"> under red light (2.40% in the RM and 1.25% in the CR). Sodium (Na) was not detected in </w:t>
      </w:r>
      <w:r w:rsidRPr="006E5C85">
        <w:rPr>
          <w:rFonts w:ascii="Times New Roman" w:hAnsi="Times New Roman" w:cs="Times New Roman"/>
          <w:bCs/>
          <w:i/>
          <w:iCs/>
          <w:sz w:val="20"/>
          <w:szCs w:val="20"/>
          <w:highlight w:val="yellow"/>
          <w:lang w:val="en-US"/>
        </w:rPr>
        <w:t>S. undatus</w:t>
      </w:r>
      <w:r w:rsidRPr="006E5C85">
        <w:rPr>
          <w:rFonts w:ascii="Times New Roman" w:hAnsi="Times New Roman" w:cs="Times New Roman"/>
          <w:bCs/>
          <w:sz w:val="20"/>
          <w:szCs w:val="20"/>
          <w:highlight w:val="yellow"/>
          <w:lang w:val="en-US"/>
        </w:rPr>
        <w:t xml:space="preserve">, while very low levels were observed in </w:t>
      </w:r>
      <w:r w:rsidRPr="006E5C85">
        <w:rPr>
          <w:rFonts w:ascii="Times New Roman" w:hAnsi="Times New Roman" w:cs="Times New Roman"/>
          <w:bCs/>
          <w:i/>
          <w:iCs/>
          <w:sz w:val="20"/>
          <w:szCs w:val="20"/>
          <w:highlight w:val="yellow"/>
          <w:lang w:val="en-US"/>
        </w:rPr>
        <w:t xml:space="preserve">H. </w:t>
      </w:r>
      <w:proofErr w:type="spellStart"/>
      <w:r w:rsidRPr="006E5C85">
        <w:rPr>
          <w:rFonts w:ascii="Times New Roman" w:hAnsi="Times New Roman" w:cs="Times New Roman"/>
          <w:bCs/>
          <w:i/>
          <w:iCs/>
          <w:sz w:val="20"/>
          <w:szCs w:val="20"/>
          <w:highlight w:val="yellow"/>
          <w:lang w:val="en-US"/>
        </w:rPr>
        <w:t>polyrhizus</w:t>
      </w:r>
      <w:proofErr w:type="spellEnd"/>
      <w:r w:rsidRPr="006E5C85">
        <w:rPr>
          <w:rFonts w:ascii="Times New Roman" w:hAnsi="Times New Roman" w:cs="Times New Roman"/>
          <w:bCs/>
          <w:sz w:val="20"/>
          <w:szCs w:val="20"/>
          <w:highlight w:val="yellow"/>
          <w:lang w:val="en-US"/>
        </w:rPr>
        <w:t xml:space="preserve"> under red light in the CR (0.19%). Zn content in </w:t>
      </w:r>
      <w:r w:rsidRPr="006E5C85">
        <w:rPr>
          <w:rFonts w:ascii="Times New Roman" w:hAnsi="Times New Roman" w:cs="Times New Roman"/>
          <w:bCs/>
          <w:i/>
          <w:iCs/>
          <w:sz w:val="20"/>
          <w:szCs w:val="20"/>
          <w:highlight w:val="yellow"/>
          <w:lang w:val="en-US"/>
        </w:rPr>
        <w:t>S. undatus</w:t>
      </w:r>
      <w:r w:rsidRPr="006E5C85">
        <w:rPr>
          <w:rFonts w:ascii="Times New Roman" w:hAnsi="Times New Roman" w:cs="Times New Roman"/>
          <w:bCs/>
          <w:sz w:val="20"/>
          <w:szCs w:val="20"/>
          <w:highlight w:val="yellow"/>
          <w:lang w:val="en-US"/>
        </w:rPr>
        <w:t xml:space="preserve"> was highest under red light in the RM (0.42%) and under white light in the CR (0.29%), whereas in </w:t>
      </w:r>
      <w:r w:rsidRPr="006E5C85">
        <w:rPr>
          <w:rFonts w:ascii="Times New Roman" w:hAnsi="Times New Roman" w:cs="Times New Roman"/>
          <w:bCs/>
          <w:i/>
          <w:iCs/>
          <w:sz w:val="20"/>
          <w:szCs w:val="20"/>
          <w:highlight w:val="yellow"/>
          <w:lang w:val="en-US"/>
        </w:rPr>
        <w:t xml:space="preserve">H. </w:t>
      </w:r>
      <w:proofErr w:type="spellStart"/>
      <w:r w:rsidRPr="006E5C85">
        <w:rPr>
          <w:rFonts w:ascii="Times New Roman" w:hAnsi="Times New Roman" w:cs="Times New Roman"/>
          <w:bCs/>
          <w:i/>
          <w:iCs/>
          <w:sz w:val="20"/>
          <w:szCs w:val="20"/>
          <w:highlight w:val="yellow"/>
          <w:lang w:val="en-US"/>
        </w:rPr>
        <w:t>polyrhizus</w:t>
      </w:r>
      <w:proofErr w:type="spellEnd"/>
      <w:r w:rsidRPr="006E5C85">
        <w:rPr>
          <w:rFonts w:ascii="Times New Roman" w:hAnsi="Times New Roman" w:cs="Times New Roman"/>
          <w:bCs/>
          <w:sz w:val="20"/>
          <w:szCs w:val="20"/>
          <w:highlight w:val="yellow"/>
          <w:lang w:val="en-US"/>
        </w:rPr>
        <w:t xml:space="preserve"> it reached its highest values under white light in the CR (0.84%) and red light in the RM (0.15%) (Table 4).</w:t>
      </w:r>
    </w:p>
    <w:p w14:paraId="3CE10493" w14:textId="48F98972" w:rsidR="006E5C85" w:rsidRPr="006E5C85" w:rsidRDefault="006E5C85" w:rsidP="006E5C8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highlight w:val="yellow"/>
          <w:lang w:val="en-US"/>
        </w:rPr>
      </w:pPr>
      <w:r>
        <w:rPr>
          <w:rFonts w:ascii="Times New Roman" w:hAnsi="Times New Roman" w:cs="Times New Roman"/>
          <w:bCs/>
          <w:sz w:val="20"/>
          <w:szCs w:val="20"/>
          <w:highlight w:val="yellow"/>
          <w:lang w:val="en-US"/>
        </w:rPr>
        <w:tab/>
      </w:r>
      <w:r w:rsidRPr="006E5C85">
        <w:rPr>
          <w:rFonts w:ascii="Times New Roman" w:hAnsi="Times New Roman" w:cs="Times New Roman"/>
          <w:bCs/>
          <w:sz w:val="20"/>
          <w:szCs w:val="20"/>
          <w:highlight w:val="yellow"/>
          <w:lang w:val="en-US"/>
        </w:rPr>
        <w:t xml:space="preserve">The higher Fe levels observed in </w:t>
      </w:r>
      <w:r w:rsidRPr="006E5C85">
        <w:rPr>
          <w:rFonts w:ascii="Times New Roman" w:hAnsi="Times New Roman" w:cs="Times New Roman"/>
          <w:bCs/>
          <w:i/>
          <w:iCs/>
          <w:sz w:val="20"/>
          <w:szCs w:val="20"/>
          <w:highlight w:val="yellow"/>
          <w:lang w:val="en-US"/>
        </w:rPr>
        <w:t xml:space="preserve">H. </w:t>
      </w:r>
      <w:proofErr w:type="spellStart"/>
      <w:r w:rsidRPr="006E5C85">
        <w:rPr>
          <w:rFonts w:ascii="Times New Roman" w:hAnsi="Times New Roman" w:cs="Times New Roman"/>
          <w:bCs/>
          <w:i/>
          <w:iCs/>
          <w:sz w:val="20"/>
          <w:szCs w:val="20"/>
          <w:highlight w:val="yellow"/>
          <w:lang w:val="en-US"/>
        </w:rPr>
        <w:t>polyrhizus</w:t>
      </w:r>
      <w:proofErr w:type="spellEnd"/>
      <w:r w:rsidRPr="006E5C85">
        <w:rPr>
          <w:rFonts w:ascii="Times New Roman" w:hAnsi="Times New Roman" w:cs="Times New Roman"/>
          <w:bCs/>
          <w:sz w:val="20"/>
          <w:szCs w:val="20"/>
          <w:highlight w:val="yellow"/>
          <w:lang w:val="en-US"/>
        </w:rPr>
        <w:t xml:space="preserve"> under white light reflect differences in micronutrient distribution among treatments and species. Similarly, variation in Mn and Zn contents indicates differential elemental accumulation patterns under the evaluated LED conditions. The relatively low Zn concentrations observed in both species agree with previous reports describing limited Zn accumulation in pitaya tissues (Yasmin et al., 2024). The absence or very low levels of Na in both species indicate low sodium accumulation under the experimental conditions.</w:t>
      </w:r>
    </w:p>
    <w:p w14:paraId="20BA8C26" w14:textId="77777777" w:rsidR="006E5C85" w:rsidRDefault="006E5C85" w:rsidP="006E5C8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color w:val="000000" w:themeColor="text1"/>
          <w:sz w:val="20"/>
          <w:szCs w:val="20"/>
          <w:lang w:val="en-US"/>
        </w:rPr>
      </w:pPr>
    </w:p>
    <w:p w14:paraId="67BE888C" w14:textId="2FE9359D" w:rsidR="00835241" w:rsidRDefault="003A10A7" w:rsidP="006E5C8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lang w:val="en-US"/>
        </w:rPr>
      </w:pPr>
      <w:r w:rsidRPr="001A0AC6">
        <w:rPr>
          <w:rFonts w:ascii="Times New Roman" w:hAnsi="Times New Roman" w:cs="Times New Roman"/>
          <w:color w:val="000000" w:themeColor="text1"/>
          <w:sz w:val="20"/>
          <w:szCs w:val="20"/>
          <w:lang w:val="en-US"/>
        </w:rPr>
        <w:tab/>
      </w:r>
      <w:r w:rsidRPr="001A0AC6">
        <w:rPr>
          <w:rFonts w:ascii="Times New Roman" w:hAnsi="Times New Roman" w:cs="Times New Roman"/>
          <w:bCs/>
          <w:sz w:val="20"/>
          <w:szCs w:val="20"/>
          <w:lang w:val="en-US"/>
        </w:rPr>
        <w:t xml:space="preserve">Principal component analysis (PCA) of the mineral composition of the vascular tissues of </w:t>
      </w:r>
      <w:r w:rsidRPr="001A0AC6">
        <w:rPr>
          <w:rFonts w:ascii="Times New Roman" w:hAnsi="Times New Roman" w:cs="Times New Roman"/>
          <w:bCs/>
          <w:i/>
          <w:iCs/>
          <w:sz w:val="20"/>
          <w:szCs w:val="20"/>
          <w:lang w:val="en-US"/>
        </w:rPr>
        <w:t>S. undatus</w:t>
      </w:r>
      <w:r w:rsidRPr="001A0AC6">
        <w:rPr>
          <w:rFonts w:ascii="Times New Roman" w:hAnsi="Times New Roman" w:cs="Times New Roman"/>
          <w:bCs/>
          <w:sz w:val="20"/>
          <w:szCs w:val="20"/>
          <w:lang w:val="en-US"/>
        </w:rPr>
        <w:t xml:space="preserve"> and </w:t>
      </w:r>
      <w:r w:rsidRPr="001A0AC6">
        <w:rPr>
          <w:rFonts w:ascii="Times New Roman" w:hAnsi="Times New Roman" w:cs="Times New Roman"/>
          <w:bCs/>
          <w:i/>
          <w:iCs/>
          <w:sz w:val="20"/>
          <w:szCs w:val="20"/>
          <w:lang w:val="en-US"/>
        </w:rPr>
        <w:t xml:space="preserve">H. </w:t>
      </w:r>
      <w:proofErr w:type="spellStart"/>
      <w:r w:rsidRPr="001A0AC6">
        <w:rPr>
          <w:rFonts w:ascii="Times New Roman" w:hAnsi="Times New Roman" w:cs="Times New Roman"/>
          <w:bCs/>
          <w:i/>
          <w:iCs/>
          <w:sz w:val="20"/>
          <w:szCs w:val="20"/>
          <w:lang w:val="en-US"/>
        </w:rPr>
        <w:t>polyrhizus</w:t>
      </w:r>
      <w:proofErr w:type="spellEnd"/>
      <w:r w:rsidRPr="001A0AC6">
        <w:rPr>
          <w:rFonts w:ascii="Times New Roman" w:hAnsi="Times New Roman" w:cs="Times New Roman"/>
          <w:bCs/>
          <w:sz w:val="20"/>
          <w:szCs w:val="20"/>
          <w:lang w:val="en-US"/>
        </w:rPr>
        <w:t xml:space="preserve"> after 65 days of </w:t>
      </w:r>
      <w:r w:rsidRPr="001A0AC6">
        <w:rPr>
          <w:rFonts w:ascii="Times New Roman" w:hAnsi="Times New Roman" w:cs="Times New Roman"/>
          <w:bCs/>
          <w:i/>
          <w:iCs/>
          <w:sz w:val="20"/>
          <w:szCs w:val="20"/>
          <w:lang w:val="en-US"/>
        </w:rPr>
        <w:t>in vitro</w:t>
      </w:r>
      <w:r w:rsidRPr="001A0AC6">
        <w:rPr>
          <w:rFonts w:ascii="Times New Roman" w:hAnsi="Times New Roman" w:cs="Times New Roman"/>
          <w:bCs/>
          <w:sz w:val="20"/>
          <w:szCs w:val="20"/>
          <w:lang w:val="en-US"/>
        </w:rPr>
        <w:t xml:space="preserve"> cultivation under different light qualities [white (WL), blue (BL), purple (PL), and red (RL)] explained 55.8% of the total variance across the first two principal components, indicating a strong contribution of variables associated with nutrient uptake under the different treatments (Figure 3A–B).</w:t>
      </w:r>
    </w:p>
    <w:p w14:paraId="6CD196AA" w14:textId="458996CB" w:rsidR="00835241" w:rsidRDefault="00047D11" w:rsidP="0085520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lang w:val="en-US"/>
        </w:rPr>
      </w:pPr>
      <w:r w:rsidRPr="00D355C0">
        <w:rPr>
          <w:noProof/>
          <w:sz w:val="24"/>
          <w:szCs w:val="24"/>
        </w:rPr>
        <w:lastRenderedPageBreak/>
        <w:drawing>
          <wp:anchor distT="0" distB="0" distL="114300" distR="114300" simplePos="0" relativeHeight="251663360" behindDoc="0" locked="0" layoutInCell="1" allowOverlap="1" wp14:anchorId="48C09747" wp14:editId="206F9E76">
            <wp:simplePos x="0" y="0"/>
            <wp:positionH relativeFrom="margin">
              <wp:align>right</wp:align>
            </wp:positionH>
            <wp:positionV relativeFrom="paragraph">
              <wp:posOffset>259715</wp:posOffset>
            </wp:positionV>
            <wp:extent cx="5731510" cy="2400935"/>
            <wp:effectExtent l="0" t="0" r="2540" b="0"/>
            <wp:wrapSquare wrapText="bothSides"/>
            <wp:docPr id="4839094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909454" name="Picture 483909454"/>
                    <pic:cNvPicPr/>
                  </pic:nvPicPr>
                  <pic:blipFill>
                    <a:blip r:embed="rId12">
                      <a:extLst>
                        <a:ext uri="{28A0092B-C50C-407E-A947-70E740481C1C}">
                          <a14:useLocalDpi xmlns:a14="http://schemas.microsoft.com/office/drawing/2010/main" val="0"/>
                        </a:ext>
                      </a:extLst>
                    </a:blip>
                    <a:stretch>
                      <a:fillRect/>
                    </a:stretch>
                  </pic:blipFill>
                  <pic:spPr>
                    <a:xfrm>
                      <a:off x="0" y="0"/>
                      <a:ext cx="5731510" cy="2400935"/>
                    </a:xfrm>
                    <a:prstGeom prst="rect">
                      <a:avLst/>
                    </a:prstGeom>
                  </pic:spPr>
                </pic:pic>
              </a:graphicData>
            </a:graphic>
            <wp14:sizeRelH relativeFrom="page">
              <wp14:pctWidth>0</wp14:pctWidth>
            </wp14:sizeRelH>
            <wp14:sizeRelV relativeFrom="page">
              <wp14:pctHeight>0</wp14:pctHeight>
            </wp14:sizeRelV>
          </wp:anchor>
        </w:drawing>
      </w:r>
    </w:p>
    <w:p w14:paraId="79A1E97F" w14:textId="51585A35" w:rsidR="00835241" w:rsidRDefault="00835241" w:rsidP="0085520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lang w:val="en-US"/>
        </w:rPr>
      </w:pPr>
    </w:p>
    <w:p w14:paraId="5AAF6DD1" w14:textId="236D5B81" w:rsidR="00734458" w:rsidRPr="00734458" w:rsidRDefault="00734458" w:rsidP="0073445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lang w:val="en-US"/>
        </w:rPr>
      </w:pPr>
      <w:r w:rsidRPr="00734458">
        <w:rPr>
          <w:rFonts w:ascii="Times New Roman" w:hAnsi="Times New Roman" w:cs="Times New Roman"/>
          <w:bCs/>
          <w:sz w:val="20"/>
          <w:szCs w:val="20"/>
          <w:lang w:val="en-US"/>
        </w:rPr>
        <w:t xml:space="preserve">Figure 3A–B. Principal component analysis (PCA) of the mineral composition of vascular tissues of cladodes (central </w:t>
      </w:r>
      <w:r w:rsidR="00814B1C">
        <w:rPr>
          <w:rFonts w:ascii="Times New Roman" w:hAnsi="Times New Roman" w:cs="Times New Roman"/>
          <w:bCs/>
          <w:sz w:val="20"/>
          <w:szCs w:val="20"/>
          <w:lang w:val="en-US"/>
        </w:rPr>
        <w:t>rib</w:t>
      </w:r>
      <w:r w:rsidRPr="00734458">
        <w:rPr>
          <w:rFonts w:ascii="Times New Roman" w:hAnsi="Times New Roman" w:cs="Times New Roman"/>
          <w:bCs/>
          <w:sz w:val="20"/>
          <w:szCs w:val="20"/>
          <w:lang w:val="en-US"/>
        </w:rPr>
        <w:t xml:space="preserve">s and </w:t>
      </w:r>
      <w:r w:rsidR="00814B1C">
        <w:rPr>
          <w:rFonts w:ascii="Times New Roman" w:hAnsi="Times New Roman" w:cs="Times New Roman"/>
          <w:bCs/>
          <w:sz w:val="20"/>
          <w:szCs w:val="20"/>
          <w:lang w:val="en-US"/>
        </w:rPr>
        <w:t>rib</w:t>
      </w:r>
      <w:r w:rsidRPr="00734458">
        <w:rPr>
          <w:rFonts w:ascii="Times New Roman" w:hAnsi="Times New Roman" w:cs="Times New Roman"/>
          <w:bCs/>
          <w:sz w:val="20"/>
          <w:szCs w:val="20"/>
          <w:lang w:val="en-US"/>
        </w:rPr>
        <w:t xml:space="preserve"> margins) of pitaya species (Sp.) </w:t>
      </w:r>
      <w:r w:rsidRPr="00734458">
        <w:rPr>
          <w:rFonts w:ascii="Times New Roman" w:hAnsi="Times New Roman" w:cs="Times New Roman"/>
          <w:bCs/>
          <w:i/>
          <w:iCs/>
          <w:sz w:val="20"/>
          <w:szCs w:val="20"/>
          <w:lang w:val="en-US"/>
        </w:rPr>
        <w:t>Selenicereus undatus</w:t>
      </w:r>
      <w:r w:rsidRPr="00734458">
        <w:rPr>
          <w:rFonts w:ascii="Times New Roman" w:hAnsi="Times New Roman" w:cs="Times New Roman"/>
          <w:bCs/>
          <w:sz w:val="20"/>
          <w:szCs w:val="20"/>
          <w:lang w:val="en-US"/>
        </w:rPr>
        <w:t xml:space="preserve"> (Haw.) D.R.</w:t>
      </w:r>
      <w:r w:rsidR="00B611F6">
        <w:rPr>
          <w:rFonts w:ascii="Times New Roman" w:hAnsi="Times New Roman" w:cs="Times New Roman"/>
          <w:bCs/>
          <w:sz w:val="20"/>
          <w:szCs w:val="20"/>
          <w:lang w:val="en-US"/>
        </w:rPr>
        <w:t xml:space="preserve"> </w:t>
      </w:r>
      <w:r w:rsidRPr="00734458">
        <w:rPr>
          <w:rFonts w:ascii="Times New Roman" w:hAnsi="Times New Roman" w:cs="Times New Roman"/>
          <w:bCs/>
          <w:sz w:val="20"/>
          <w:szCs w:val="20"/>
          <w:lang w:val="en-US"/>
        </w:rPr>
        <w:t xml:space="preserve">Hunt (orange symbols) and </w:t>
      </w:r>
      <w:r w:rsidRPr="00734458">
        <w:rPr>
          <w:rFonts w:ascii="Times New Roman" w:hAnsi="Times New Roman" w:cs="Times New Roman"/>
          <w:bCs/>
          <w:i/>
          <w:iCs/>
          <w:sz w:val="20"/>
          <w:szCs w:val="20"/>
          <w:lang w:val="en-US"/>
        </w:rPr>
        <w:t xml:space="preserve">Hylocereus </w:t>
      </w:r>
      <w:proofErr w:type="spellStart"/>
      <w:r w:rsidRPr="00734458">
        <w:rPr>
          <w:rFonts w:ascii="Times New Roman" w:hAnsi="Times New Roman" w:cs="Times New Roman"/>
          <w:bCs/>
          <w:i/>
          <w:iCs/>
          <w:sz w:val="20"/>
          <w:szCs w:val="20"/>
          <w:lang w:val="en-US"/>
        </w:rPr>
        <w:t>polyrhizus</w:t>
      </w:r>
      <w:proofErr w:type="spellEnd"/>
      <w:r w:rsidRPr="00734458">
        <w:rPr>
          <w:rFonts w:ascii="Times New Roman" w:hAnsi="Times New Roman" w:cs="Times New Roman"/>
          <w:bCs/>
          <w:sz w:val="20"/>
          <w:szCs w:val="20"/>
          <w:lang w:val="en-US"/>
        </w:rPr>
        <w:t xml:space="preserve"> (Salm-Dyck) R.</w:t>
      </w:r>
      <w:r w:rsidR="00B611F6">
        <w:rPr>
          <w:rFonts w:ascii="Times New Roman" w:hAnsi="Times New Roman" w:cs="Times New Roman"/>
          <w:bCs/>
          <w:sz w:val="20"/>
          <w:szCs w:val="20"/>
          <w:lang w:val="en-US"/>
        </w:rPr>
        <w:t xml:space="preserve"> </w:t>
      </w:r>
      <w:r w:rsidRPr="00734458">
        <w:rPr>
          <w:rFonts w:ascii="Times New Roman" w:hAnsi="Times New Roman" w:cs="Times New Roman"/>
          <w:bCs/>
          <w:sz w:val="20"/>
          <w:szCs w:val="20"/>
          <w:lang w:val="en-US"/>
        </w:rPr>
        <w:t xml:space="preserve">Bauer (blue symbols), after 65 days of </w:t>
      </w:r>
      <w:r w:rsidRPr="00734458">
        <w:rPr>
          <w:rFonts w:ascii="Times New Roman" w:hAnsi="Times New Roman" w:cs="Times New Roman"/>
          <w:bCs/>
          <w:i/>
          <w:iCs/>
          <w:sz w:val="20"/>
          <w:szCs w:val="20"/>
          <w:lang w:val="en-US"/>
        </w:rPr>
        <w:t>in vitro</w:t>
      </w:r>
      <w:r w:rsidRPr="00734458">
        <w:rPr>
          <w:rFonts w:ascii="Times New Roman" w:hAnsi="Times New Roman" w:cs="Times New Roman"/>
          <w:bCs/>
          <w:sz w:val="20"/>
          <w:szCs w:val="20"/>
          <w:lang w:val="en-US"/>
        </w:rPr>
        <w:t xml:space="preserve"> cultivation, under different light qualities [White (WL); Blue (BL), Purple (PL), and Red (RL)]. (A) Distribution of individuals along the first two principal axes (Dim1 = 35.5%; Dim2 = 20.3%). (B) Biplot showing the correlation between the variables (mineral elements) and the evaluated treatments. The numbered points (1–16) represent the combinations of species, cladode regions, and light qualities, as follows: 1 (BLCR) = </w:t>
      </w:r>
      <w:r w:rsidRPr="00734458">
        <w:rPr>
          <w:rFonts w:ascii="Times New Roman" w:hAnsi="Times New Roman" w:cs="Times New Roman"/>
          <w:bCs/>
          <w:i/>
          <w:iCs/>
          <w:sz w:val="20"/>
          <w:szCs w:val="20"/>
          <w:lang w:val="en-US"/>
        </w:rPr>
        <w:t xml:space="preserve">H. </w:t>
      </w:r>
      <w:proofErr w:type="spellStart"/>
      <w:r w:rsidRPr="00734458">
        <w:rPr>
          <w:rFonts w:ascii="Times New Roman" w:hAnsi="Times New Roman" w:cs="Times New Roman"/>
          <w:bCs/>
          <w:i/>
          <w:iCs/>
          <w:sz w:val="20"/>
          <w:szCs w:val="20"/>
          <w:lang w:val="en-US"/>
        </w:rPr>
        <w:t>polyrhizus</w:t>
      </w:r>
      <w:proofErr w:type="spellEnd"/>
      <w:r w:rsidRPr="00734458">
        <w:rPr>
          <w:rFonts w:ascii="Times New Roman" w:hAnsi="Times New Roman" w:cs="Times New Roman"/>
          <w:bCs/>
          <w:sz w:val="20"/>
          <w:szCs w:val="20"/>
          <w:lang w:val="en-US"/>
        </w:rPr>
        <w:t xml:space="preserve"> under blue light; 2 (BLRM) = </w:t>
      </w:r>
      <w:r w:rsidRPr="00734458">
        <w:rPr>
          <w:rFonts w:ascii="Times New Roman" w:hAnsi="Times New Roman" w:cs="Times New Roman"/>
          <w:bCs/>
          <w:i/>
          <w:iCs/>
          <w:sz w:val="20"/>
          <w:szCs w:val="20"/>
          <w:lang w:val="en-US"/>
        </w:rPr>
        <w:t>S. undatus</w:t>
      </w:r>
      <w:r w:rsidRPr="00734458">
        <w:rPr>
          <w:rFonts w:ascii="Times New Roman" w:hAnsi="Times New Roman" w:cs="Times New Roman"/>
          <w:bCs/>
          <w:sz w:val="20"/>
          <w:szCs w:val="20"/>
          <w:lang w:val="en-US"/>
        </w:rPr>
        <w:t xml:space="preserve"> under blue light; 3 (PLCR) = </w:t>
      </w:r>
      <w:r w:rsidRPr="00734458">
        <w:rPr>
          <w:rFonts w:ascii="Times New Roman" w:hAnsi="Times New Roman" w:cs="Times New Roman"/>
          <w:bCs/>
          <w:i/>
          <w:iCs/>
          <w:sz w:val="20"/>
          <w:szCs w:val="20"/>
          <w:lang w:val="en-US"/>
        </w:rPr>
        <w:t xml:space="preserve">H. </w:t>
      </w:r>
      <w:proofErr w:type="spellStart"/>
      <w:r w:rsidRPr="00734458">
        <w:rPr>
          <w:rFonts w:ascii="Times New Roman" w:hAnsi="Times New Roman" w:cs="Times New Roman"/>
          <w:bCs/>
          <w:i/>
          <w:iCs/>
          <w:sz w:val="20"/>
          <w:szCs w:val="20"/>
          <w:lang w:val="en-US"/>
        </w:rPr>
        <w:t>polyrhizus</w:t>
      </w:r>
      <w:proofErr w:type="spellEnd"/>
      <w:r w:rsidRPr="00734458">
        <w:rPr>
          <w:rFonts w:ascii="Times New Roman" w:hAnsi="Times New Roman" w:cs="Times New Roman"/>
          <w:bCs/>
          <w:sz w:val="20"/>
          <w:szCs w:val="20"/>
          <w:lang w:val="en-US"/>
        </w:rPr>
        <w:t xml:space="preserve"> under purple light; 4 (PLRM) = </w:t>
      </w:r>
      <w:r w:rsidRPr="00734458">
        <w:rPr>
          <w:rFonts w:ascii="Times New Roman" w:hAnsi="Times New Roman" w:cs="Times New Roman"/>
          <w:bCs/>
          <w:i/>
          <w:iCs/>
          <w:sz w:val="20"/>
          <w:szCs w:val="20"/>
          <w:lang w:val="en-US"/>
        </w:rPr>
        <w:t>S. undatus</w:t>
      </w:r>
      <w:r w:rsidRPr="00734458">
        <w:rPr>
          <w:rFonts w:ascii="Times New Roman" w:hAnsi="Times New Roman" w:cs="Times New Roman"/>
          <w:bCs/>
          <w:sz w:val="20"/>
          <w:szCs w:val="20"/>
          <w:lang w:val="en-US"/>
        </w:rPr>
        <w:t xml:space="preserve"> under purple light; 5 (RLCR) = </w:t>
      </w:r>
      <w:r w:rsidRPr="00734458">
        <w:rPr>
          <w:rFonts w:ascii="Times New Roman" w:hAnsi="Times New Roman" w:cs="Times New Roman"/>
          <w:bCs/>
          <w:i/>
          <w:iCs/>
          <w:sz w:val="20"/>
          <w:szCs w:val="20"/>
          <w:lang w:val="en-US"/>
        </w:rPr>
        <w:t xml:space="preserve">H. </w:t>
      </w:r>
      <w:proofErr w:type="spellStart"/>
      <w:r w:rsidRPr="00734458">
        <w:rPr>
          <w:rFonts w:ascii="Times New Roman" w:hAnsi="Times New Roman" w:cs="Times New Roman"/>
          <w:bCs/>
          <w:i/>
          <w:iCs/>
          <w:sz w:val="20"/>
          <w:szCs w:val="20"/>
          <w:lang w:val="en-US"/>
        </w:rPr>
        <w:t>polyrhizus</w:t>
      </w:r>
      <w:proofErr w:type="spellEnd"/>
      <w:r w:rsidRPr="00734458">
        <w:rPr>
          <w:rFonts w:ascii="Times New Roman" w:hAnsi="Times New Roman" w:cs="Times New Roman"/>
          <w:bCs/>
          <w:sz w:val="20"/>
          <w:szCs w:val="20"/>
          <w:lang w:val="en-US"/>
        </w:rPr>
        <w:t xml:space="preserve"> under red light; 6 (RLRM) = </w:t>
      </w:r>
      <w:r w:rsidRPr="00734458">
        <w:rPr>
          <w:rFonts w:ascii="Times New Roman" w:hAnsi="Times New Roman" w:cs="Times New Roman"/>
          <w:bCs/>
          <w:i/>
          <w:iCs/>
          <w:sz w:val="20"/>
          <w:szCs w:val="20"/>
          <w:lang w:val="en-US"/>
        </w:rPr>
        <w:t>S. undatus</w:t>
      </w:r>
      <w:r w:rsidRPr="00734458">
        <w:rPr>
          <w:rFonts w:ascii="Times New Roman" w:hAnsi="Times New Roman" w:cs="Times New Roman"/>
          <w:bCs/>
          <w:sz w:val="20"/>
          <w:szCs w:val="20"/>
          <w:lang w:val="en-US"/>
        </w:rPr>
        <w:t xml:space="preserve"> under red light; 7 (WLCR) = </w:t>
      </w:r>
      <w:r w:rsidRPr="00734458">
        <w:rPr>
          <w:rFonts w:ascii="Times New Roman" w:hAnsi="Times New Roman" w:cs="Times New Roman"/>
          <w:bCs/>
          <w:i/>
          <w:iCs/>
          <w:sz w:val="20"/>
          <w:szCs w:val="20"/>
          <w:lang w:val="en-US"/>
        </w:rPr>
        <w:t xml:space="preserve">H. </w:t>
      </w:r>
      <w:proofErr w:type="spellStart"/>
      <w:r w:rsidRPr="00734458">
        <w:rPr>
          <w:rFonts w:ascii="Times New Roman" w:hAnsi="Times New Roman" w:cs="Times New Roman"/>
          <w:bCs/>
          <w:i/>
          <w:iCs/>
          <w:sz w:val="20"/>
          <w:szCs w:val="20"/>
          <w:lang w:val="en-US"/>
        </w:rPr>
        <w:t>polyrhizus</w:t>
      </w:r>
      <w:proofErr w:type="spellEnd"/>
      <w:r w:rsidRPr="00734458">
        <w:rPr>
          <w:rFonts w:ascii="Times New Roman" w:hAnsi="Times New Roman" w:cs="Times New Roman"/>
          <w:bCs/>
          <w:sz w:val="20"/>
          <w:szCs w:val="20"/>
          <w:lang w:val="en-US"/>
        </w:rPr>
        <w:t xml:space="preserve"> under white light (control); 8 (WLRM) = </w:t>
      </w:r>
      <w:r w:rsidRPr="00734458">
        <w:rPr>
          <w:rFonts w:ascii="Times New Roman" w:hAnsi="Times New Roman" w:cs="Times New Roman"/>
          <w:bCs/>
          <w:i/>
          <w:iCs/>
          <w:sz w:val="20"/>
          <w:szCs w:val="20"/>
          <w:lang w:val="en-US"/>
        </w:rPr>
        <w:t>S. undatus</w:t>
      </w:r>
      <w:r w:rsidRPr="00734458">
        <w:rPr>
          <w:rFonts w:ascii="Times New Roman" w:hAnsi="Times New Roman" w:cs="Times New Roman"/>
          <w:bCs/>
          <w:sz w:val="20"/>
          <w:szCs w:val="20"/>
          <w:lang w:val="en-US"/>
        </w:rPr>
        <w:t xml:space="preserve"> under white light (control); 9 (BLCR) = </w:t>
      </w:r>
      <w:r w:rsidRPr="00734458">
        <w:rPr>
          <w:rFonts w:ascii="Times New Roman" w:hAnsi="Times New Roman" w:cs="Times New Roman"/>
          <w:bCs/>
          <w:i/>
          <w:iCs/>
          <w:sz w:val="20"/>
          <w:szCs w:val="20"/>
          <w:lang w:val="en-US"/>
        </w:rPr>
        <w:t xml:space="preserve">H. </w:t>
      </w:r>
      <w:proofErr w:type="spellStart"/>
      <w:r w:rsidRPr="00734458">
        <w:rPr>
          <w:rFonts w:ascii="Times New Roman" w:hAnsi="Times New Roman" w:cs="Times New Roman"/>
          <w:bCs/>
          <w:i/>
          <w:iCs/>
          <w:sz w:val="20"/>
          <w:szCs w:val="20"/>
          <w:lang w:val="en-US"/>
        </w:rPr>
        <w:t>polyrhizus</w:t>
      </w:r>
      <w:proofErr w:type="spellEnd"/>
      <w:r w:rsidRPr="00734458">
        <w:rPr>
          <w:rFonts w:ascii="Times New Roman" w:hAnsi="Times New Roman" w:cs="Times New Roman"/>
          <w:bCs/>
          <w:sz w:val="20"/>
          <w:szCs w:val="20"/>
          <w:lang w:val="en-US"/>
        </w:rPr>
        <w:t xml:space="preserve"> under blue light (control); 10 (BLRM) = </w:t>
      </w:r>
      <w:r w:rsidRPr="00734458">
        <w:rPr>
          <w:rFonts w:ascii="Times New Roman" w:hAnsi="Times New Roman" w:cs="Times New Roman"/>
          <w:bCs/>
          <w:i/>
          <w:iCs/>
          <w:sz w:val="20"/>
          <w:szCs w:val="20"/>
          <w:lang w:val="en-US"/>
        </w:rPr>
        <w:t>S. undatus</w:t>
      </w:r>
      <w:r w:rsidRPr="00734458">
        <w:rPr>
          <w:rFonts w:ascii="Times New Roman" w:hAnsi="Times New Roman" w:cs="Times New Roman"/>
          <w:bCs/>
          <w:sz w:val="20"/>
          <w:szCs w:val="20"/>
          <w:lang w:val="en-US"/>
        </w:rPr>
        <w:t xml:space="preserve"> under blue light (control); 11 (PLCR) = </w:t>
      </w:r>
      <w:r w:rsidRPr="00734458">
        <w:rPr>
          <w:rFonts w:ascii="Times New Roman" w:hAnsi="Times New Roman" w:cs="Times New Roman"/>
          <w:bCs/>
          <w:i/>
          <w:iCs/>
          <w:sz w:val="20"/>
          <w:szCs w:val="20"/>
          <w:lang w:val="en-US"/>
        </w:rPr>
        <w:t xml:space="preserve">H. </w:t>
      </w:r>
      <w:proofErr w:type="spellStart"/>
      <w:r w:rsidRPr="00734458">
        <w:rPr>
          <w:rFonts w:ascii="Times New Roman" w:hAnsi="Times New Roman" w:cs="Times New Roman"/>
          <w:bCs/>
          <w:i/>
          <w:iCs/>
          <w:sz w:val="20"/>
          <w:szCs w:val="20"/>
          <w:lang w:val="en-US"/>
        </w:rPr>
        <w:t>polyrhizus</w:t>
      </w:r>
      <w:proofErr w:type="spellEnd"/>
      <w:r w:rsidRPr="00734458">
        <w:rPr>
          <w:rFonts w:ascii="Times New Roman" w:hAnsi="Times New Roman" w:cs="Times New Roman"/>
          <w:bCs/>
          <w:sz w:val="20"/>
          <w:szCs w:val="20"/>
          <w:lang w:val="en-US"/>
        </w:rPr>
        <w:t xml:space="preserve"> under purple light; 12 (PLRM) = </w:t>
      </w:r>
      <w:r w:rsidRPr="00734458">
        <w:rPr>
          <w:rFonts w:ascii="Times New Roman" w:hAnsi="Times New Roman" w:cs="Times New Roman"/>
          <w:bCs/>
          <w:i/>
          <w:iCs/>
          <w:sz w:val="20"/>
          <w:szCs w:val="20"/>
          <w:lang w:val="en-US"/>
        </w:rPr>
        <w:t>S. undatus</w:t>
      </w:r>
      <w:r w:rsidRPr="00734458">
        <w:rPr>
          <w:rFonts w:ascii="Times New Roman" w:hAnsi="Times New Roman" w:cs="Times New Roman"/>
          <w:bCs/>
          <w:sz w:val="20"/>
          <w:szCs w:val="20"/>
          <w:lang w:val="en-US"/>
        </w:rPr>
        <w:t xml:space="preserve"> under purple light; 13 (RLCR) = </w:t>
      </w:r>
      <w:r w:rsidRPr="00734458">
        <w:rPr>
          <w:rFonts w:ascii="Times New Roman" w:hAnsi="Times New Roman" w:cs="Times New Roman"/>
          <w:bCs/>
          <w:i/>
          <w:iCs/>
          <w:sz w:val="20"/>
          <w:szCs w:val="20"/>
          <w:lang w:val="en-US"/>
        </w:rPr>
        <w:t xml:space="preserve">H. </w:t>
      </w:r>
      <w:proofErr w:type="spellStart"/>
      <w:r w:rsidRPr="00734458">
        <w:rPr>
          <w:rFonts w:ascii="Times New Roman" w:hAnsi="Times New Roman" w:cs="Times New Roman"/>
          <w:bCs/>
          <w:i/>
          <w:iCs/>
          <w:sz w:val="20"/>
          <w:szCs w:val="20"/>
          <w:lang w:val="en-US"/>
        </w:rPr>
        <w:t>polyrhizus</w:t>
      </w:r>
      <w:proofErr w:type="spellEnd"/>
      <w:r w:rsidRPr="00734458">
        <w:rPr>
          <w:rFonts w:ascii="Times New Roman" w:hAnsi="Times New Roman" w:cs="Times New Roman"/>
          <w:bCs/>
          <w:sz w:val="20"/>
          <w:szCs w:val="20"/>
          <w:lang w:val="en-US"/>
        </w:rPr>
        <w:t xml:space="preserve"> under red light; 14 (RLRM) = </w:t>
      </w:r>
      <w:r w:rsidRPr="00734458">
        <w:rPr>
          <w:rFonts w:ascii="Times New Roman" w:hAnsi="Times New Roman" w:cs="Times New Roman"/>
          <w:bCs/>
          <w:i/>
          <w:iCs/>
          <w:sz w:val="20"/>
          <w:szCs w:val="20"/>
          <w:lang w:val="en-US"/>
        </w:rPr>
        <w:t>S. undatus</w:t>
      </w:r>
      <w:r w:rsidRPr="00734458">
        <w:rPr>
          <w:rFonts w:ascii="Times New Roman" w:hAnsi="Times New Roman" w:cs="Times New Roman"/>
          <w:bCs/>
          <w:sz w:val="20"/>
          <w:szCs w:val="20"/>
          <w:lang w:val="en-US"/>
        </w:rPr>
        <w:t xml:space="preserve"> under red light; 15 (WLCR) = </w:t>
      </w:r>
      <w:r w:rsidRPr="00734458">
        <w:rPr>
          <w:rFonts w:ascii="Times New Roman" w:hAnsi="Times New Roman" w:cs="Times New Roman"/>
          <w:bCs/>
          <w:i/>
          <w:iCs/>
          <w:sz w:val="20"/>
          <w:szCs w:val="20"/>
          <w:lang w:val="en-US"/>
        </w:rPr>
        <w:t xml:space="preserve">H. </w:t>
      </w:r>
      <w:proofErr w:type="spellStart"/>
      <w:r w:rsidRPr="00734458">
        <w:rPr>
          <w:rFonts w:ascii="Times New Roman" w:hAnsi="Times New Roman" w:cs="Times New Roman"/>
          <w:bCs/>
          <w:i/>
          <w:iCs/>
          <w:sz w:val="20"/>
          <w:szCs w:val="20"/>
          <w:lang w:val="en-US"/>
        </w:rPr>
        <w:t>polyrhizus</w:t>
      </w:r>
      <w:proofErr w:type="spellEnd"/>
      <w:r w:rsidRPr="00734458">
        <w:rPr>
          <w:rFonts w:ascii="Times New Roman" w:hAnsi="Times New Roman" w:cs="Times New Roman"/>
          <w:bCs/>
          <w:sz w:val="20"/>
          <w:szCs w:val="20"/>
          <w:lang w:val="en-US"/>
        </w:rPr>
        <w:t xml:space="preserve"> under white light (control); and 16 (WLRM) = </w:t>
      </w:r>
      <w:r w:rsidRPr="00734458">
        <w:rPr>
          <w:rFonts w:ascii="Times New Roman" w:hAnsi="Times New Roman" w:cs="Times New Roman"/>
          <w:bCs/>
          <w:i/>
          <w:iCs/>
          <w:sz w:val="20"/>
          <w:szCs w:val="20"/>
          <w:lang w:val="en-US"/>
        </w:rPr>
        <w:t>S. undatus</w:t>
      </w:r>
      <w:r w:rsidRPr="00734458">
        <w:rPr>
          <w:rFonts w:ascii="Times New Roman" w:hAnsi="Times New Roman" w:cs="Times New Roman"/>
          <w:bCs/>
          <w:sz w:val="20"/>
          <w:szCs w:val="20"/>
          <w:lang w:val="en-US"/>
        </w:rPr>
        <w:t xml:space="preserve"> under white light (control).</w:t>
      </w:r>
    </w:p>
    <w:p w14:paraId="4F0CBB1F" w14:textId="22CF7E3A" w:rsidR="003A10A7" w:rsidRPr="0085520E" w:rsidRDefault="003A10A7" w:rsidP="0085520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lang w:val="en-US"/>
        </w:rPr>
      </w:pPr>
    </w:p>
    <w:p w14:paraId="36736962" w14:textId="77777777" w:rsidR="003A10A7" w:rsidRPr="001A0AC6" w:rsidRDefault="003A10A7" w:rsidP="003A10A7">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lang w:val="en-US"/>
        </w:rPr>
      </w:pPr>
      <w:r w:rsidRPr="005C07C5">
        <w:rPr>
          <w:sz w:val="24"/>
          <w:szCs w:val="24"/>
          <w:lang w:val="en-US"/>
        </w:rPr>
        <w:tab/>
      </w:r>
      <w:r w:rsidRPr="001A0AC6">
        <w:rPr>
          <w:rFonts w:ascii="Times New Roman" w:hAnsi="Times New Roman" w:cs="Times New Roman"/>
          <w:bCs/>
          <w:sz w:val="20"/>
          <w:szCs w:val="20"/>
          <w:lang w:val="en-US"/>
        </w:rPr>
        <w:t xml:space="preserve">Dim1 explained 35.5% of the total variability, primarily separating </w:t>
      </w:r>
      <w:r w:rsidRPr="001A0AC6">
        <w:rPr>
          <w:rFonts w:ascii="Times New Roman" w:hAnsi="Times New Roman" w:cs="Times New Roman"/>
          <w:bCs/>
          <w:i/>
          <w:iCs/>
          <w:sz w:val="20"/>
          <w:szCs w:val="20"/>
          <w:lang w:val="en-US"/>
        </w:rPr>
        <w:t xml:space="preserve">H. </w:t>
      </w:r>
      <w:proofErr w:type="spellStart"/>
      <w:r w:rsidRPr="001A0AC6">
        <w:rPr>
          <w:rFonts w:ascii="Times New Roman" w:hAnsi="Times New Roman" w:cs="Times New Roman"/>
          <w:bCs/>
          <w:i/>
          <w:iCs/>
          <w:sz w:val="20"/>
          <w:szCs w:val="20"/>
          <w:lang w:val="en-US"/>
        </w:rPr>
        <w:t>polyrhizus</w:t>
      </w:r>
      <w:proofErr w:type="spellEnd"/>
      <w:r w:rsidRPr="001A0AC6">
        <w:rPr>
          <w:rFonts w:ascii="Times New Roman" w:hAnsi="Times New Roman" w:cs="Times New Roman"/>
          <w:bCs/>
          <w:sz w:val="20"/>
          <w:szCs w:val="20"/>
          <w:lang w:val="en-US"/>
        </w:rPr>
        <w:t xml:space="preserve"> and </w:t>
      </w:r>
      <w:r w:rsidRPr="001A0AC6">
        <w:rPr>
          <w:rFonts w:ascii="Times New Roman" w:hAnsi="Times New Roman" w:cs="Times New Roman"/>
          <w:bCs/>
          <w:i/>
          <w:iCs/>
          <w:sz w:val="20"/>
          <w:szCs w:val="20"/>
          <w:lang w:val="en-US"/>
        </w:rPr>
        <w:t>S. undatus</w:t>
      </w:r>
      <w:r w:rsidRPr="001A0AC6">
        <w:rPr>
          <w:rFonts w:ascii="Times New Roman" w:hAnsi="Times New Roman" w:cs="Times New Roman"/>
          <w:bCs/>
          <w:sz w:val="20"/>
          <w:szCs w:val="20"/>
          <w:lang w:val="en-US"/>
        </w:rPr>
        <w:t xml:space="preserve"> according to spectral light conditions. Dim2 explained 20.3% of the variability and was associated with differences between cladode regions (central ribs [CR] and rib margins [RM]) within each species (Figure 3A–B). </w:t>
      </w:r>
    </w:p>
    <w:p w14:paraId="09C052C5" w14:textId="77777777" w:rsidR="00623923" w:rsidRPr="00623923" w:rsidRDefault="003A10A7" w:rsidP="0062392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highlight w:val="yellow"/>
          <w:lang w:val="en-US"/>
        </w:rPr>
      </w:pPr>
      <w:r w:rsidRPr="001A0AC6">
        <w:rPr>
          <w:rFonts w:ascii="Times New Roman" w:hAnsi="Times New Roman" w:cs="Times New Roman"/>
          <w:sz w:val="20"/>
          <w:szCs w:val="20"/>
          <w:lang w:val="en-US"/>
        </w:rPr>
        <w:tab/>
      </w:r>
      <w:r w:rsidR="00623923" w:rsidRPr="00623923">
        <w:rPr>
          <w:rFonts w:ascii="Times New Roman" w:hAnsi="Times New Roman" w:cs="Times New Roman"/>
          <w:bCs/>
          <w:sz w:val="20"/>
          <w:szCs w:val="20"/>
          <w:highlight w:val="yellow"/>
          <w:lang w:val="en-US"/>
        </w:rPr>
        <w:t xml:space="preserve">The first principal component describes a spectral gradient in which red light was associated with higher relative accumulation of sodium and chlorine in the analyzed tissues. This pattern reflects treatment-dependent variation in elemental composition as determined by EDX analysis. Previous studies have reported that light conditions can influence mineral composition and ion distribution in plants (Ramezani et al., 2023). In contrast, blue light was associated with higher relative abundance of iron and manganese, elements involved in plant metabolic and photosynthetic processes (Soufi et al., 2023). However, since ion transport and physiological </w:t>
      </w:r>
      <w:r w:rsidR="00623923" w:rsidRPr="00623923">
        <w:rPr>
          <w:rFonts w:ascii="Times New Roman" w:hAnsi="Times New Roman" w:cs="Times New Roman"/>
          <w:bCs/>
          <w:sz w:val="20"/>
          <w:szCs w:val="20"/>
          <w:highlight w:val="yellow"/>
          <w:lang w:val="en-US"/>
        </w:rPr>
        <w:lastRenderedPageBreak/>
        <w:t>mechanisms were not investigated in the present study, these associations should be interpreted as descriptive patterns rather than evidence of specific regulatory processes.</w:t>
      </w:r>
    </w:p>
    <w:p w14:paraId="32340118" w14:textId="36D2D140" w:rsidR="00623923" w:rsidRPr="00623923" w:rsidRDefault="00623923" w:rsidP="0062392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highlight w:val="yellow"/>
          <w:lang w:val="en-US"/>
        </w:rPr>
      </w:pPr>
      <w:r w:rsidRPr="00623923">
        <w:rPr>
          <w:rFonts w:ascii="Times New Roman" w:hAnsi="Times New Roman" w:cs="Times New Roman"/>
          <w:bCs/>
          <w:sz w:val="20"/>
          <w:szCs w:val="20"/>
          <w:highlight w:val="yellow"/>
          <w:lang w:val="en-US"/>
        </w:rPr>
        <w:tab/>
        <w:t>The second principal component, which discriminated between tissue types, indicates differences in mineral distribution between the central ribs (CR) and rib margins (RM). The central ribs (CR) showed relatively higher accumulation of P, S, and Mg, whereas the rib margins (RM) were characterized by higher relative contents of K and Ca. This distribution is consistent with previous studies describing tissue-dependent patterns of mineral allocation in succulent plants (</w:t>
      </w:r>
      <w:proofErr w:type="spellStart"/>
      <w:r w:rsidRPr="00623923">
        <w:rPr>
          <w:rFonts w:ascii="Times New Roman" w:hAnsi="Times New Roman" w:cs="Times New Roman"/>
          <w:bCs/>
          <w:sz w:val="20"/>
          <w:szCs w:val="20"/>
          <w:highlight w:val="yellow"/>
          <w:lang w:val="en-US"/>
        </w:rPr>
        <w:t>Nganko</w:t>
      </w:r>
      <w:proofErr w:type="spellEnd"/>
      <w:r w:rsidRPr="00623923">
        <w:rPr>
          <w:rFonts w:ascii="Times New Roman" w:hAnsi="Times New Roman" w:cs="Times New Roman"/>
          <w:bCs/>
          <w:sz w:val="20"/>
          <w:szCs w:val="20"/>
          <w:highlight w:val="yellow"/>
          <w:lang w:val="en-US"/>
        </w:rPr>
        <w:t xml:space="preserve"> et al., 2024; Peng et al., 2025).</w:t>
      </w:r>
    </w:p>
    <w:p w14:paraId="101AD209" w14:textId="1D3367BC" w:rsidR="00623923" w:rsidRPr="00623923" w:rsidRDefault="0012313F" w:rsidP="0062392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highlight w:val="yellow"/>
          <w:lang w:val="en-US"/>
        </w:rPr>
      </w:pPr>
      <w:r>
        <w:rPr>
          <w:rFonts w:ascii="Times New Roman" w:hAnsi="Times New Roman" w:cs="Times New Roman"/>
          <w:bCs/>
          <w:sz w:val="20"/>
          <w:szCs w:val="20"/>
          <w:highlight w:val="yellow"/>
          <w:lang w:val="en-US"/>
        </w:rPr>
        <w:tab/>
      </w:r>
      <w:r w:rsidR="00623923" w:rsidRPr="00623923">
        <w:rPr>
          <w:rFonts w:ascii="Times New Roman" w:hAnsi="Times New Roman" w:cs="Times New Roman"/>
          <w:bCs/>
          <w:sz w:val="20"/>
          <w:szCs w:val="20"/>
          <w:highlight w:val="yellow"/>
          <w:lang w:val="en-US"/>
        </w:rPr>
        <w:t xml:space="preserve">Among the two species, </w:t>
      </w:r>
      <w:r w:rsidR="00623923" w:rsidRPr="00623923">
        <w:rPr>
          <w:rFonts w:ascii="Times New Roman" w:hAnsi="Times New Roman" w:cs="Times New Roman"/>
          <w:bCs/>
          <w:i/>
          <w:iCs/>
          <w:sz w:val="20"/>
          <w:szCs w:val="20"/>
          <w:highlight w:val="yellow"/>
          <w:lang w:val="en-US"/>
        </w:rPr>
        <w:t>Selenicereus undatus</w:t>
      </w:r>
      <w:r w:rsidR="00623923" w:rsidRPr="00623923">
        <w:rPr>
          <w:rFonts w:ascii="Times New Roman" w:hAnsi="Times New Roman" w:cs="Times New Roman"/>
          <w:bCs/>
          <w:sz w:val="20"/>
          <w:szCs w:val="20"/>
          <w:highlight w:val="yellow"/>
          <w:lang w:val="en-US"/>
        </w:rPr>
        <w:t xml:space="preserve"> exhibited a more stable mineral profile across the evaluated LED treatments, particularly under purple light, whereas </w:t>
      </w:r>
      <w:r w:rsidR="00623923" w:rsidRPr="00623923">
        <w:rPr>
          <w:rFonts w:ascii="Times New Roman" w:hAnsi="Times New Roman" w:cs="Times New Roman"/>
          <w:bCs/>
          <w:i/>
          <w:iCs/>
          <w:sz w:val="20"/>
          <w:szCs w:val="20"/>
          <w:highlight w:val="yellow"/>
          <w:lang w:val="en-US"/>
        </w:rPr>
        <w:t xml:space="preserve">Hylocereus </w:t>
      </w:r>
      <w:proofErr w:type="spellStart"/>
      <w:r w:rsidR="00623923" w:rsidRPr="00623923">
        <w:rPr>
          <w:rFonts w:ascii="Times New Roman" w:hAnsi="Times New Roman" w:cs="Times New Roman"/>
          <w:bCs/>
          <w:i/>
          <w:iCs/>
          <w:sz w:val="20"/>
          <w:szCs w:val="20"/>
          <w:highlight w:val="yellow"/>
          <w:lang w:val="en-US"/>
        </w:rPr>
        <w:t>polyrhizus</w:t>
      </w:r>
      <w:proofErr w:type="spellEnd"/>
      <w:r w:rsidR="00623923" w:rsidRPr="00623923">
        <w:rPr>
          <w:rFonts w:ascii="Times New Roman" w:hAnsi="Times New Roman" w:cs="Times New Roman"/>
          <w:bCs/>
          <w:sz w:val="20"/>
          <w:szCs w:val="20"/>
          <w:highlight w:val="yellow"/>
          <w:lang w:val="en-US"/>
        </w:rPr>
        <w:t xml:space="preserve"> showed greater variability in elemental composition. These differences indicate species-specific responses to the evaluated lighting conditions and suggest that mineral accumulation is influenced by genotype</w:t>
      </w:r>
      <w:r>
        <w:rPr>
          <w:rFonts w:ascii="Times New Roman" w:hAnsi="Times New Roman" w:cs="Times New Roman"/>
          <w:bCs/>
          <w:sz w:val="20"/>
          <w:szCs w:val="20"/>
          <w:highlight w:val="yellow"/>
          <w:lang w:val="en-US"/>
        </w:rPr>
        <w:t xml:space="preserve"> </w:t>
      </w:r>
      <w:r w:rsidR="00623923" w:rsidRPr="00623923">
        <w:rPr>
          <w:rFonts w:ascii="Times New Roman" w:hAnsi="Times New Roman" w:cs="Times New Roman"/>
          <w:bCs/>
          <w:sz w:val="20"/>
          <w:szCs w:val="20"/>
          <w:highlight w:val="yellow"/>
          <w:lang w:val="en-US"/>
        </w:rPr>
        <w:t>environment interactions. Although previous studies have linked mineral homeostasis with ion transport regulation and stress-related metabolic processes (Zhu et al., 2025; Peng et al., 2025), these mechanisms were not assessed in the present study and therefore cannot be inferred from the results. Further studies integrating physiological and molecular analyses are required to clarify the mechanisms underlying these interspecific differences.</w:t>
      </w:r>
    </w:p>
    <w:p w14:paraId="7875DC30" w14:textId="6FF84E5A" w:rsidR="00154044" w:rsidRPr="00E0201C" w:rsidRDefault="00154044" w:rsidP="0062392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sz w:val="20"/>
          <w:szCs w:val="20"/>
          <w:lang w:val="en-US"/>
        </w:rPr>
      </w:pPr>
    </w:p>
    <w:p w14:paraId="24EB4535" w14:textId="7052E830" w:rsidR="003A10A7" w:rsidRDefault="003A10A7" w:rsidP="0085520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color w:val="000000" w:themeColor="text1"/>
          <w:sz w:val="20"/>
          <w:szCs w:val="20"/>
          <w:lang w:val="en-US"/>
        </w:rPr>
      </w:pPr>
      <w:r w:rsidRPr="001A0AC6">
        <w:rPr>
          <w:rFonts w:ascii="Times New Roman" w:hAnsi="Times New Roman" w:cs="Times New Roman"/>
          <w:bCs/>
          <w:color w:val="000000" w:themeColor="text1"/>
          <w:sz w:val="20"/>
          <w:szCs w:val="20"/>
          <w:lang w:val="en-US"/>
        </w:rPr>
        <w:tab/>
        <w:t xml:space="preserve">Analysis of vascular bundle number and cladode cross-sectional area revealed significant differences between </w:t>
      </w:r>
      <w:r w:rsidRPr="001A0AC6">
        <w:rPr>
          <w:rFonts w:ascii="Times New Roman" w:hAnsi="Times New Roman" w:cs="Times New Roman"/>
          <w:bCs/>
          <w:i/>
          <w:iCs/>
          <w:color w:val="000000" w:themeColor="text1"/>
          <w:sz w:val="20"/>
          <w:szCs w:val="20"/>
          <w:lang w:val="en-US"/>
        </w:rPr>
        <w:t>S. undatus</w:t>
      </w:r>
      <w:r w:rsidRPr="001A0AC6">
        <w:rPr>
          <w:rFonts w:ascii="Times New Roman" w:hAnsi="Times New Roman" w:cs="Times New Roman"/>
          <w:bCs/>
          <w:color w:val="000000" w:themeColor="text1"/>
          <w:sz w:val="20"/>
          <w:szCs w:val="20"/>
          <w:lang w:val="en-US"/>
        </w:rPr>
        <w:t xml:space="preserve"> and </w:t>
      </w:r>
      <w:r w:rsidRPr="001A0AC6">
        <w:rPr>
          <w:rFonts w:ascii="Times New Roman" w:hAnsi="Times New Roman" w:cs="Times New Roman"/>
          <w:bCs/>
          <w:i/>
          <w:iCs/>
          <w:color w:val="000000" w:themeColor="text1"/>
          <w:sz w:val="20"/>
          <w:szCs w:val="20"/>
          <w:lang w:val="en-US"/>
        </w:rPr>
        <w:t xml:space="preserve">H. </w:t>
      </w:r>
      <w:proofErr w:type="spellStart"/>
      <w:r w:rsidRPr="001A0AC6">
        <w:rPr>
          <w:rFonts w:ascii="Times New Roman" w:hAnsi="Times New Roman" w:cs="Times New Roman"/>
          <w:bCs/>
          <w:i/>
          <w:iCs/>
          <w:color w:val="000000" w:themeColor="text1"/>
          <w:sz w:val="20"/>
          <w:szCs w:val="20"/>
          <w:lang w:val="en-US"/>
        </w:rPr>
        <w:t>polyrhizus</w:t>
      </w:r>
      <w:proofErr w:type="spellEnd"/>
      <w:r w:rsidRPr="001A0AC6">
        <w:rPr>
          <w:rFonts w:ascii="Times New Roman" w:hAnsi="Times New Roman" w:cs="Times New Roman"/>
          <w:bCs/>
          <w:color w:val="000000" w:themeColor="text1"/>
          <w:sz w:val="20"/>
          <w:szCs w:val="20"/>
          <w:lang w:val="en-US"/>
        </w:rPr>
        <w:t xml:space="preserve"> cultivated </w:t>
      </w:r>
      <w:r w:rsidRPr="001A0AC6">
        <w:rPr>
          <w:rFonts w:ascii="Times New Roman" w:hAnsi="Times New Roman" w:cs="Times New Roman"/>
          <w:bCs/>
          <w:i/>
          <w:iCs/>
          <w:color w:val="000000" w:themeColor="text1"/>
          <w:sz w:val="20"/>
          <w:szCs w:val="20"/>
          <w:lang w:val="en-US"/>
        </w:rPr>
        <w:t>in vitro</w:t>
      </w:r>
      <w:r w:rsidRPr="001A0AC6">
        <w:rPr>
          <w:rFonts w:ascii="Times New Roman" w:hAnsi="Times New Roman" w:cs="Times New Roman"/>
          <w:bCs/>
          <w:color w:val="000000" w:themeColor="text1"/>
          <w:sz w:val="20"/>
          <w:szCs w:val="20"/>
          <w:lang w:val="en-US"/>
        </w:rPr>
        <w:t xml:space="preserve"> under different light qualities (Figures 4 and 5). </w:t>
      </w:r>
    </w:p>
    <w:p w14:paraId="4E36D830" w14:textId="3475460E" w:rsidR="006F2BAC" w:rsidRDefault="006F2BAC" w:rsidP="0085520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color w:val="000000" w:themeColor="text1"/>
          <w:sz w:val="20"/>
          <w:szCs w:val="20"/>
          <w:lang w:val="en-US"/>
        </w:rPr>
      </w:pPr>
    </w:p>
    <w:p w14:paraId="56385424" w14:textId="2BFA5E97" w:rsidR="006F2BAC" w:rsidRDefault="006F2BAC" w:rsidP="0085520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color w:val="000000" w:themeColor="text1"/>
          <w:sz w:val="20"/>
          <w:szCs w:val="20"/>
          <w:lang w:val="en-US"/>
        </w:rPr>
      </w:pPr>
    </w:p>
    <w:p w14:paraId="61532AA5" w14:textId="3F0B9FDF" w:rsidR="006F2BAC" w:rsidRDefault="00743100" w:rsidP="0085520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color w:val="000000" w:themeColor="text1"/>
          <w:sz w:val="20"/>
          <w:szCs w:val="20"/>
          <w:lang w:val="en-US"/>
        </w:rPr>
      </w:pPr>
      <w:r>
        <w:rPr>
          <w:noProof/>
          <w:color w:val="000000" w:themeColor="text1"/>
          <w:sz w:val="24"/>
          <w:szCs w:val="24"/>
        </w:rPr>
        <w:lastRenderedPageBreak/>
        <w:drawing>
          <wp:anchor distT="0" distB="0" distL="114300" distR="114300" simplePos="0" relativeHeight="251665408" behindDoc="0" locked="0" layoutInCell="1" allowOverlap="1" wp14:anchorId="427D0FA2" wp14:editId="0BBBDFAA">
            <wp:simplePos x="0" y="0"/>
            <wp:positionH relativeFrom="margin">
              <wp:align>center</wp:align>
            </wp:positionH>
            <wp:positionV relativeFrom="paragraph">
              <wp:posOffset>50800</wp:posOffset>
            </wp:positionV>
            <wp:extent cx="3800475" cy="4457700"/>
            <wp:effectExtent l="0" t="0" r="9525" b="0"/>
            <wp:wrapSquare wrapText="bothSides"/>
            <wp:docPr id="1964760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00475" cy="445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0487F5" w14:textId="77777777" w:rsidR="006F2BAC" w:rsidRDefault="006F2BAC" w:rsidP="0085520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color w:val="000000" w:themeColor="text1"/>
          <w:sz w:val="20"/>
          <w:szCs w:val="20"/>
          <w:lang w:val="en-US"/>
        </w:rPr>
      </w:pPr>
    </w:p>
    <w:p w14:paraId="5AD17C68" w14:textId="77777777" w:rsidR="006F2BAC" w:rsidRDefault="006F2BAC" w:rsidP="0085520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color w:val="000000" w:themeColor="text1"/>
          <w:sz w:val="20"/>
          <w:szCs w:val="20"/>
          <w:lang w:val="en-US"/>
        </w:rPr>
      </w:pPr>
    </w:p>
    <w:p w14:paraId="792FA1AD" w14:textId="77777777" w:rsidR="00743100" w:rsidRDefault="00743100" w:rsidP="0085520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color w:val="000000" w:themeColor="text1"/>
          <w:sz w:val="20"/>
          <w:szCs w:val="20"/>
          <w:lang w:val="en-US"/>
        </w:rPr>
      </w:pPr>
    </w:p>
    <w:p w14:paraId="7A10F762" w14:textId="77777777" w:rsidR="00743100" w:rsidRDefault="00743100" w:rsidP="0085520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color w:val="000000" w:themeColor="text1"/>
          <w:sz w:val="20"/>
          <w:szCs w:val="20"/>
          <w:lang w:val="en-US"/>
        </w:rPr>
      </w:pPr>
    </w:p>
    <w:p w14:paraId="26D4E768" w14:textId="77777777" w:rsidR="00743100" w:rsidRDefault="00743100" w:rsidP="0085520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color w:val="000000" w:themeColor="text1"/>
          <w:sz w:val="20"/>
          <w:szCs w:val="20"/>
          <w:lang w:val="en-US"/>
        </w:rPr>
      </w:pPr>
    </w:p>
    <w:p w14:paraId="09BA6229" w14:textId="77777777" w:rsidR="00743100" w:rsidRDefault="00743100" w:rsidP="0085520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color w:val="000000" w:themeColor="text1"/>
          <w:sz w:val="20"/>
          <w:szCs w:val="20"/>
          <w:lang w:val="en-US"/>
        </w:rPr>
      </w:pPr>
    </w:p>
    <w:p w14:paraId="5AADE324" w14:textId="77777777" w:rsidR="00743100" w:rsidRDefault="00743100" w:rsidP="0085520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color w:val="000000" w:themeColor="text1"/>
          <w:sz w:val="20"/>
          <w:szCs w:val="20"/>
          <w:lang w:val="en-US"/>
        </w:rPr>
      </w:pPr>
    </w:p>
    <w:p w14:paraId="020C46E1" w14:textId="77777777" w:rsidR="00743100" w:rsidRDefault="00743100" w:rsidP="0085520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color w:val="000000" w:themeColor="text1"/>
          <w:sz w:val="20"/>
          <w:szCs w:val="20"/>
          <w:lang w:val="en-US"/>
        </w:rPr>
      </w:pPr>
    </w:p>
    <w:p w14:paraId="469FDEFC" w14:textId="77777777" w:rsidR="00743100" w:rsidRDefault="00743100" w:rsidP="0085520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color w:val="000000" w:themeColor="text1"/>
          <w:sz w:val="20"/>
          <w:szCs w:val="20"/>
          <w:lang w:val="en-US"/>
        </w:rPr>
      </w:pPr>
    </w:p>
    <w:p w14:paraId="3938CAAB" w14:textId="77777777" w:rsidR="00743100" w:rsidRDefault="00743100" w:rsidP="0085520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color w:val="000000" w:themeColor="text1"/>
          <w:sz w:val="20"/>
          <w:szCs w:val="20"/>
          <w:lang w:val="en-US"/>
        </w:rPr>
      </w:pPr>
    </w:p>
    <w:p w14:paraId="4CFEC7C8" w14:textId="77777777" w:rsidR="00743100" w:rsidRDefault="00743100" w:rsidP="0085520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color w:val="000000" w:themeColor="text1"/>
          <w:sz w:val="20"/>
          <w:szCs w:val="20"/>
          <w:lang w:val="en-US"/>
        </w:rPr>
      </w:pPr>
    </w:p>
    <w:p w14:paraId="642DBCE0" w14:textId="77777777" w:rsidR="006F2BAC" w:rsidRDefault="006F2BAC" w:rsidP="0085520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color w:val="000000" w:themeColor="text1"/>
          <w:sz w:val="20"/>
          <w:szCs w:val="20"/>
          <w:lang w:val="en-US"/>
        </w:rPr>
      </w:pPr>
    </w:p>
    <w:p w14:paraId="18832940" w14:textId="77777777" w:rsidR="00BD716A" w:rsidRDefault="00BD716A" w:rsidP="0085520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cs="Times New Roman"/>
          <w:bCs/>
          <w:color w:val="000000" w:themeColor="text1"/>
          <w:sz w:val="20"/>
          <w:szCs w:val="20"/>
          <w:lang w:val="en-US"/>
        </w:rPr>
      </w:pPr>
    </w:p>
    <w:p w14:paraId="14939897" w14:textId="0E15533A" w:rsidR="00E4197A" w:rsidRPr="00B611F6" w:rsidRDefault="00B611F6" w:rsidP="00E4197A">
      <w:pPr>
        <w:spacing w:line="360" w:lineRule="auto"/>
        <w:jc w:val="both"/>
        <w:rPr>
          <w:color w:val="000000" w:themeColor="text1"/>
          <w:sz w:val="24"/>
          <w:szCs w:val="24"/>
          <w:lang w:val="en-US"/>
        </w:rPr>
      </w:pPr>
      <w:r w:rsidRPr="00B611F6">
        <w:rPr>
          <w:rFonts w:ascii="Times New Roman" w:hAnsi="Times New Roman" w:cs="Times New Roman"/>
          <w:color w:val="000000" w:themeColor="text1"/>
          <w:sz w:val="20"/>
          <w:szCs w:val="20"/>
          <w:lang w:val="en-US"/>
        </w:rPr>
        <w:t xml:space="preserve">Figure 4. (A) Number of vascular bundles and (B) cross-sectional area of cladodes of the pitaya species </w:t>
      </w:r>
      <w:r w:rsidRPr="00B611F6">
        <w:rPr>
          <w:rFonts w:ascii="Times New Roman" w:hAnsi="Times New Roman" w:cs="Times New Roman"/>
          <w:i/>
          <w:iCs/>
          <w:color w:val="000000" w:themeColor="text1"/>
          <w:sz w:val="20"/>
          <w:szCs w:val="20"/>
          <w:lang w:val="en-US"/>
        </w:rPr>
        <w:t>Selenicereus undatus</w:t>
      </w:r>
      <w:r w:rsidRPr="00B611F6">
        <w:rPr>
          <w:rFonts w:ascii="Times New Roman" w:hAnsi="Times New Roman" w:cs="Times New Roman"/>
          <w:color w:val="000000" w:themeColor="text1"/>
          <w:sz w:val="20"/>
          <w:szCs w:val="20"/>
          <w:lang w:val="en-US"/>
        </w:rPr>
        <w:t xml:space="preserve"> (Haw.) D.R. Hunt and </w:t>
      </w:r>
      <w:r w:rsidRPr="00B611F6">
        <w:rPr>
          <w:rFonts w:ascii="Times New Roman" w:hAnsi="Times New Roman" w:cs="Times New Roman"/>
          <w:i/>
          <w:iCs/>
          <w:color w:val="000000" w:themeColor="text1"/>
          <w:sz w:val="20"/>
          <w:szCs w:val="20"/>
          <w:lang w:val="en-US"/>
        </w:rPr>
        <w:t xml:space="preserve">Hylocereus </w:t>
      </w:r>
      <w:proofErr w:type="spellStart"/>
      <w:r w:rsidRPr="00B611F6">
        <w:rPr>
          <w:rFonts w:ascii="Times New Roman" w:hAnsi="Times New Roman" w:cs="Times New Roman"/>
          <w:i/>
          <w:iCs/>
          <w:color w:val="000000" w:themeColor="text1"/>
          <w:sz w:val="20"/>
          <w:szCs w:val="20"/>
          <w:lang w:val="en-US"/>
        </w:rPr>
        <w:t>polyrhizus</w:t>
      </w:r>
      <w:proofErr w:type="spellEnd"/>
      <w:r w:rsidRPr="00B611F6">
        <w:rPr>
          <w:rFonts w:ascii="Times New Roman" w:hAnsi="Times New Roman" w:cs="Times New Roman"/>
          <w:color w:val="000000" w:themeColor="text1"/>
          <w:sz w:val="20"/>
          <w:szCs w:val="20"/>
          <w:lang w:val="en-US"/>
        </w:rPr>
        <w:t xml:space="preserve"> (Salm-Dyck) R. Bauer after 65 days of </w:t>
      </w:r>
      <w:r w:rsidRPr="00B611F6">
        <w:rPr>
          <w:rFonts w:ascii="Times New Roman" w:hAnsi="Times New Roman" w:cs="Times New Roman"/>
          <w:i/>
          <w:iCs/>
          <w:color w:val="000000" w:themeColor="text1"/>
          <w:sz w:val="20"/>
          <w:szCs w:val="20"/>
          <w:lang w:val="en-US"/>
        </w:rPr>
        <w:t>in vitro</w:t>
      </w:r>
      <w:r w:rsidRPr="00B611F6">
        <w:rPr>
          <w:rFonts w:ascii="Times New Roman" w:hAnsi="Times New Roman" w:cs="Times New Roman"/>
          <w:color w:val="000000" w:themeColor="text1"/>
          <w:sz w:val="20"/>
          <w:szCs w:val="20"/>
          <w:lang w:val="en-US"/>
        </w:rPr>
        <w:t xml:space="preserve"> cultivation under different light qualities [white (WL), blue (BL), purple (PL), and red (RL)]. Anatomical traits are presented as means ± standard error (n = 5). Means followed by the same lowercase letter within each light quality (species comparison) and the same uppercase letter within each species (light quality comparison) are not significantly different according to Tukey's honestly significant difference (HSD) test at the 5% significance level (p ≤ 0.05).</w:t>
      </w:r>
    </w:p>
    <w:p w14:paraId="7D519219" w14:textId="217F25B0" w:rsidR="00E4197A" w:rsidRDefault="00E4197A" w:rsidP="00E4197A">
      <w:pPr>
        <w:spacing w:line="360" w:lineRule="auto"/>
        <w:ind w:firstLine="708"/>
        <w:jc w:val="both"/>
        <w:rPr>
          <w:bCs/>
          <w:color w:val="000000" w:themeColor="text1"/>
          <w:sz w:val="24"/>
          <w:szCs w:val="24"/>
          <w:lang w:val="en-US"/>
        </w:rPr>
      </w:pPr>
    </w:p>
    <w:p w14:paraId="3D5EC098" w14:textId="25D592F4" w:rsidR="00E4197A" w:rsidRDefault="00B611F6" w:rsidP="00E4197A">
      <w:pPr>
        <w:spacing w:line="360" w:lineRule="auto"/>
        <w:ind w:firstLine="708"/>
        <w:jc w:val="both"/>
        <w:rPr>
          <w:bCs/>
          <w:color w:val="000000" w:themeColor="text1"/>
          <w:sz w:val="24"/>
          <w:szCs w:val="24"/>
          <w:lang w:val="en-US"/>
        </w:rPr>
      </w:pPr>
      <w:r w:rsidRPr="005246A2">
        <w:rPr>
          <w:noProof/>
          <w:sz w:val="24"/>
          <w:szCs w:val="24"/>
        </w:rPr>
        <w:lastRenderedPageBreak/>
        <w:drawing>
          <wp:anchor distT="0" distB="0" distL="114300" distR="114300" simplePos="0" relativeHeight="251667456" behindDoc="0" locked="0" layoutInCell="1" allowOverlap="1" wp14:anchorId="23A20599" wp14:editId="0D26BBEC">
            <wp:simplePos x="0" y="0"/>
            <wp:positionH relativeFrom="margin">
              <wp:posOffset>741680</wp:posOffset>
            </wp:positionH>
            <wp:positionV relativeFrom="paragraph">
              <wp:posOffset>375285</wp:posOffset>
            </wp:positionV>
            <wp:extent cx="4189730" cy="1951355"/>
            <wp:effectExtent l="0" t="0" r="1270" b="0"/>
            <wp:wrapSquare wrapText="bothSides"/>
            <wp:docPr id="20725090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509061" name="Picture 207250906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89730" cy="1951355"/>
                    </a:xfrm>
                    <a:prstGeom prst="rect">
                      <a:avLst/>
                    </a:prstGeom>
                  </pic:spPr>
                </pic:pic>
              </a:graphicData>
            </a:graphic>
            <wp14:sizeRelH relativeFrom="page">
              <wp14:pctWidth>0</wp14:pctWidth>
            </wp14:sizeRelH>
            <wp14:sizeRelV relativeFrom="page">
              <wp14:pctHeight>0</wp14:pctHeight>
            </wp14:sizeRelV>
          </wp:anchor>
        </w:drawing>
      </w:r>
    </w:p>
    <w:p w14:paraId="770F5644" w14:textId="77777777" w:rsidR="00E4197A" w:rsidRDefault="00E4197A" w:rsidP="00E4197A">
      <w:pPr>
        <w:spacing w:line="360" w:lineRule="auto"/>
        <w:ind w:firstLine="708"/>
        <w:jc w:val="both"/>
        <w:rPr>
          <w:bCs/>
          <w:color w:val="000000" w:themeColor="text1"/>
          <w:sz w:val="24"/>
          <w:szCs w:val="24"/>
          <w:lang w:val="en-US"/>
        </w:rPr>
      </w:pPr>
    </w:p>
    <w:p w14:paraId="226D60BF" w14:textId="77777777" w:rsidR="00E4197A" w:rsidRDefault="00E4197A" w:rsidP="00E4197A">
      <w:pPr>
        <w:spacing w:line="360" w:lineRule="auto"/>
        <w:ind w:firstLine="708"/>
        <w:jc w:val="both"/>
        <w:rPr>
          <w:bCs/>
          <w:color w:val="000000" w:themeColor="text1"/>
          <w:sz w:val="24"/>
          <w:szCs w:val="24"/>
          <w:lang w:val="en-US"/>
        </w:rPr>
      </w:pPr>
    </w:p>
    <w:p w14:paraId="3BDAA240" w14:textId="77777777" w:rsidR="00B611F6" w:rsidRDefault="00B611F6" w:rsidP="00E4197A">
      <w:pPr>
        <w:spacing w:line="360" w:lineRule="auto"/>
        <w:ind w:firstLine="708"/>
        <w:jc w:val="both"/>
        <w:rPr>
          <w:bCs/>
          <w:color w:val="000000" w:themeColor="text1"/>
          <w:sz w:val="24"/>
          <w:szCs w:val="24"/>
          <w:lang w:val="en-US"/>
        </w:rPr>
      </w:pPr>
    </w:p>
    <w:p w14:paraId="4C8C7ED5" w14:textId="77777777" w:rsidR="00B611F6" w:rsidRDefault="00B611F6" w:rsidP="00E4197A">
      <w:pPr>
        <w:spacing w:line="360" w:lineRule="auto"/>
        <w:ind w:firstLine="708"/>
        <w:jc w:val="both"/>
        <w:rPr>
          <w:bCs/>
          <w:color w:val="000000" w:themeColor="text1"/>
          <w:sz w:val="24"/>
          <w:szCs w:val="24"/>
          <w:lang w:val="en-US"/>
        </w:rPr>
      </w:pPr>
    </w:p>
    <w:p w14:paraId="0F931BD9" w14:textId="77777777" w:rsidR="00B611F6" w:rsidRDefault="00B611F6" w:rsidP="00E4197A">
      <w:pPr>
        <w:spacing w:line="360" w:lineRule="auto"/>
        <w:ind w:firstLine="708"/>
        <w:jc w:val="both"/>
        <w:rPr>
          <w:bCs/>
          <w:color w:val="000000" w:themeColor="text1"/>
          <w:sz w:val="24"/>
          <w:szCs w:val="24"/>
          <w:lang w:val="en-US"/>
        </w:rPr>
      </w:pPr>
    </w:p>
    <w:p w14:paraId="3D7F34EB" w14:textId="77777777" w:rsidR="00E4197A" w:rsidRPr="00E4197A" w:rsidRDefault="00E4197A" w:rsidP="00E4197A">
      <w:pPr>
        <w:spacing w:line="360" w:lineRule="auto"/>
        <w:jc w:val="both"/>
        <w:rPr>
          <w:rFonts w:ascii="Times New Roman" w:hAnsi="Times New Roman" w:cs="Times New Roman"/>
          <w:bCs/>
          <w:color w:val="000000" w:themeColor="text1"/>
          <w:sz w:val="20"/>
          <w:szCs w:val="20"/>
          <w:lang w:val="en-US"/>
        </w:rPr>
      </w:pPr>
    </w:p>
    <w:p w14:paraId="4D8215A1" w14:textId="4D2C0326" w:rsidR="00743100" w:rsidRDefault="00E4197A" w:rsidP="00BD716A">
      <w:pPr>
        <w:spacing w:line="360" w:lineRule="auto"/>
        <w:jc w:val="both"/>
        <w:rPr>
          <w:rFonts w:ascii="Times New Roman" w:hAnsi="Times New Roman" w:cs="Times New Roman"/>
          <w:bCs/>
          <w:color w:val="000000" w:themeColor="text1"/>
          <w:sz w:val="20"/>
          <w:szCs w:val="20"/>
          <w:lang w:val="en-US"/>
        </w:rPr>
      </w:pPr>
      <w:r w:rsidRPr="00E4197A">
        <w:rPr>
          <w:rFonts w:ascii="Times New Roman" w:hAnsi="Times New Roman" w:cs="Times New Roman"/>
          <w:color w:val="000000" w:themeColor="text1"/>
          <w:sz w:val="20"/>
          <w:szCs w:val="20"/>
          <w:lang w:val="en-US"/>
        </w:rPr>
        <w:t>Figure 5.</w:t>
      </w:r>
      <w:r w:rsidRPr="00E4197A">
        <w:rPr>
          <w:rFonts w:ascii="Times New Roman" w:hAnsi="Times New Roman" w:cs="Times New Roman"/>
          <w:bCs/>
          <w:color w:val="000000" w:themeColor="text1"/>
          <w:sz w:val="20"/>
          <w:szCs w:val="20"/>
          <w:lang w:val="en-US"/>
        </w:rPr>
        <w:t xml:space="preserve"> Cross-sectional area of cladodes of pitaya species, </w:t>
      </w:r>
      <w:r w:rsidRPr="00E4197A">
        <w:rPr>
          <w:rFonts w:ascii="Times New Roman" w:hAnsi="Times New Roman" w:cs="Times New Roman"/>
          <w:bCs/>
          <w:i/>
          <w:iCs/>
          <w:sz w:val="20"/>
          <w:szCs w:val="20"/>
          <w:lang w:val="en-US"/>
        </w:rPr>
        <w:t>Selenicereus undatus</w:t>
      </w:r>
      <w:r w:rsidRPr="00E4197A">
        <w:rPr>
          <w:rFonts w:ascii="Times New Roman" w:hAnsi="Times New Roman" w:cs="Times New Roman"/>
          <w:bCs/>
          <w:sz w:val="20"/>
          <w:szCs w:val="20"/>
          <w:lang w:val="en-US"/>
        </w:rPr>
        <w:t xml:space="preserve"> (Haw.) D.R.</w:t>
      </w:r>
      <w:r w:rsidR="00164E06">
        <w:rPr>
          <w:rFonts w:ascii="Times New Roman" w:hAnsi="Times New Roman" w:cs="Times New Roman"/>
          <w:bCs/>
          <w:sz w:val="20"/>
          <w:szCs w:val="20"/>
          <w:lang w:val="en-US"/>
        </w:rPr>
        <w:t xml:space="preserve"> </w:t>
      </w:r>
      <w:r w:rsidRPr="00E4197A">
        <w:rPr>
          <w:rFonts w:ascii="Times New Roman" w:hAnsi="Times New Roman" w:cs="Times New Roman"/>
          <w:bCs/>
          <w:sz w:val="20"/>
          <w:szCs w:val="20"/>
          <w:lang w:val="en-US"/>
        </w:rPr>
        <w:t xml:space="preserve">Hunt and </w:t>
      </w:r>
      <w:r w:rsidRPr="00E4197A">
        <w:rPr>
          <w:rFonts w:ascii="Times New Roman" w:hAnsi="Times New Roman" w:cs="Times New Roman"/>
          <w:bCs/>
          <w:i/>
          <w:iCs/>
          <w:sz w:val="20"/>
          <w:szCs w:val="20"/>
          <w:lang w:val="en-US"/>
        </w:rPr>
        <w:t xml:space="preserve">Hylocereus </w:t>
      </w:r>
      <w:proofErr w:type="spellStart"/>
      <w:r w:rsidRPr="00E4197A">
        <w:rPr>
          <w:rFonts w:ascii="Times New Roman" w:hAnsi="Times New Roman" w:cs="Times New Roman"/>
          <w:bCs/>
          <w:i/>
          <w:iCs/>
          <w:sz w:val="20"/>
          <w:szCs w:val="20"/>
          <w:lang w:val="en-US"/>
        </w:rPr>
        <w:t>polyrhizus</w:t>
      </w:r>
      <w:proofErr w:type="spellEnd"/>
      <w:r w:rsidRPr="00E4197A">
        <w:rPr>
          <w:rFonts w:ascii="Times New Roman" w:hAnsi="Times New Roman" w:cs="Times New Roman"/>
          <w:bCs/>
          <w:sz w:val="20"/>
          <w:szCs w:val="20"/>
          <w:lang w:val="en-US"/>
        </w:rPr>
        <w:t xml:space="preserve"> (Salm-Dyck) R.</w:t>
      </w:r>
      <w:r w:rsidR="00164E06">
        <w:rPr>
          <w:rFonts w:ascii="Times New Roman" w:hAnsi="Times New Roman" w:cs="Times New Roman"/>
          <w:bCs/>
          <w:sz w:val="20"/>
          <w:szCs w:val="20"/>
          <w:lang w:val="en-US"/>
        </w:rPr>
        <w:t xml:space="preserve"> </w:t>
      </w:r>
      <w:r w:rsidRPr="00E4197A">
        <w:rPr>
          <w:rFonts w:ascii="Times New Roman" w:hAnsi="Times New Roman" w:cs="Times New Roman"/>
          <w:bCs/>
          <w:sz w:val="20"/>
          <w:szCs w:val="20"/>
          <w:lang w:val="en-US"/>
        </w:rPr>
        <w:t>Bauer</w:t>
      </w:r>
      <w:r w:rsidRPr="00E4197A">
        <w:rPr>
          <w:rFonts w:ascii="Times New Roman" w:hAnsi="Times New Roman" w:cs="Times New Roman"/>
          <w:bCs/>
          <w:color w:val="000000" w:themeColor="text1"/>
          <w:sz w:val="20"/>
          <w:szCs w:val="20"/>
          <w:lang w:val="en-US"/>
        </w:rPr>
        <w:t xml:space="preserve">, after 65 days of </w:t>
      </w:r>
      <w:r w:rsidRPr="00E4197A">
        <w:rPr>
          <w:rFonts w:ascii="Times New Roman" w:hAnsi="Times New Roman" w:cs="Times New Roman"/>
          <w:bCs/>
          <w:i/>
          <w:iCs/>
          <w:color w:val="000000" w:themeColor="text1"/>
          <w:sz w:val="20"/>
          <w:szCs w:val="20"/>
          <w:lang w:val="en-US"/>
        </w:rPr>
        <w:t>in vitro</w:t>
      </w:r>
      <w:r w:rsidRPr="00E4197A">
        <w:rPr>
          <w:rFonts w:ascii="Times New Roman" w:hAnsi="Times New Roman" w:cs="Times New Roman"/>
          <w:bCs/>
          <w:color w:val="000000" w:themeColor="text1"/>
          <w:sz w:val="20"/>
          <w:szCs w:val="20"/>
          <w:lang w:val="en-US"/>
        </w:rPr>
        <w:t xml:space="preserve"> cultivation, under different light qualities [White (A–B), Blue (C–D), Purple (E–F), and Red (G–H)]. Legend: c = cuticle; ep = epidermis; pr = storage parenchyma; pm = medullary parenchyma; cx = cortex; w = wing; ab = axillary bud (areole); </w:t>
      </w:r>
      <w:proofErr w:type="spellStart"/>
      <w:r w:rsidRPr="00E4197A">
        <w:rPr>
          <w:rFonts w:ascii="Times New Roman" w:hAnsi="Times New Roman" w:cs="Times New Roman"/>
          <w:bCs/>
          <w:color w:val="000000" w:themeColor="text1"/>
          <w:sz w:val="20"/>
          <w:szCs w:val="20"/>
          <w:lang w:val="en-US"/>
        </w:rPr>
        <w:t>vb</w:t>
      </w:r>
      <w:proofErr w:type="spellEnd"/>
      <w:r w:rsidRPr="00E4197A">
        <w:rPr>
          <w:rFonts w:ascii="Times New Roman" w:hAnsi="Times New Roman" w:cs="Times New Roman"/>
          <w:bCs/>
          <w:color w:val="000000" w:themeColor="text1"/>
          <w:sz w:val="20"/>
          <w:szCs w:val="20"/>
          <w:lang w:val="en-US"/>
        </w:rPr>
        <w:t xml:space="preserve"> = vascular bundle. Scale bar = 100 µm. </w:t>
      </w:r>
    </w:p>
    <w:p w14:paraId="674958B6" w14:textId="77777777" w:rsidR="00BD716A" w:rsidRPr="001A0AC6" w:rsidRDefault="00BD716A" w:rsidP="00BD716A">
      <w:pPr>
        <w:spacing w:line="360" w:lineRule="auto"/>
        <w:jc w:val="both"/>
        <w:rPr>
          <w:rFonts w:ascii="Times New Roman" w:hAnsi="Times New Roman" w:cs="Times New Roman"/>
          <w:bCs/>
          <w:color w:val="000000" w:themeColor="text1"/>
          <w:sz w:val="20"/>
          <w:szCs w:val="20"/>
          <w:lang w:val="en-US"/>
        </w:rPr>
      </w:pPr>
    </w:p>
    <w:p w14:paraId="2FEC15FA" w14:textId="77777777" w:rsidR="003A10A7" w:rsidRPr="00205531" w:rsidRDefault="003A10A7" w:rsidP="003A10A7">
      <w:pPr>
        <w:spacing w:after="0" w:line="360" w:lineRule="auto"/>
        <w:ind w:firstLine="708"/>
        <w:jc w:val="both"/>
        <w:rPr>
          <w:rFonts w:ascii="Times New Roman" w:hAnsi="Times New Roman" w:cs="Times New Roman"/>
          <w:bCs/>
          <w:color w:val="000000" w:themeColor="text1"/>
          <w:sz w:val="20"/>
          <w:szCs w:val="20"/>
          <w:lang w:val="en-US"/>
        </w:rPr>
      </w:pPr>
      <w:r w:rsidRPr="00205531">
        <w:rPr>
          <w:rFonts w:ascii="Times New Roman" w:hAnsi="Times New Roman" w:cs="Times New Roman"/>
          <w:bCs/>
          <w:color w:val="000000" w:themeColor="text1"/>
          <w:sz w:val="20"/>
          <w:szCs w:val="20"/>
          <w:lang w:val="en-US"/>
        </w:rPr>
        <w:t xml:space="preserve">The number of vascular bundles was higher in </w:t>
      </w:r>
      <w:r w:rsidRPr="00205531">
        <w:rPr>
          <w:rFonts w:ascii="Times New Roman" w:hAnsi="Times New Roman" w:cs="Times New Roman"/>
          <w:bCs/>
          <w:i/>
          <w:iCs/>
          <w:color w:val="000000" w:themeColor="text1"/>
          <w:sz w:val="20"/>
          <w:szCs w:val="20"/>
          <w:lang w:val="en-US"/>
        </w:rPr>
        <w:t>S. undatus</w:t>
      </w:r>
      <w:r w:rsidRPr="00205531">
        <w:rPr>
          <w:rFonts w:ascii="Times New Roman" w:hAnsi="Times New Roman" w:cs="Times New Roman"/>
          <w:bCs/>
          <w:color w:val="000000" w:themeColor="text1"/>
          <w:sz w:val="20"/>
          <w:szCs w:val="20"/>
          <w:lang w:val="en-US"/>
        </w:rPr>
        <w:t xml:space="preserve"> than in </w:t>
      </w:r>
      <w:r w:rsidRPr="00205531">
        <w:rPr>
          <w:rFonts w:ascii="Times New Roman" w:hAnsi="Times New Roman" w:cs="Times New Roman"/>
          <w:bCs/>
          <w:i/>
          <w:iCs/>
          <w:color w:val="000000" w:themeColor="text1"/>
          <w:sz w:val="20"/>
          <w:szCs w:val="20"/>
          <w:lang w:val="en-US"/>
        </w:rPr>
        <w:t xml:space="preserve">H. </w:t>
      </w:r>
      <w:proofErr w:type="spellStart"/>
      <w:r w:rsidRPr="00205531">
        <w:rPr>
          <w:rFonts w:ascii="Times New Roman" w:hAnsi="Times New Roman" w:cs="Times New Roman"/>
          <w:bCs/>
          <w:i/>
          <w:iCs/>
          <w:color w:val="000000" w:themeColor="text1"/>
          <w:sz w:val="20"/>
          <w:szCs w:val="20"/>
          <w:lang w:val="en-US"/>
        </w:rPr>
        <w:t>polyrhizus</w:t>
      </w:r>
      <w:proofErr w:type="spellEnd"/>
      <w:r w:rsidRPr="00205531">
        <w:rPr>
          <w:rFonts w:ascii="Times New Roman" w:hAnsi="Times New Roman" w:cs="Times New Roman"/>
          <w:bCs/>
          <w:color w:val="000000" w:themeColor="text1"/>
          <w:sz w:val="20"/>
          <w:szCs w:val="20"/>
          <w:lang w:val="en-US"/>
        </w:rPr>
        <w:t xml:space="preserve"> under white (10.6 vs. 7.2), purple (9.2 vs. 7.8), and red light (7.0 vs. 4.0), whereas under blue light, </w:t>
      </w:r>
      <w:r w:rsidRPr="00205531">
        <w:rPr>
          <w:rFonts w:ascii="Times New Roman" w:hAnsi="Times New Roman" w:cs="Times New Roman"/>
          <w:bCs/>
          <w:i/>
          <w:iCs/>
          <w:color w:val="000000" w:themeColor="text1"/>
          <w:sz w:val="20"/>
          <w:szCs w:val="20"/>
          <w:lang w:val="en-US"/>
        </w:rPr>
        <w:t xml:space="preserve">H. </w:t>
      </w:r>
      <w:proofErr w:type="spellStart"/>
      <w:r w:rsidRPr="00205531">
        <w:rPr>
          <w:rFonts w:ascii="Times New Roman" w:hAnsi="Times New Roman" w:cs="Times New Roman"/>
          <w:bCs/>
          <w:i/>
          <w:iCs/>
          <w:color w:val="000000" w:themeColor="text1"/>
          <w:sz w:val="20"/>
          <w:szCs w:val="20"/>
          <w:lang w:val="en-US"/>
        </w:rPr>
        <w:t>polyrhizus</w:t>
      </w:r>
      <w:proofErr w:type="spellEnd"/>
      <w:r w:rsidRPr="00205531">
        <w:rPr>
          <w:rFonts w:ascii="Times New Roman" w:hAnsi="Times New Roman" w:cs="Times New Roman"/>
          <w:bCs/>
          <w:color w:val="000000" w:themeColor="text1"/>
          <w:sz w:val="20"/>
          <w:szCs w:val="20"/>
          <w:lang w:val="en-US"/>
        </w:rPr>
        <w:t xml:space="preserve"> exhibited a higher number (5.8 vs. 4.6) (Figures 4A and 5).</w:t>
      </w:r>
      <w:r w:rsidRPr="001A0AC6">
        <w:rPr>
          <w:rFonts w:ascii="Times New Roman" w:hAnsi="Times New Roman" w:cs="Times New Roman"/>
          <w:bCs/>
          <w:color w:val="000000" w:themeColor="text1"/>
          <w:sz w:val="20"/>
          <w:szCs w:val="20"/>
          <w:lang w:val="en-US"/>
        </w:rPr>
        <w:t xml:space="preserve"> </w:t>
      </w:r>
      <w:r w:rsidRPr="00205531">
        <w:rPr>
          <w:rFonts w:ascii="Times New Roman" w:hAnsi="Times New Roman" w:cs="Times New Roman"/>
          <w:bCs/>
          <w:color w:val="000000" w:themeColor="text1"/>
          <w:sz w:val="20"/>
          <w:szCs w:val="20"/>
          <w:lang w:val="en-US"/>
        </w:rPr>
        <w:t xml:space="preserve">In </w:t>
      </w:r>
      <w:r w:rsidRPr="00205531">
        <w:rPr>
          <w:rFonts w:ascii="Times New Roman" w:hAnsi="Times New Roman" w:cs="Times New Roman"/>
          <w:bCs/>
          <w:i/>
          <w:iCs/>
          <w:color w:val="000000" w:themeColor="text1"/>
          <w:sz w:val="20"/>
          <w:szCs w:val="20"/>
          <w:lang w:val="en-US"/>
        </w:rPr>
        <w:t>S. undatus</w:t>
      </w:r>
      <w:r w:rsidRPr="00205531">
        <w:rPr>
          <w:rFonts w:ascii="Times New Roman" w:hAnsi="Times New Roman" w:cs="Times New Roman"/>
          <w:bCs/>
          <w:color w:val="000000" w:themeColor="text1"/>
          <w:sz w:val="20"/>
          <w:szCs w:val="20"/>
          <w:lang w:val="en-US"/>
        </w:rPr>
        <w:t xml:space="preserve">, the number of vascular bundles was highest under white light, followed by purple and red light, and lowest under blue light. In </w:t>
      </w:r>
      <w:r w:rsidRPr="00205531">
        <w:rPr>
          <w:rFonts w:ascii="Times New Roman" w:hAnsi="Times New Roman" w:cs="Times New Roman"/>
          <w:bCs/>
          <w:i/>
          <w:iCs/>
          <w:color w:val="000000" w:themeColor="text1"/>
          <w:sz w:val="20"/>
          <w:szCs w:val="20"/>
          <w:lang w:val="en-US"/>
        </w:rPr>
        <w:t xml:space="preserve">H. </w:t>
      </w:r>
      <w:proofErr w:type="spellStart"/>
      <w:r w:rsidRPr="00205531">
        <w:rPr>
          <w:rFonts w:ascii="Times New Roman" w:hAnsi="Times New Roman" w:cs="Times New Roman"/>
          <w:bCs/>
          <w:i/>
          <w:iCs/>
          <w:color w:val="000000" w:themeColor="text1"/>
          <w:sz w:val="20"/>
          <w:szCs w:val="20"/>
          <w:lang w:val="en-US"/>
        </w:rPr>
        <w:t>polyrhizus</w:t>
      </w:r>
      <w:proofErr w:type="spellEnd"/>
      <w:r w:rsidRPr="00205531">
        <w:rPr>
          <w:rFonts w:ascii="Times New Roman" w:hAnsi="Times New Roman" w:cs="Times New Roman"/>
          <w:bCs/>
          <w:color w:val="000000" w:themeColor="text1"/>
          <w:sz w:val="20"/>
          <w:szCs w:val="20"/>
          <w:lang w:val="en-US"/>
        </w:rPr>
        <w:t>, the highest values were observed under purple (7.8) and white light (7.2), which did not differ significantly, followed by blue light (5.8), with the lowest values under red light (4.0) (Figures 4A and 5).</w:t>
      </w:r>
    </w:p>
    <w:p w14:paraId="0C0AE7FC" w14:textId="35F4C531" w:rsidR="003A10A7" w:rsidRDefault="003A10A7" w:rsidP="0085520E">
      <w:pPr>
        <w:spacing w:line="360" w:lineRule="auto"/>
        <w:ind w:firstLine="708"/>
        <w:jc w:val="both"/>
        <w:rPr>
          <w:rFonts w:ascii="Times New Roman" w:hAnsi="Times New Roman" w:cs="Times New Roman"/>
          <w:bCs/>
          <w:color w:val="000000" w:themeColor="text1"/>
          <w:sz w:val="20"/>
          <w:szCs w:val="20"/>
          <w:lang w:val="en-US"/>
        </w:rPr>
      </w:pPr>
      <w:r w:rsidRPr="00205531">
        <w:rPr>
          <w:rFonts w:ascii="Times New Roman" w:hAnsi="Times New Roman" w:cs="Times New Roman"/>
          <w:bCs/>
          <w:color w:val="000000" w:themeColor="text1"/>
          <w:sz w:val="20"/>
          <w:szCs w:val="20"/>
          <w:lang w:val="en-US"/>
        </w:rPr>
        <w:t xml:space="preserve">The cladode cross-sectional area was greater in </w:t>
      </w:r>
      <w:r w:rsidRPr="00205531">
        <w:rPr>
          <w:rFonts w:ascii="Times New Roman" w:hAnsi="Times New Roman" w:cs="Times New Roman"/>
          <w:bCs/>
          <w:i/>
          <w:iCs/>
          <w:color w:val="000000" w:themeColor="text1"/>
          <w:sz w:val="20"/>
          <w:szCs w:val="20"/>
          <w:lang w:val="en-US"/>
        </w:rPr>
        <w:t>S. undatus</w:t>
      </w:r>
      <w:r w:rsidRPr="00205531">
        <w:rPr>
          <w:rFonts w:ascii="Times New Roman" w:hAnsi="Times New Roman" w:cs="Times New Roman"/>
          <w:bCs/>
          <w:color w:val="000000" w:themeColor="text1"/>
          <w:sz w:val="20"/>
          <w:szCs w:val="20"/>
          <w:lang w:val="en-US"/>
        </w:rPr>
        <w:t xml:space="preserve"> than in </w:t>
      </w:r>
      <w:r w:rsidRPr="00205531">
        <w:rPr>
          <w:rFonts w:ascii="Times New Roman" w:hAnsi="Times New Roman" w:cs="Times New Roman"/>
          <w:bCs/>
          <w:i/>
          <w:iCs/>
          <w:color w:val="000000" w:themeColor="text1"/>
          <w:sz w:val="20"/>
          <w:szCs w:val="20"/>
          <w:lang w:val="en-US"/>
        </w:rPr>
        <w:t xml:space="preserve">H. </w:t>
      </w:r>
      <w:proofErr w:type="spellStart"/>
      <w:r w:rsidRPr="00205531">
        <w:rPr>
          <w:rFonts w:ascii="Times New Roman" w:hAnsi="Times New Roman" w:cs="Times New Roman"/>
          <w:bCs/>
          <w:i/>
          <w:iCs/>
          <w:color w:val="000000" w:themeColor="text1"/>
          <w:sz w:val="20"/>
          <w:szCs w:val="20"/>
          <w:lang w:val="en-US"/>
        </w:rPr>
        <w:t>polyrhizus</w:t>
      </w:r>
      <w:proofErr w:type="spellEnd"/>
      <w:r w:rsidRPr="00205531">
        <w:rPr>
          <w:rFonts w:ascii="Times New Roman" w:hAnsi="Times New Roman" w:cs="Times New Roman"/>
          <w:bCs/>
          <w:color w:val="000000" w:themeColor="text1"/>
          <w:sz w:val="20"/>
          <w:szCs w:val="20"/>
          <w:lang w:val="en-US"/>
        </w:rPr>
        <w:t xml:space="preserve"> under blue (0.93 vs. 0.59 mm²) and white light (0.79 vs. 0.51 mm²), whereas </w:t>
      </w:r>
      <w:r w:rsidRPr="00205531">
        <w:rPr>
          <w:rFonts w:ascii="Times New Roman" w:hAnsi="Times New Roman" w:cs="Times New Roman"/>
          <w:bCs/>
          <w:i/>
          <w:iCs/>
          <w:color w:val="000000" w:themeColor="text1"/>
          <w:sz w:val="20"/>
          <w:szCs w:val="20"/>
          <w:lang w:val="en-US"/>
        </w:rPr>
        <w:t xml:space="preserve">H. </w:t>
      </w:r>
      <w:proofErr w:type="spellStart"/>
      <w:r w:rsidRPr="00205531">
        <w:rPr>
          <w:rFonts w:ascii="Times New Roman" w:hAnsi="Times New Roman" w:cs="Times New Roman"/>
          <w:bCs/>
          <w:i/>
          <w:iCs/>
          <w:color w:val="000000" w:themeColor="text1"/>
          <w:sz w:val="20"/>
          <w:szCs w:val="20"/>
          <w:lang w:val="en-US"/>
        </w:rPr>
        <w:t>polyrhizus</w:t>
      </w:r>
      <w:proofErr w:type="spellEnd"/>
      <w:r w:rsidRPr="00205531">
        <w:rPr>
          <w:rFonts w:ascii="Times New Roman" w:hAnsi="Times New Roman" w:cs="Times New Roman"/>
          <w:bCs/>
          <w:color w:val="000000" w:themeColor="text1"/>
          <w:sz w:val="20"/>
          <w:szCs w:val="20"/>
          <w:lang w:val="en-US"/>
        </w:rPr>
        <w:t xml:space="preserve"> exhibited larger areas under purple (0.88 vs. 0.81 mm²) and red light (0.79 vs. 0.28 mm²) (Figures 4B and 5). In </w:t>
      </w:r>
      <w:r w:rsidRPr="00205531">
        <w:rPr>
          <w:rFonts w:ascii="Times New Roman" w:hAnsi="Times New Roman" w:cs="Times New Roman"/>
          <w:bCs/>
          <w:i/>
          <w:iCs/>
          <w:color w:val="000000" w:themeColor="text1"/>
          <w:sz w:val="20"/>
          <w:szCs w:val="20"/>
          <w:lang w:val="en-US"/>
        </w:rPr>
        <w:t>S. undatus</w:t>
      </w:r>
      <w:r w:rsidRPr="00205531">
        <w:rPr>
          <w:rFonts w:ascii="Times New Roman" w:hAnsi="Times New Roman" w:cs="Times New Roman"/>
          <w:bCs/>
          <w:color w:val="000000" w:themeColor="text1"/>
          <w:sz w:val="20"/>
          <w:szCs w:val="20"/>
          <w:lang w:val="en-US"/>
        </w:rPr>
        <w:t xml:space="preserve">, cross-sectional area was highest under blue light, followed by purple and white light, which did not differ significantly, and lowest under red light. In contrast, </w:t>
      </w:r>
      <w:r w:rsidRPr="00205531">
        <w:rPr>
          <w:rFonts w:ascii="Times New Roman" w:hAnsi="Times New Roman" w:cs="Times New Roman"/>
          <w:bCs/>
          <w:i/>
          <w:iCs/>
          <w:color w:val="000000" w:themeColor="text1"/>
          <w:sz w:val="20"/>
          <w:szCs w:val="20"/>
          <w:lang w:val="en-US"/>
        </w:rPr>
        <w:t xml:space="preserve">H. </w:t>
      </w:r>
      <w:proofErr w:type="spellStart"/>
      <w:r w:rsidRPr="00205531">
        <w:rPr>
          <w:rFonts w:ascii="Times New Roman" w:hAnsi="Times New Roman" w:cs="Times New Roman"/>
          <w:bCs/>
          <w:i/>
          <w:iCs/>
          <w:color w:val="000000" w:themeColor="text1"/>
          <w:sz w:val="20"/>
          <w:szCs w:val="20"/>
          <w:lang w:val="en-US"/>
        </w:rPr>
        <w:t>polyrhizus</w:t>
      </w:r>
      <w:proofErr w:type="spellEnd"/>
      <w:r w:rsidRPr="00205531">
        <w:rPr>
          <w:rFonts w:ascii="Times New Roman" w:hAnsi="Times New Roman" w:cs="Times New Roman"/>
          <w:bCs/>
          <w:color w:val="000000" w:themeColor="text1"/>
          <w:sz w:val="20"/>
          <w:szCs w:val="20"/>
          <w:lang w:val="en-US"/>
        </w:rPr>
        <w:t xml:space="preserve"> showed the highest cross-sectional area under purple light, followed by red and blue light, and the lowest under white light (Figures 4B and 5).</w:t>
      </w:r>
    </w:p>
    <w:p w14:paraId="1EBC6230" w14:textId="77777777" w:rsidR="00EA7252" w:rsidRPr="00205531" w:rsidRDefault="00EA7252" w:rsidP="0085520E">
      <w:pPr>
        <w:spacing w:line="360" w:lineRule="auto"/>
        <w:ind w:firstLine="708"/>
        <w:jc w:val="both"/>
        <w:rPr>
          <w:rFonts w:ascii="Times New Roman" w:hAnsi="Times New Roman" w:cs="Times New Roman"/>
          <w:bCs/>
          <w:color w:val="000000" w:themeColor="text1"/>
          <w:sz w:val="20"/>
          <w:szCs w:val="20"/>
          <w:lang w:val="en-US"/>
        </w:rPr>
      </w:pPr>
    </w:p>
    <w:p w14:paraId="44D9E2DA" w14:textId="77777777" w:rsidR="0012313F" w:rsidRPr="0012313F" w:rsidRDefault="0012313F" w:rsidP="0012313F">
      <w:pPr>
        <w:spacing w:line="360" w:lineRule="auto"/>
        <w:ind w:firstLine="708"/>
        <w:jc w:val="both"/>
        <w:rPr>
          <w:rFonts w:ascii="Times New Roman" w:hAnsi="Times New Roman" w:cs="Times New Roman"/>
          <w:bCs/>
          <w:color w:val="000000" w:themeColor="text1"/>
          <w:sz w:val="20"/>
          <w:szCs w:val="20"/>
          <w:highlight w:val="yellow"/>
          <w:lang w:val="en-US"/>
        </w:rPr>
      </w:pPr>
      <w:r w:rsidRPr="0012313F">
        <w:rPr>
          <w:rFonts w:ascii="Times New Roman" w:hAnsi="Times New Roman" w:cs="Times New Roman"/>
          <w:bCs/>
          <w:color w:val="000000" w:themeColor="text1"/>
          <w:sz w:val="20"/>
          <w:szCs w:val="20"/>
          <w:highlight w:val="yellow"/>
          <w:lang w:val="en-US"/>
        </w:rPr>
        <w:t xml:space="preserve">These anatomical patterns are consistent with previous studies reporting that LED spectral quality influences vascular development and tissue differentiation in plants (Ahsan et al., 2024; Chen et al., 2025). In </w:t>
      </w:r>
      <w:r w:rsidRPr="0012313F">
        <w:rPr>
          <w:rFonts w:ascii="Times New Roman" w:hAnsi="Times New Roman" w:cs="Times New Roman"/>
          <w:bCs/>
          <w:i/>
          <w:iCs/>
          <w:color w:val="000000" w:themeColor="text1"/>
          <w:sz w:val="20"/>
          <w:szCs w:val="20"/>
          <w:highlight w:val="yellow"/>
          <w:lang w:val="en-US"/>
        </w:rPr>
        <w:t>Selenicereus undatus</w:t>
      </w:r>
      <w:r w:rsidRPr="0012313F">
        <w:rPr>
          <w:rFonts w:ascii="Times New Roman" w:hAnsi="Times New Roman" w:cs="Times New Roman"/>
          <w:bCs/>
          <w:color w:val="000000" w:themeColor="text1"/>
          <w:sz w:val="20"/>
          <w:szCs w:val="20"/>
          <w:highlight w:val="yellow"/>
          <w:lang w:val="en-US"/>
        </w:rPr>
        <w:t xml:space="preserve">, the greater number of vascular bundles observed under white and blue light suggests that these conditions were associated with higher vascular development during </w:t>
      </w:r>
      <w:r w:rsidRPr="008D65B3">
        <w:rPr>
          <w:rFonts w:ascii="Times New Roman" w:hAnsi="Times New Roman" w:cs="Times New Roman"/>
          <w:bCs/>
          <w:i/>
          <w:iCs/>
          <w:color w:val="000000" w:themeColor="text1"/>
          <w:sz w:val="20"/>
          <w:szCs w:val="20"/>
          <w:highlight w:val="yellow"/>
          <w:lang w:val="en-US"/>
        </w:rPr>
        <w:t>in vitro</w:t>
      </w:r>
      <w:r w:rsidRPr="0012313F">
        <w:rPr>
          <w:rFonts w:ascii="Times New Roman" w:hAnsi="Times New Roman" w:cs="Times New Roman"/>
          <w:bCs/>
          <w:color w:val="000000" w:themeColor="text1"/>
          <w:sz w:val="20"/>
          <w:szCs w:val="20"/>
          <w:highlight w:val="yellow"/>
          <w:lang w:val="en-US"/>
        </w:rPr>
        <w:t xml:space="preserve"> culture. Previous studies have reported that blue light is involved in vascular development and tissue differentiation processes in plants (Yang et al., 2017; </w:t>
      </w:r>
      <w:proofErr w:type="spellStart"/>
      <w:r w:rsidRPr="0012313F">
        <w:rPr>
          <w:rFonts w:ascii="Times New Roman" w:hAnsi="Times New Roman" w:cs="Times New Roman"/>
          <w:bCs/>
          <w:color w:val="000000" w:themeColor="text1"/>
          <w:sz w:val="20"/>
          <w:szCs w:val="20"/>
          <w:highlight w:val="yellow"/>
          <w:lang w:val="en-US"/>
        </w:rPr>
        <w:t>Bantis</w:t>
      </w:r>
      <w:proofErr w:type="spellEnd"/>
      <w:r w:rsidRPr="0012313F">
        <w:rPr>
          <w:rFonts w:ascii="Times New Roman" w:hAnsi="Times New Roman" w:cs="Times New Roman"/>
          <w:bCs/>
          <w:color w:val="000000" w:themeColor="text1"/>
          <w:sz w:val="20"/>
          <w:szCs w:val="20"/>
          <w:highlight w:val="yellow"/>
          <w:lang w:val="en-US"/>
        </w:rPr>
        <w:t xml:space="preserve"> et al., 2020; Mani et al., 2024). However, since molecular and signaling processes were not </w:t>
      </w:r>
      <w:r w:rsidRPr="0012313F">
        <w:rPr>
          <w:rFonts w:ascii="Times New Roman" w:hAnsi="Times New Roman" w:cs="Times New Roman"/>
          <w:bCs/>
          <w:color w:val="000000" w:themeColor="text1"/>
          <w:sz w:val="20"/>
          <w:szCs w:val="20"/>
          <w:highlight w:val="yellow"/>
          <w:lang w:val="en-US"/>
        </w:rPr>
        <w:lastRenderedPageBreak/>
        <w:t>assessed in the present study, these mechanisms should be considered only as possible explanations for the observed anatomical differences.</w:t>
      </w:r>
    </w:p>
    <w:p w14:paraId="75E096A4" w14:textId="77777777" w:rsidR="0012313F" w:rsidRPr="0012313F" w:rsidRDefault="0012313F" w:rsidP="0012313F">
      <w:pPr>
        <w:spacing w:line="360" w:lineRule="auto"/>
        <w:ind w:firstLine="708"/>
        <w:jc w:val="both"/>
        <w:rPr>
          <w:rFonts w:ascii="Times New Roman" w:hAnsi="Times New Roman" w:cs="Times New Roman"/>
          <w:bCs/>
          <w:color w:val="000000" w:themeColor="text1"/>
          <w:sz w:val="20"/>
          <w:szCs w:val="20"/>
          <w:highlight w:val="yellow"/>
          <w:lang w:val="en-US"/>
        </w:rPr>
      </w:pPr>
      <w:r w:rsidRPr="0012313F">
        <w:rPr>
          <w:rFonts w:ascii="Times New Roman" w:hAnsi="Times New Roman" w:cs="Times New Roman"/>
          <w:bCs/>
          <w:color w:val="000000" w:themeColor="text1"/>
          <w:sz w:val="20"/>
          <w:szCs w:val="20"/>
          <w:highlight w:val="yellow"/>
          <w:lang w:val="en-US"/>
        </w:rPr>
        <w:t>Blue light has also been reported to promote vascular reconnection in grafted watermelon, whereas red light may delay early stages of vascular development (</w:t>
      </w:r>
      <w:proofErr w:type="spellStart"/>
      <w:r w:rsidRPr="0012313F">
        <w:rPr>
          <w:rFonts w:ascii="Times New Roman" w:hAnsi="Times New Roman" w:cs="Times New Roman"/>
          <w:bCs/>
          <w:color w:val="000000" w:themeColor="text1"/>
          <w:sz w:val="20"/>
          <w:szCs w:val="20"/>
          <w:highlight w:val="yellow"/>
          <w:lang w:val="en-US"/>
        </w:rPr>
        <w:t>Bantis</w:t>
      </w:r>
      <w:proofErr w:type="spellEnd"/>
      <w:r w:rsidRPr="0012313F">
        <w:rPr>
          <w:rFonts w:ascii="Times New Roman" w:hAnsi="Times New Roman" w:cs="Times New Roman"/>
          <w:bCs/>
          <w:color w:val="000000" w:themeColor="text1"/>
          <w:sz w:val="20"/>
          <w:szCs w:val="20"/>
          <w:highlight w:val="yellow"/>
          <w:lang w:val="en-US"/>
        </w:rPr>
        <w:t xml:space="preserve"> et al., 2020; Wu et al., 2024). In the present study, the lower number of vascular bundles under red light in both species suggests reduced vascular development under this spectral condition.</w:t>
      </w:r>
    </w:p>
    <w:p w14:paraId="43FFFC6D" w14:textId="77777777" w:rsidR="0012313F" w:rsidRPr="0012313F" w:rsidRDefault="0012313F" w:rsidP="0012313F">
      <w:pPr>
        <w:spacing w:line="360" w:lineRule="auto"/>
        <w:ind w:firstLine="708"/>
        <w:jc w:val="both"/>
        <w:rPr>
          <w:rFonts w:ascii="Times New Roman" w:hAnsi="Times New Roman" w:cs="Times New Roman"/>
          <w:bCs/>
          <w:color w:val="000000" w:themeColor="text1"/>
          <w:sz w:val="20"/>
          <w:szCs w:val="20"/>
          <w:highlight w:val="yellow"/>
          <w:lang w:val="en-US"/>
        </w:rPr>
      </w:pPr>
      <w:r w:rsidRPr="0012313F">
        <w:rPr>
          <w:rFonts w:ascii="Times New Roman" w:hAnsi="Times New Roman" w:cs="Times New Roman"/>
          <w:bCs/>
          <w:color w:val="000000" w:themeColor="text1"/>
          <w:sz w:val="20"/>
          <w:szCs w:val="20"/>
          <w:highlight w:val="yellow"/>
          <w:lang w:val="en-US"/>
        </w:rPr>
        <w:t xml:space="preserve">The increased cross-sectional area observed under blue and purple light in </w:t>
      </w:r>
      <w:r w:rsidRPr="0012313F">
        <w:rPr>
          <w:rFonts w:ascii="Times New Roman" w:hAnsi="Times New Roman" w:cs="Times New Roman"/>
          <w:bCs/>
          <w:i/>
          <w:iCs/>
          <w:color w:val="000000" w:themeColor="text1"/>
          <w:sz w:val="20"/>
          <w:szCs w:val="20"/>
          <w:highlight w:val="yellow"/>
          <w:lang w:val="en-US"/>
        </w:rPr>
        <w:t>S. undatus</w:t>
      </w:r>
      <w:r w:rsidRPr="0012313F">
        <w:rPr>
          <w:rFonts w:ascii="Times New Roman" w:hAnsi="Times New Roman" w:cs="Times New Roman"/>
          <w:bCs/>
          <w:color w:val="000000" w:themeColor="text1"/>
          <w:sz w:val="20"/>
          <w:szCs w:val="20"/>
          <w:highlight w:val="yellow"/>
          <w:lang w:val="en-US"/>
        </w:rPr>
        <w:t xml:space="preserve"> was associated with enhanced tissue expansion and structural development.</w:t>
      </w:r>
    </w:p>
    <w:p w14:paraId="4E83BC56" w14:textId="77777777" w:rsidR="0012313F" w:rsidRPr="0012313F" w:rsidRDefault="0012313F" w:rsidP="0012313F">
      <w:pPr>
        <w:spacing w:line="360" w:lineRule="auto"/>
        <w:ind w:firstLine="708"/>
        <w:jc w:val="both"/>
        <w:rPr>
          <w:rFonts w:ascii="Times New Roman" w:hAnsi="Times New Roman" w:cs="Times New Roman"/>
          <w:bCs/>
          <w:color w:val="000000" w:themeColor="text1"/>
          <w:sz w:val="20"/>
          <w:szCs w:val="20"/>
          <w:highlight w:val="yellow"/>
          <w:lang w:val="en-US"/>
        </w:rPr>
      </w:pPr>
      <w:r w:rsidRPr="0012313F">
        <w:rPr>
          <w:rFonts w:ascii="Times New Roman" w:hAnsi="Times New Roman" w:cs="Times New Roman"/>
          <w:bCs/>
          <w:color w:val="000000" w:themeColor="text1"/>
          <w:sz w:val="20"/>
          <w:szCs w:val="20"/>
          <w:highlight w:val="yellow"/>
          <w:lang w:val="en-US"/>
        </w:rPr>
        <w:t xml:space="preserve">The comparatively lower responsiveness of </w:t>
      </w:r>
      <w:r w:rsidRPr="0012313F">
        <w:rPr>
          <w:rFonts w:ascii="Times New Roman" w:hAnsi="Times New Roman" w:cs="Times New Roman"/>
          <w:bCs/>
          <w:i/>
          <w:iCs/>
          <w:color w:val="000000" w:themeColor="text1"/>
          <w:sz w:val="20"/>
          <w:szCs w:val="20"/>
          <w:highlight w:val="yellow"/>
          <w:lang w:val="en-US"/>
        </w:rPr>
        <w:t xml:space="preserve">Hylocereus </w:t>
      </w:r>
      <w:proofErr w:type="spellStart"/>
      <w:r w:rsidRPr="0012313F">
        <w:rPr>
          <w:rFonts w:ascii="Times New Roman" w:hAnsi="Times New Roman" w:cs="Times New Roman"/>
          <w:bCs/>
          <w:i/>
          <w:iCs/>
          <w:color w:val="000000" w:themeColor="text1"/>
          <w:sz w:val="20"/>
          <w:szCs w:val="20"/>
          <w:highlight w:val="yellow"/>
          <w:lang w:val="en-US"/>
        </w:rPr>
        <w:t>polyrhizus</w:t>
      </w:r>
      <w:proofErr w:type="spellEnd"/>
      <w:r w:rsidRPr="0012313F">
        <w:rPr>
          <w:rFonts w:ascii="Times New Roman" w:hAnsi="Times New Roman" w:cs="Times New Roman"/>
          <w:bCs/>
          <w:color w:val="000000" w:themeColor="text1"/>
          <w:sz w:val="20"/>
          <w:szCs w:val="20"/>
          <w:highlight w:val="yellow"/>
          <w:lang w:val="en-US"/>
        </w:rPr>
        <w:t xml:space="preserve"> indicates species-specific differences in anatomical plasticity under the evaluated LED treatments, reflecting distinct developmental responses between the two pitaya species during </w:t>
      </w:r>
      <w:r w:rsidRPr="008D65B3">
        <w:rPr>
          <w:rFonts w:ascii="Times New Roman" w:hAnsi="Times New Roman" w:cs="Times New Roman"/>
          <w:bCs/>
          <w:i/>
          <w:iCs/>
          <w:color w:val="000000" w:themeColor="text1"/>
          <w:sz w:val="20"/>
          <w:szCs w:val="20"/>
          <w:highlight w:val="yellow"/>
          <w:lang w:val="en-US"/>
        </w:rPr>
        <w:t>in vitro</w:t>
      </w:r>
      <w:r w:rsidRPr="0012313F">
        <w:rPr>
          <w:rFonts w:ascii="Times New Roman" w:hAnsi="Times New Roman" w:cs="Times New Roman"/>
          <w:bCs/>
          <w:color w:val="000000" w:themeColor="text1"/>
          <w:sz w:val="20"/>
          <w:szCs w:val="20"/>
          <w:highlight w:val="yellow"/>
          <w:lang w:val="en-US"/>
        </w:rPr>
        <w:t xml:space="preserve"> culture. This observation is consistent with previous studies on cacti showing that anatomical responses vary among species depending on environmental and culture conditions (Soto Acosta et al., 2023; Hong &amp; Huang, 2024).</w:t>
      </w:r>
    </w:p>
    <w:p w14:paraId="31512D2A" w14:textId="77777777" w:rsidR="003A10A7" w:rsidRPr="001A0AC6" w:rsidRDefault="003A10A7" w:rsidP="003A10A7">
      <w:pPr>
        <w:spacing w:line="360" w:lineRule="auto"/>
        <w:ind w:firstLine="708"/>
        <w:jc w:val="both"/>
        <w:rPr>
          <w:rFonts w:ascii="Times New Roman" w:hAnsi="Times New Roman" w:cs="Times New Roman"/>
          <w:bCs/>
          <w:sz w:val="20"/>
          <w:szCs w:val="20"/>
          <w:lang w:val="en-US"/>
        </w:rPr>
      </w:pPr>
      <w:r w:rsidRPr="001A0AC6">
        <w:rPr>
          <w:rFonts w:ascii="Times New Roman" w:hAnsi="Times New Roman" w:cs="Times New Roman"/>
          <w:bCs/>
          <w:sz w:val="20"/>
          <w:szCs w:val="20"/>
          <w:lang w:val="en-US"/>
        </w:rPr>
        <w:t xml:space="preserve">Root anatomical analysis of </w:t>
      </w:r>
      <w:r w:rsidRPr="001A0AC6">
        <w:rPr>
          <w:rFonts w:ascii="Times New Roman" w:hAnsi="Times New Roman" w:cs="Times New Roman"/>
          <w:bCs/>
          <w:i/>
          <w:iCs/>
          <w:sz w:val="20"/>
          <w:szCs w:val="20"/>
          <w:lang w:val="en-US"/>
        </w:rPr>
        <w:t>S. undatus</w:t>
      </w:r>
      <w:r w:rsidRPr="001A0AC6">
        <w:rPr>
          <w:rFonts w:ascii="Times New Roman" w:hAnsi="Times New Roman" w:cs="Times New Roman"/>
          <w:bCs/>
          <w:sz w:val="20"/>
          <w:szCs w:val="20"/>
          <w:lang w:val="en-US"/>
        </w:rPr>
        <w:t xml:space="preserve"> and </w:t>
      </w:r>
      <w:r w:rsidRPr="001A0AC6">
        <w:rPr>
          <w:rFonts w:ascii="Times New Roman" w:hAnsi="Times New Roman" w:cs="Times New Roman"/>
          <w:bCs/>
          <w:i/>
          <w:iCs/>
          <w:sz w:val="20"/>
          <w:szCs w:val="20"/>
          <w:lang w:val="en-US"/>
        </w:rPr>
        <w:t xml:space="preserve">H. </w:t>
      </w:r>
      <w:proofErr w:type="spellStart"/>
      <w:r w:rsidRPr="001A0AC6">
        <w:rPr>
          <w:rFonts w:ascii="Times New Roman" w:hAnsi="Times New Roman" w:cs="Times New Roman"/>
          <w:bCs/>
          <w:i/>
          <w:iCs/>
          <w:sz w:val="20"/>
          <w:szCs w:val="20"/>
          <w:lang w:val="en-US"/>
        </w:rPr>
        <w:t>polyrhizus</w:t>
      </w:r>
      <w:proofErr w:type="spellEnd"/>
      <w:r w:rsidRPr="001A0AC6">
        <w:rPr>
          <w:rFonts w:ascii="Times New Roman" w:hAnsi="Times New Roman" w:cs="Times New Roman"/>
          <w:bCs/>
          <w:sz w:val="20"/>
          <w:szCs w:val="20"/>
          <w:lang w:val="en-US"/>
        </w:rPr>
        <w:t xml:space="preserve"> under different light conditions revealed significant differences in total diameter and cross-sectional area (Figure 6).</w:t>
      </w:r>
    </w:p>
    <w:p w14:paraId="23E190DB" w14:textId="0349263D" w:rsidR="003A10A7" w:rsidRDefault="003A10A7" w:rsidP="0085520E">
      <w:pPr>
        <w:spacing w:line="360" w:lineRule="auto"/>
        <w:ind w:firstLine="708"/>
        <w:jc w:val="both"/>
        <w:rPr>
          <w:rFonts w:ascii="Times New Roman" w:hAnsi="Times New Roman" w:cs="Times New Roman"/>
          <w:bCs/>
          <w:sz w:val="20"/>
          <w:szCs w:val="20"/>
          <w:lang w:val="en-US"/>
        </w:rPr>
      </w:pPr>
      <w:r w:rsidRPr="001A0AC6">
        <w:rPr>
          <w:rFonts w:ascii="Times New Roman" w:hAnsi="Times New Roman" w:cs="Times New Roman"/>
          <w:bCs/>
          <w:sz w:val="20"/>
          <w:szCs w:val="20"/>
          <w:lang w:val="en-US"/>
        </w:rPr>
        <w:t xml:space="preserve">The total root diameter was greater in </w:t>
      </w:r>
      <w:r w:rsidRPr="001A0AC6">
        <w:rPr>
          <w:rFonts w:ascii="Times New Roman" w:hAnsi="Times New Roman" w:cs="Times New Roman"/>
          <w:bCs/>
          <w:i/>
          <w:iCs/>
          <w:sz w:val="20"/>
          <w:szCs w:val="20"/>
          <w:lang w:val="en-US"/>
        </w:rPr>
        <w:t>S. undatus</w:t>
      </w:r>
      <w:r w:rsidRPr="001A0AC6">
        <w:rPr>
          <w:rFonts w:ascii="Times New Roman" w:hAnsi="Times New Roman" w:cs="Times New Roman"/>
          <w:bCs/>
          <w:sz w:val="20"/>
          <w:szCs w:val="20"/>
          <w:lang w:val="en-US"/>
        </w:rPr>
        <w:t xml:space="preserve"> than in </w:t>
      </w:r>
      <w:r w:rsidRPr="001A0AC6">
        <w:rPr>
          <w:rFonts w:ascii="Times New Roman" w:hAnsi="Times New Roman" w:cs="Times New Roman"/>
          <w:bCs/>
          <w:i/>
          <w:iCs/>
          <w:sz w:val="20"/>
          <w:szCs w:val="20"/>
          <w:lang w:val="en-US"/>
        </w:rPr>
        <w:t xml:space="preserve">H. </w:t>
      </w:r>
      <w:proofErr w:type="spellStart"/>
      <w:r w:rsidRPr="001A0AC6">
        <w:rPr>
          <w:rFonts w:ascii="Times New Roman" w:hAnsi="Times New Roman" w:cs="Times New Roman"/>
          <w:bCs/>
          <w:i/>
          <w:iCs/>
          <w:sz w:val="20"/>
          <w:szCs w:val="20"/>
          <w:lang w:val="en-US"/>
        </w:rPr>
        <w:t>polyrhizus</w:t>
      </w:r>
      <w:proofErr w:type="spellEnd"/>
      <w:r w:rsidRPr="001A0AC6">
        <w:rPr>
          <w:rFonts w:ascii="Times New Roman" w:hAnsi="Times New Roman" w:cs="Times New Roman"/>
          <w:bCs/>
          <w:sz w:val="20"/>
          <w:szCs w:val="20"/>
          <w:lang w:val="en-US"/>
        </w:rPr>
        <w:t xml:space="preserve"> under red, purple, and white light, whereas the opposite trend was observed under blue light (Figures 6A and 7).</w:t>
      </w:r>
    </w:p>
    <w:p w14:paraId="12BE018A" w14:textId="6B5CEE7A" w:rsidR="00BD716A" w:rsidRDefault="001B052D" w:rsidP="0085520E">
      <w:pPr>
        <w:spacing w:line="360" w:lineRule="auto"/>
        <w:ind w:firstLine="708"/>
        <w:jc w:val="both"/>
        <w:rPr>
          <w:rFonts w:ascii="Times New Roman" w:hAnsi="Times New Roman" w:cs="Times New Roman"/>
          <w:bCs/>
          <w:sz w:val="20"/>
          <w:szCs w:val="20"/>
          <w:lang w:val="en-US"/>
        </w:rPr>
      </w:pPr>
      <w:r>
        <w:rPr>
          <w:b/>
          <w:bCs/>
          <w:noProof/>
          <w:sz w:val="24"/>
          <w:szCs w:val="24"/>
        </w:rPr>
        <w:drawing>
          <wp:anchor distT="0" distB="0" distL="114300" distR="114300" simplePos="0" relativeHeight="251669504" behindDoc="0" locked="0" layoutInCell="1" allowOverlap="1" wp14:anchorId="6735B78E" wp14:editId="5853409A">
            <wp:simplePos x="0" y="0"/>
            <wp:positionH relativeFrom="margin">
              <wp:posOffset>1456055</wp:posOffset>
            </wp:positionH>
            <wp:positionV relativeFrom="paragraph">
              <wp:posOffset>151765</wp:posOffset>
            </wp:positionV>
            <wp:extent cx="2809875" cy="4035425"/>
            <wp:effectExtent l="0" t="0" r="9525" b="3175"/>
            <wp:wrapSquare wrapText="bothSides"/>
            <wp:docPr id="1613998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09875" cy="4035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79E630" w14:textId="77777777" w:rsidR="00BD716A" w:rsidRDefault="00BD716A" w:rsidP="0085520E">
      <w:pPr>
        <w:spacing w:line="360" w:lineRule="auto"/>
        <w:ind w:firstLine="708"/>
        <w:jc w:val="both"/>
        <w:rPr>
          <w:rFonts w:ascii="Times New Roman" w:hAnsi="Times New Roman" w:cs="Times New Roman"/>
          <w:bCs/>
          <w:sz w:val="20"/>
          <w:szCs w:val="20"/>
          <w:lang w:val="en-US"/>
        </w:rPr>
      </w:pPr>
    </w:p>
    <w:p w14:paraId="10C9EA35" w14:textId="77777777" w:rsidR="00BD716A" w:rsidRDefault="00BD716A" w:rsidP="0085520E">
      <w:pPr>
        <w:spacing w:line="360" w:lineRule="auto"/>
        <w:ind w:firstLine="708"/>
        <w:jc w:val="both"/>
        <w:rPr>
          <w:rFonts w:ascii="Times New Roman" w:hAnsi="Times New Roman" w:cs="Times New Roman"/>
          <w:bCs/>
          <w:sz w:val="20"/>
          <w:szCs w:val="20"/>
          <w:lang w:val="en-US"/>
        </w:rPr>
      </w:pPr>
    </w:p>
    <w:p w14:paraId="19F20B9A" w14:textId="77777777" w:rsidR="00BD716A" w:rsidRDefault="00BD716A" w:rsidP="0085520E">
      <w:pPr>
        <w:spacing w:line="360" w:lineRule="auto"/>
        <w:ind w:firstLine="708"/>
        <w:jc w:val="both"/>
        <w:rPr>
          <w:rFonts w:ascii="Times New Roman" w:hAnsi="Times New Roman" w:cs="Times New Roman"/>
          <w:bCs/>
          <w:sz w:val="20"/>
          <w:szCs w:val="20"/>
          <w:lang w:val="en-US"/>
        </w:rPr>
      </w:pPr>
    </w:p>
    <w:p w14:paraId="6473CF01" w14:textId="77777777" w:rsidR="00BD716A" w:rsidRDefault="00BD716A" w:rsidP="0085520E">
      <w:pPr>
        <w:spacing w:line="360" w:lineRule="auto"/>
        <w:ind w:firstLine="708"/>
        <w:jc w:val="both"/>
        <w:rPr>
          <w:rFonts w:ascii="Times New Roman" w:hAnsi="Times New Roman" w:cs="Times New Roman"/>
          <w:bCs/>
          <w:sz w:val="20"/>
          <w:szCs w:val="20"/>
          <w:lang w:val="en-US"/>
        </w:rPr>
      </w:pPr>
    </w:p>
    <w:p w14:paraId="062FEA1E" w14:textId="77777777" w:rsidR="00BD716A" w:rsidRDefault="00BD716A" w:rsidP="0085520E">
      <w:pPr>
        <w:spacing w:line="360" w:lineRule="auto"/>
        <w:ind w:firstLine="708"/>
        <w:jc w:val="both"/>
        <w:rPr>
          <w:rFonts w:ascii="Times New Roman" w:hAnsi="Times New Roman" w:cs="Times New Roman"/>
          <w:bCs/>
          <w:sz w:val="20"/>
          <w:szCs w:val="20"/>
          <w:lang w:val="en-US"/>
        </w:rPr>
      </w:pPr>
    </w:p>
    <w:p w14:paraId="4D76A161" w14:textId="77777777" w:rsidR="001B052D" w:rsidRDefault="001B052D" w:rsidP="0085520E">
      <w:pPr>
        <w:spacing w:line="360" w:lineRule="auto"/>
        <w:ind w:firstLine="708"/>
        <w:jc w:val="both"/>
        <w:rPr>
          <w:rFonts w:ascii="Times New Roman" w:hAnsi="Times New Roman" w:cs="Times New Roman"/>
          <w:bCs/>
          <w:sz w:val="20"/>
          <w:szCs w:val="20"/>
          <w:lang w:val="en-US"/>
        </w:rPr>
      </w:pPr>
    </w:p>
    <w:p w14:paraId="7BF5F018" w14:textId="77777777" w:rsidR="001B052D" w:rsidRDefault="001B052D" w:rsidP="0085520E">
      <w:pPr>
        <w:spacing w:line="360" w:lineRule="auto"/>
        <w:ind w:firstLine="708"/>
        <w:jc w:val="both"/>
        <w:rPr>
          <w:rFonts w:ascii="Times New Roman" w:hAnsi="Times New Roman" w:cs="Times New Roman"/>
          <w:bCs/>
          <w:sz w:val="20"/>
          <w:szCs w:val="20"/>
          <w:lang w:val="en-US"/>
        </w:rPr>
      </w:pPr>
    </w:p>
    <w:p w14:paraId="3826B10F" w14:textId="77777777" w:rsidR="001B052D" w:rsidRDefault="001B052D" w:rsidP="0085520E">
      <w:pPr>
        <w:spacing w:line="360" w:lineRule="auto"/>
        <w:ind w:firstLine="708"/>
        <w:jc w:val="both"/>
        <w:rPr>
          <w:rFonts w:ascii="Times New Roman" w:hAnsi="Times New Roman" w:cs="Times New Roman"/>
          <w:bCs/>
          <w:sz w:val="20"/>
          <w:szCs w:val="20"/>
          <w:lang w:val="en-US"/>
        </w:rPr>
      </w:pPr>
    </w:p>
    <w:p w14:paraId="41E81B13" w14:textId="77777777" w:rsidR="001B052D" w:rsidRDefault="001B052D" w:rsidP="0085520E">
      <w:pPr>
        <w:spacing w:line="360" w:lineRule="auto"/>
        <w:ind w:firstLine="708"/>
        <w:jc w:val="both"/>
        <w:rPr>
          <w:rFonts w:ascii="Times New Roman" w:hAnsi="Times New Roman" w:cs="Times New Roman"/>
          <w:bCs/>
          <w:sz w:val="20"/>
          <w:szCs w:val="20"/>
          <w:lang w:val="en-US"/>
        </w:rPr>
      </w:pPr>
    </w:p>
    <w:p w14:paraId="068B05BB" w14:textId="77777777" w:rsidR="001D5266" w:rsidRDefault="001D5266" w:rsidP="0085520E">
      <w:pPr>
        <w:spacing w:line="360" w:lineRule="auto"/>
        <w:ind w:firstLine="708"/>
        <w:jc w:val="both"/>
        <w:rPr>
          <w:rFonts w:ascii="Times New Roman" w:hAnsi="Times New Roman" w:cs="Times New Roman"/>
          <w:bCs/>
          <w:sz w:val="20"/>
          <w:szCs w:val="20"/>
          <w:lang w:val="en-US"/>
        </w:rPr>
      </w:pPr>
    </w:p>
    <w:p w14:paraId="408D0195" w14:textId="77777777" w:rsidR="001B052D" w:rsidRDefault="001B052D" w:rsidP="0085520E">
      <w:pPr>
        <w:spacing w:line="360" w:lineRule="auto"/>
        <w:ind w:firstLine="708"/>
        <w:jc w:val="both"/>
        <w:rPr>
          <w:rFonts w:ascii="Times New Roman" w:hAnsi="Times New Roman" w:cs="Times New Roman"/>
          <w:bCs/>
          <w:sz w:val="20"/>
          <w:szCs w:val="20"/>
          <w:lang w:val="en-US"/>
        </w:rPr>
      </w:pPr>
    </w:p>
    <w:p w14:paraId="4636E6FA" w14:textId="77777777" w:rsidR="001B052D" w:rsidRDefault="001B052D" w:rsidP="0085520E">
      <w:pPr>
        <w:spacing w:line="360" w:lineRule="auto"/>
        <w:ind w:firstLine="708"/>
        <w:jc w:val="both"/>
        <w:rPr>
          <w:rFonts w:ascii="Times New Roman" w:hAnsi="Times New Roman" w:cs="Times New Roman"/>
          <w:bCs/>
          <w:sz w:val="20"/>
          <w:szCs w:val="20"/>
          <w:lang w:val="en-US"/>
        </w:rPr>
      </w:pPr>
    </w:p>
    <w:p w14:paraId="4E65D430" w14:textId="26571485" w:rsidR="001D5266" w:rsidRPr="008672F6" w:rsidRDefault="008672F6" w:rsidP="001D5266">
      <w:pPr>
        <w:spacing w:line="360" w:lineRule="auto"/>
        <w:jc w:val="both"/>
        <w:rPr>
          <w:sz w:val="24"/>
          <w:szCs w:val="24"/>
          <w:lang w:val="en-US"/>
        </w:rPr>
      </w:pPr>
      <w:r w:rsidRPr="008672F6">
        <w:rPr>
          <w:rFonts w:ascii="Times New Roman" w:hAnsi="Times New Roman" w:cs="Times New Roman"/>
          <w:sz w:val="20"/>
          <w:szCs w:val="20"/>
          <w:lang w:val="en-US"/>
        </w:rPr>
        <w:lastRenderedPageBreak/>
        <w:t xml:space="preserve">Figure 6. (A) Total root diameter and (B) root area of cladodes of the pitaya species </w:t>
      </w:r>
      <w:r w:rsidRPr="008672F6">
        <w:rPr>
          <w:rFonts w:ascii="Times New Roman" w:hAnsi="Times New Roman" w:cs="Times New Roman"/>
          <w:i/>
          <w:iCs/>
          <w:sz w:val="20"/>
          <w:szCs w:val="20"/>
          <w:lang w:val="en-US"/>
        </w:rPr>
        <w:t>Selenicereus undatus</w:t>
      </w:r>
      <w:r w:rsidRPr="008672F6">
        <w:rPr>
          <w:rFonts w:ascii="Times New Roman" w:hAnsi="Times New Roman" w:cs="Times New Roman"/>
          <w:sz w:val="20"/>
          <w:szCs w:val="20"/>
          <w:lang w:val="en-US"/>
        </w:rPr>
        <w:t xml:space="preserve"> (Haw.) D.R. Hunt and </w:t>
      </w:r>
      <w:r w:rsidRPr="008672F6">
        <w:rPr>
          <w:rFonts w:ascii="Times New Roman" w:hAnsi="Times New Roman" w:cs="Times New Roman"/>
          <w:i/>
          <w:iCs/>
          <w:sz w:val="20"/>
          <w:szCs w:val="20"/>
          <w:lang w:val="en-US"/>
        </w:rPr>
        <w:t xml:space="preserve">Hylocereus </w:t>
      </w:r>
      <w:proofErr w:type="spellStart"/>
      <w:r w:rsidRPr="008672F6">
        <w:rPr>
          <w:rFonts w:ascii="Times New Roman" w:hAnsi="Times New Roman" w:cs="Times New Roman"/>
          <w:i/>
          <w:iCs/>
          <w:sz w:val="20"/>
          <w:szCs w:val="20"/>
          <w:lang w:val="en-US"/>
        </w:rPr>
        <w:t>polyrhizus</w:t>
      </w:r>
      <w:proofErr w:type="spellEnd"/>
      <w:r w:rsidRPr="008672F6">
        <w:rPr>
          <w:rFonts w:ascii="Times New Roman" w:hAnsi="Times New Roman" w:cs="Times New Roman"/>
          <w:sz w:val="20"/>
          <w:szCs w:val="20"/>
          <w:lang w:val="en-US"/>
        </w:rPr>
        <w:t xml:space="preserve"> (Salm-Dyck) R. Bauer after 65 days of </w:t>
      </w:r>
      <w:r w:rsidRPr="008672F6">
        <w:rPr>
          <w:rFonts w:ascii="Times New Roman" w:hAnsi="Times New Roman" w:cs="Times New Roman"/>
          <w:i/>
          <w:iCs/>
          <w:sz w:val="20"/>
          <w:szCs w:val="20"/>
          <w:lang w:val="en-US"/>
        </w:rPr>
        <w:t>in vitro</w:t>
      </w:r>
      <w:r w:rsidRPr="008672F6">
        <w:rPr>
          <w:rFonts w:ascii="Times New Roman" w:hAnsi="Times New Roman" w:cs="Times New Roman"/>
          <w:sz w:val="20"/>
          <w:szCs w:val="20"/>
          <w:lang w:val="en-US"/>
        </w:rPr>
        <w:t xml:space="preserve"> cultivation under different light qualities [white (WL), blue (BL), purple (PL), and red (RL)]. Anatomical traits are presented as means ± standard error (n = 5). Means followed by the same lowercase letter within each light quality (species comparison) and the same uppercase letter within each species (light quality comparison) are not significantly different according to Tukey's honestly significant difference (HSD) test at the 5% significance level (p ≤ 0.05). </w:t>
      </w:r>
    </w:p>
    <w:p w14:paraId="63783B35" w14:textId="77777777" w:rsidR="001D5266" w:rsidRDefault="001D5266" w:rsidP="008672F6">
      <w:pPr>
        <w:spacing w:line="360" w:lineRule="auto"/>
        <w:jc w:val="both"/>
        <w:rPr>
          <w:bCs/>
          <w:sz w:val="24"/>
          <w:szCs w:val="24"/>
          <w:lang w:val="en-US"/>
        </w:rPr>
      </w:pPr>
    </w:p>
    <w:p w14:paraId="16844689" w14:textId="77777777" w:rsidR="001D5266" w:rsidRDefault="001D5266" w:rsidP="001D5266">
      <w:pPr>
        <w:spacing w:line="360" w:lineRule="auto"/>
        <w:ind w:firstLine="708"/>
        <w:jc w:val="both"/>
        <w:rPr>
          <w:bCs/>
          <w:sz w:val="24"/>
          <w:szCs w:val="24"/>
          <w:lang w:val="en-US"/>
        </w:rPr>
      </w:pPr>
      <w:r w:rsidRPr="00695785">
        <w:rPr>
          <w:noProof/>
          <w:sz w:val="24"/>
          <w:szCs w:val="24"/>
        </w:rPr>
        <w:drawing>
          <wp:anchor distT="0" distB="0" distL="114300" distR="114300" simplePos="0" relativeHeight="251671552" behindDoc="0" locked="0" layoutInCell="1" allowOverlap="1" wp14:anchorId="1C368C60" wp14:editId="4F34DC77">
            <wp:simplePos x="0" y="0"/>
            <wp:positionH relativeFrom="margin">
              <wp:posOffset>622935</wp:posOffset>
            </wp:positionH>
            <wp:positionV relativeFrom="paragraph">
              <wp:posOffset>9525</wp:posOffset>
            </wp:positionV>
            <wp:extent cx="4924425" cy="2076450"/>
            <wp:effectExtent l="0" t="0" r="9525" b="0"/>
            <wp:wrapSquare wrapText="bothSides"/>
            <wp:docPr id="1082371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24425" cy="2076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92A6EC" w14:textId="77777777" w:rsidR="001D5266" w:rsidRDefault="001D5266" w:rsidP="001D5266">
      <w:pPr>
        <w:spacing w:line="360" w:lineRule="auto"/>
        <w:ind w:firstLine="708"/>
        <w:jc w:val="both"/>
        <w:rPr>
          <w:bCs/>
          <w:sz w:val="24"/>
          <w:szCs w:val="24"/>
          <w:lang w:val="en-US"/>
        </w:rPr>
      </w:pPr>
    </w:p>
    <w:p w14:paraId="741A8B91" w14:textId="77777777" w:rsidR="001D5266" w:rsidRDefault="001D5266" w:rsidP="001D5266">
      <w:pPr>
        <w:spacing w:line="360" w:lineRule="auto"/>
        <w:ind w:firstLine="708"/>
        <w:jc w:val="both"/>
        <w:rPr>
          <w:bCs/>
          <w:sz w:val="24"/>
          <w:szCs w:val="24"/>
          <w:lang w:val="en-US"/>
        </w:rPr>
      </w:pPr>
    </w:p>
    <w:p w14:paraId="39691FCE" w14:textId="77777777" w:rsidR="001D5266" w:rsidRDefault="001D5266" w:rsidP="001D5266">
      <w:pPr>
        <w:spacing w:line="360" w:lineRule="auto"/>
        <w:ind w:firstLine="708"/>
        <w:jc w:val="both"/>
        <w:rPr>
          <w:bCs/>
          <w:sz w:val="24"/>
          <w:szCs w:val="24"/>
          <w:lang w:val="en-US"/>
        </w:rPr>
      </w:pPr>
    </w:p>
    <w:p w14:paraId="10F5EB7E" w14:textId="77777777" w:rsidR="001D5266" w:rsidRDefault="001D5266" w:rsidP="001D5266">
      <w:pPr>
        <w:spacing w:line="360" w:lineRule="auto"/>
        <w:ind w:firstLine="708"/>
        <w:jc w:val="both"/>
        <w:rPr>
          <w:bCs/>
          <w:sz w:val="24"/>
          <w:szCs w:val="24"/>
          <w:lang w:val="en-US"/>
        </w:rPr>
      </w:pPr>
    </w:p>
    <w:p w14:paraId="1ACDA22F" w14:textId="77777777" w:rsidR="001D5266" w:rsidRDefault="001D5266" w:rsidP="001D5266">
      <w:pPr>
        <w:spacing w:line="360" w:lineRule="auto"/>
        <w:jc w:val="both"/>
        <w:rPr>
          <w:bCs/>
          <w:sz w:val="24"/>
          <w:szCs w:val="24"/>
          <w:lang w:val="en-US"/>
        </w:rPr>
      </w:pPr>
    </w:p>
    <w:p w14:paraId="5DD3AA3B" w14:textId="5642CD8F" w:rsidR="001D5266" w:rsidRPr="001D5266" w:rsidRDefault="001D5266" w:rsidP="001D5266">
      <w:pPr>
        <w:spacing w:line="360" w:lineRule="auto"/>
        <w:jc w:val="both"/>
        <w:rPr>
          <w:rFonts w:ascii="Times New Roman" w:hAnsi="Times New Roman" w:cs="Times New Roman"/>
          <w:bCs/>
          <w:sz w:val="20"/>
          <w:szCs w:val="20"/>
          <w:lang w:val="en-US"/>
        </w:rPr>
      </w:pPr>
      <w:r w:rsidRPr="001D5266">
        <w:rPr>
          <w:rFonts w:ascii="Times New Roman" w:hAnsi="Times New Roman" w:cs="Times New Roman"/>
          <w:sz w:val="20"/>
          <w:szCs w:val="20"/>
          <w:lang w:val="en-US"/>
        </w:rPr>
        <w:t>Figure 7.</w:t>
      </w:r>
      <w:r w:rsidRPr="001D5266">
        <w:rPr>
          <w:rFonts w:ascii="Times New Roman" w:hAnsi="Times New Roman" w:cs="Times New Roman"/>
          <w:bCs/>
          <w:sz w:val="20"/>
          <w:szCs w:val="20"/>
          <w:lang w:val="en-US"/>
        </w:rPr>
        <w:t xml:space="preserve"> Photomicrographs of transverse sections of roots of pitaya species, </w:t>
      </w:r>
      <w:r w:rsidRPr="001D5266">
        <w:rPr>
          <w:rFonts w:ascii="Times New Roman" w:hAnsi="Times New Roman" w:cs="Times New Roman"/>
          <w:bCs/>
          <w:i/>
          <w:iCs/>
          <w:sz w:val="20"/>
          <w:szCs w:val="20"/>
          <w:lang w:val="en-US"/>
        </w:rPr>
        <w:t>Selenicereus undatus</w:t>
      </w:r>
      <w:r w:rsidRPr="001D5266">
        <w:rPr>
          <w:rFonts w:ascii="Times New Roman" w:hAnsi="Times New Roman" w:cs="Times New Roman"/>
          <w:bCs/>
          <w:sz w:val="20"/>
          <w:szCs w:val="20"/>
          <w:lang w:val="en-US"/>
        </w:rPr>
        <w:t xml:space="preserve"> (Haw.) D.R.</w:t>
      </w:r>
      <w:r w:rsidR="008672F6">
        <w:rPr>
          <w:rFonts w:ascii="Times New Roman" w:hAnsi="Times New Roman" w:cs="Times New Roman"/>
          <w:bCs/>
          <w:sz w:val="20"/>
          <w:szCs w:val="20"/>
          <w:lang w:val="en-US"/>
        </w:rPr>
        <w:t xml:space="preserve"> </w:t>
      </w:r>
      <w:r w:rsidRPr="001D5266">
        <w:rPr>
          <w:rFonts w:ascii="Times New Roman" w:hAnsi="Times New Roman" w:cs="Times New Roman"/>
          <w:bCs/>
          <w:sz w:val="20"/>
          <w:szCs w:val="20"/>
          <w:lang w:val="en-US"/>
        </w:rPr>
        <w:t xml:space="preserve">Hunt and </w:t>
      </w:r>
      <w:r w:rsidRPr="001D5266">
        <w:rPr>
          <w:rFonts w:ascii="Times New Roman" w:hAnsi="Times New Roman" w:cs="Times New Roman"/>
          <w:bCs/>
          <w:i/>
          <w:iCs/>
          <w:sz w:val="20"/>
          <w:szCs w:val="20"/>
          <w:lang w:val="en-US"/>
        </w:rPr>
        <w:t xml:space="preserve">Hylocereus </w:t>
      </w:r>
      <w:proofErr w:type="spellStart"/>
      <w:r w:rsidRPr="001D5266">
        <w:rPr>
          <w:rFonts w:ascii="Times New Roman" w:hAnsi="Times New Roman" w:cs="Times New Roman"/>
          <w:bCs/>
          <w:i/>
          <w:iCs/>
          <w:sz w:val="20"/>
          <w:szCs w:val="20"/>
          <w:lang w:val="en-US"/>
        </w:rPr>
        <w:t>polyrhizus</w:t>
      </w:r>
      <w:proofErr w:type="spellEnd"/>
      <w:r w:rsidRPr="001D5266">
        <w:rPr>
          <w:rFonts w:ascii="Times New Roman" w:hAnsi="Times New Roman" w:cs="Times New Roman"/>
          <w:bCs/>
          <w:sz w:val="20"/>
          <w:szCs w:val="20"/>
          <w:lang w:val="en-US"/>
        </w:rPr>
        <w:t xml:space="preserve"> (Salm-Dyck) R.</w:t>
      </w:r>
      <w:r w:rsidR="008672F6">
        <w:rPr>
          <w:rFonts w:ascii="Times New Roman" w:hAnsi="Times New Roman" w:cs="Times New Roman"/>
          <w:bCs/>
          <w:sz w:val="20"/>
          <w:szCs w:val="20"/>
          <w:lang w:val="en-US"/>
        </w:rPr>
        <w:t xml:space="preserve"> </w:t>
      </w:r>
      <w:r w:rsidRPr="001D5266">
        <w:rPr>
          <w:rFonts w:ascii="Times New Roman" w:hAnsi="Times New Roman" w:cs="Times New Roman"/>
          <w:bCs/>
          <w:sz w:val="20"/>
          <w:szCs w:val="20"/>
          <w:lang w:val="en-US"/>
        </w:rPr>
        <w:t xml:space="preserve">Bauer, after 65 days of </w:t>
      </w:r>
      <w:r w:rsidRPr="001D5266">
        <w:rPr>
          <w:rFonts w:ascii="Times New Roman" w:hAnsi="Times New Roman" w:cs="Times New Roman"/>
          <w:bCs/>
          <w:i/>
          <w:iCs/>
          <w:sz w:val="20"/>
          <w:szCs w:val="20"/>
          <w:lang w:val="en-US"/>
        </w:rPr>
        <w:t>in vitro</w:t>
      </w:r>
      <w:r w:rsidRPr="001D5266">
        <w:rPr>
          <w:rFonts w:ascii="Times New Roman" w:hAnsi="Times New Roman" w:cs="Times New Roman"/>
          <w:bCs/>
          <w:sz w:val="20"/>
          <w:szCs w:val="20"/>
          <w:lang w:val="en-US"/>
        </w:rPr>
        <w:t xml:space="preserve"> cultivation, under different light qualities [White (A–B), Blue (C–D), Purple (E–F), and Red (G–H)]. Legend: ep = epidermis; cx = cortex; cv = vascular cylinder; ex = exodermis; rh = root hairs. Scale bar = 100 µm. </w:t>
      </w:r>
    </w:p>
    <w:p w14:paraId="2CAF14F7" w14:textId="77777777" w:rsidR="001B052D" w:rsidRPr="00AA0127" w:rsidRDefault="001B052D" w:rsidP="001D5266">
      <w:pPr>
        <w:spacing w:line="360" w:lineRule="auto"/>
        <w:jc w:val="both"/>
        <w:rPr>
          <w:rFonts w:ascii="Times New Roman" w:hAnsi="Times New Roman" w:cs="Times New Roman"/>
          <w:bCs/>
          <w:sz w:val="20"/>
          <w:szCs w:val="20"/>
          <w:lang w:val="en-US"/>
        </w:rPr>
      </w:pPr>
    </w:p>
    <w:p w14:paraId="5CBBCF6C" w14:textId="77777777" w:rsidR="00BF5EF2" w:rsidRPr="00BF5EF2" w:rsidRDefault="00BF5EF2" w:rsidP="00BF5EF2">
      <w:pPr>
        <w:spacing w:after="0" w:line="360" w:lineRule="auto"/>
        <w:ind w:firstLine="708"/>
        <w:jc w:val="both"/>
        <w:rPr>
          <w:rFonts w:ascii="Times New Roman" w:hAnsi="Times New Roman" w:cs="Times New Roman"/>
          <w:bCs/>
          <w:sz w:val="20"/>
          <w:szCs w:val="20"/>
          <w:lang w:val="en-US"/>
        </w:rPr>
      </w:pPr>
      <w:r w:rsidRPr="00BF5EF2">
        <w:rPr>
          <w:rFonts w:ascii="Times New Roman" w:hAnsi="Times New Roman" w:cs="Times New Roman"/>
          <w:bCs/>
          <w:sz w:val="20"/>
          <w:szCs w:val="20"/>
          <w:lang w:val="en-US"/>
        </w:rPr>
        <w:t xml:space="preserve">The total root diameter of </w:t>
      </w:r>
      <w:r w:rsidRPr="00BF5EF2">
        <w:rPr>
          <w:rFonts w:ascii="Times New Roman" w:hAnsi="Times New Roman" w:cs="Times New Roman"/>
          <w:bCs/>
          <w:i/>
          <w:iCs/>
          <w:sz w:val="20"/>
          <w:szCs w:val="20"/>
          <w:lang w:val="en-US"/>
        </w:rPr>
        <w:t>Selenicereus undatus</w:t>
      </w:r>
      <w:r w:rsidRPr="00BF5EF2">
        <w:rPr>
          <w:rFonts w:ascii="Times New Roman" w:hAnsi="Times New Roman" w:cs="Times New Roman"/>
          <w:bCs/>
          <w:sz w:val="20"/>
          <w:szCs w:val="20"/>
          <w:lang w:val="en-US"/>
        </w:rPr>
        <w:t xml:space="preserve"> was highest under red light (339.54 µm), followed by purple light (305.37 µm), while lower values were observed under white and blue light (267.63 and 257.40 µm, respectively), with no significant differences between the latter two treatments. In </w:t>
      </w:r>
      <w:r w:rsidRPr="00BF5EF2">
        <w:rPr>
          <w:rFonts w:ascii="Times New Roman" w:hAnsi="Times New Roman" w:cs="Times New Roman"/>
          <w:bCs/>
          <w:i/>
          <w:iCs/>
          <w:sz w:val="20"/>
          <w:szCs w:val="20"/>
          <w:lang w:val="en-US"/>
        </w:rPr>
        <w:t xml:space="preserve">Hylocereus </w:t>
      </w:r>
      <w:proofErr w:type="spellStart"/>
      <w:r w:rsidRPr="00BF5EF2">
        <w:rPr>
          <w:rFonts w:ascii="Times New Roman" w:hAnsi="Times New Roman" w:cs="Times New Roman"/>
          <w:bCs/>
          <w:i/>
          <w:iCs/>
          <w:sz w:val="20"/>
          <w:szCs w:val="20"/>
          <w:lang w:val="en-US"/>
        </w:rPr>
        <w:t>polyrhizus</w:t>
      </w:r>
      <w:proofErr w:type="spellEnd"/>
      <w:r w:rsidRPr="00BF5EF2">
        <w:rPr>
          <w:rFonts w:ascii="Times New Roman" w:hAnsi="Times New Roman" w:cs="Times New Roman"/>
          <w:bCs/>
          <w:sz w:val="20"/>
          <w:szCs w:val="20"/>
          <w:lang w:val="en-US"/>
        </w:rPr>
        <w:t>, the highest total root diameter was recorded under blue light, whereas no significant differences were observed among purple, red, and white light (Figures 6A and 7).</w:t>
      </w:r>
    </w:p>
    <w:p w14:paraId="2C114F2F" w14:textId="77777777" w:rsidR="00BF5EF2" w:rsidRPr="00BF5EF2" w:rsidRDefault="00BF5EF2" w:rsidP="00BF5EF2">
      <w:pPr>
        <w:spacing w:after="0" w:line="360" w:lineRule="auto"/>
        <w:ind w:firstLine="708"/>
        <w:jc w:val="both"/>
        <w:rPr>
          <w:rFonts w:ascii="Times New Roman" w:hAnsi="Times New Roman" w:cs="Times New Roman"/>
          <w:bCs/>
          <w:sz w:val="20"/>
          <w:szCs w:val="20"/>
          <w:highlight w:val="yellow"/>
          <w:lang w:val="en-US"/>
        </w:rPr>
      </w:pPr>
      <w:r w:rsidRPr="00BF5EF2">
        <w:rPr>
          <w:rFonts w:ascii="Times New Roman" w:hAnsi="Times New Roman" w:cs="Times New Roman"/>
          <w:bCs/>
          <w:sz w:val="20"/>
          <w:szCs w:val="20"/>
          <w:highlight w:val="yellow"/>
          <w:lang w:val="en-US"/>
        </w:rPr>
        <w:t xml:space="preserve">Root area was greater in </w:t>
      </w:r>
      <w:r w:rsidRPr="00BF5EF2">
        <w:rPr>
          <w:rFonts w:ascii="Times New Roman" w:hAnsi="Times New Roman" w:cs="Times New Roman"/>
          <w:bCs/>
          <w:i/>
          <w:iCs/>
          <w:sz w:val="20"/>
          <w:szCs w:val="20"/>
          <w:highlight w:val="yellow"/>
          <w:lang w:val="en-US"/>
        </w:rPr>
        <w:t>S. undatus</w:t>
      </w:r>
      <w:r w:rsidRPr="00BF5EF2">
        <w:rPr>
          <w:rFonts w:ascii="Times New Roman" w:hAnsi="Times New Roman" w:cs="Times New Roman"/>
          <w:bCs/>
          <w:sz w:val="20"/>
          <w:szCs w:val="20"/>
          <w:highlight w:val="yellow"/>
          <w:lang w:val="en-US"/>
        </w:rPr>
        <w:t xml:space="preserve"> than in </w:t>
      </w:r>
      <w:r w:rsidRPr="00BF5EF2">
        <w:rPr>
          <w:rFonts w:ascii="Times New Roman" w:hAnsi="Times New Roman" w:cs="Times New Roman"/>
          <w:bCs/>
          <w:i/>
          <w:iCs/>
          <w:sz w:val="20"/>
          <w:szCs w:val="20"/>
          <w:highlight w:val="yellow"/>
          <w:lang w:val="en-US"/>
        </w:rPr>
        <w:t xml:space="preserve">H. </w:t>
      </w:r>
      <w:proofErr w:type="spellStart"/>
      <w:r w:rsidRPr="00BF5EF2">
        <w:rPr>
          <w:rFonts w:ascii="Times New Roman" w:hAnsi="Times New Roman" w:cs="Times New Roman"/>
          <w:bCs/>
          <w:i/>
          <w:iCs/>
          <w:sz w:val="20"/>
          <w:szCs w:val="20"/>
          <w:highlight w:val="yellow"/>
          <w:lang w:val="en-US"/>
        </w:rPr>
        <w:t>polyrhizus</w:t>
      </w:r>
      <w:proofErr w:type="spellEnd"/>
      <w:r w:rsidRPr="00BF5EF2">
        <w:rPr>
          <w:rFonts w:ascii="Times New Roman" w:hAnsi="Times New Roman" w:cs="Times New Roman"/>
          <w:bCs/>
          <w:sz w:val="20"/>
          <w:szCs w:val="20"/>
          <w:highlight w:val="yellow"/>
          <w:lang w:val="en-US"/>
        </w:rPr>
        <w:t xml:space="preserve"> under red (0.34 vs. 0.14 mm²), purple (0.29 vs. 0.14 mm²), and white light (0.22 vs. 0.12 mm²), whereas under blue light, </w:t>
      </w:r>
      <w:r w:rsidRPr="00BF5EF2">
        <w:rPr>
          <w:rFonts w:ascii="Times New Roman" w:hAnsi="Times New Roman" w:cs="Times New Roman"/>
          <w:bCs/>
          <w:i/>
          <w:iCs/>
          <w:sz w:val="20"/>
          <w:szCs w:val="20"/>
          <w:highlight w:val="yellow"/>
          <w:lang w:val="en-US"/>
        </w:rPr>
        <w:t xml:space="preserve">H. </w:t>
      </w:r>
      <w:proofErr w:type="spellStart"/>
      <w:r w:rsidRPr="00BF5EF2">
        <w:rPr>
          <w:rFonts w:ascii="Times New Roman" w:hAnsi="Times New Roman" w:cs="Times New Roman"/>
          <w:bCs/>
          <w:i/>
          <w:iCs/>
          <w:sz w:val="20"/>
          <w:szCs w:val="20"/>
          <w:highlight w:val="yellow"/>
          <w:lang w:val="en-US"/>
        </w:rPr>
        <w:t>polyrhizus</w:t>
      </w:r>
      <w:proofErr w:type="spellEnd"/>
      <w:r w:rsidRPr="00BF5EF2">
        <w:rPr>
          <w:rFonts w:ascii="Times New Roman" w:hAnsi="Times New Roman" w:cs="Times New Roman"/>
          <w:bCs/>
          <w:sz w:val="20"/>
          <w:szCs w:val="20"/>
          <w:highlight w:val="yellow"/>
          <w:lang w:val="en-US"/>
        </w:rPr>
        <w:t xml:space="preserve"> showed a higher value than </w:t>
      </w:r>
      <w:r w:rsidRPr="00BF5EF2">
        <w:rPr>
          <w:rFonts w:ascii="Times New Roman" w:hAnsi="Times New Roman" w:cs="Times New Roman"/>
          <w:bCs/>
          <w:i/>
          <w:iCs/>
          <w:sz w:val="20"/>
          <w:szCs w:val="20"/>
          <w:highlight w:val="yellow"/>
          <w:lang w:val="en-US"/>
        </w:rPr>
        <w:t>S. undatus</w:t>
      </w:r>
      <w:r w:rsidRPr="00BF5EF2">
        <w:rPr>
          <w:rFonts w:ascii="Times New Roman" w:hAnsi="Times New Roman" w:cs="Times New Roman"/>
          <w:bCs/>
          <w:sz w:val="20"/>
          <w:szCs w:val="20"/>
          <w:highlight w:val="yellow"/>
          <w:lang w:val="en-US"/>
        </w:rPr>
        <w:t xml:space="preserve"> (0.27 vs. 0.21 mm²) (Figures 6B and 7). In </w:t>
      </w:r>
      <w:r w:rsidRPr="00BF5EF2">
        <w:rPr>
          <w:rFonts w:ascii="Times New Roman" w:hAnsi="Times New Roman" w:cs="Times New Roman"/>
          <w:bCs/>
          <w:i/>
          <w:iCs/>
          <w:sz w:val="20"/>
          <w:szCs w:val="20"/>
          <w:highlight w:val="yellow"/>
          <w:lang w:val="en-US"/>
        </w:rPr>
        <w:t>S. undatus</w:t>
      </w:r>
      <w:r w:rsidRPr="00BF5EF2">
        <w:rPr>
          <w:rFonts w:ascii="Times New Roman" w:hAnsi="Times New Roman" w:cs="Times New Roman"/>
          <w:bCs/>
          <w:sz w:val="20"/>
          <w:szCs w:val="20"/>
          <w:highlight w:val="yellow"/>
          <w:lang w:val="en-US"/>
        </w:rPr>
        <w:t xml:space="preserve">, root area was highest under red light, followed by purple light, with no significant differences under white and blue light. In contrast, </w:t>
      </w:r>
      <w:r w:rsidRPr="00BF5EF2">
        <w:rPr>
          <w:rFonts w:ascii="Times New Roman" w:hAnsi="Times New Roman" w:cs="Times New Roman"/>
          <w:bCs/>
          <w:i/>
          <w:iCs/>
          <w:sz w:val="20"/>
          <w:szCs w:val="20"/>
          <w:highlight w:val="yellow"/>
          <w:lang w:val="en-US"/>
        </w:rPr>
        <w:t xml:space="preserve">H. </w:t>
      </w:r>
      <w:proofErr w:type="spellStart"/>
      <w:r w:rsidRPr="00BF5EF2">
        <w:rPr>
          <w:rFonts w:ascii="Times New Roman" w:hAnsi="Times New Roman" w:cs="Times New Roman"/>
          <w:bCs/>
          <w:i/>
          <w:iCs/>
          <w:sz w:val="20"/>
          <w:szCs w:val="20"/>
          <w:highlight w:val="yellow"/>
          <w:lang w:val="en-US"/>
        </w:rPr>
        <w:t>polyrhizus</w:t>
      </w:r>
      <w:proofErr w:type="spellEnd"/>
      <w:r w:rsidRPr="00BF5EF2">
        <w:rPr>
          <w:rFonts w:ascii="Times New Roman" w:hAnsi="Times New Roman" w:cs="Times New Roman"/>
          <w:bCs/>
          <w:sz w:val="20"/>
          <w:szCs w:val="20"/>
          <w:highlight w:val="yellow"/>
          <w:lang w:val="en-US"/>
        </w:rPr>
        <w:t xml:space="preserve"> showed the highest root area under blue light, with no significant differences among red, purple, and white light (Figures 6B and 7).</w:t>
      </w:r>
    </w:p>
    <w:p w14:paraId="2F177599" w14:textId="77777777" w:rsidR="00BF5EF2" w:rsidRPr="00BF5EF2" w:rsidRDefault="00BF5EF2" w:rsidP="00BF5EF2">
      <w:pPr>
        <w:spacing w:after="0" w:line="360" w:lineRule="auto"/>
        <w:ind w:firstLine="708"/>
        <w:jc w:val="both"/>
        <w:rPr>
          <w:rFonts w:ascii="Times New Roman" w:hAnsi="Times New Roman" w:cs="Times New Roman"/>
          <w:bCs/>
          <w:sz w:val="20"/>
          <w:szCs w:val="20"/>
          <w:highlight w:val="yellow"/>
          <w:lang w:val="en-US"/>
        </w:rPr>
      </w:pPr>
      <w:r w:rsidRPr="00BF5EF2">
        <w:rPr>
          <w:rFonts w:ascii="Times New Roman" w:hAnsi="Times New Roman" w:cs="Times New Roman"/>
          <w:bCs/>
          <w:sz w:val="20"/>
          <w:szCs w:val="20"/>
          <w:highlight w:val="yellow"/>
          <w:lang w:val="en-US"/>
        </w:rPr>
        <w:t xml:space="preserve">These results are consistent with previous studies reporting that LED light quality influences root system development in </w:t>
      </w:r>
      <w:r w:rsidRPr="00BF5EF2">
        <w:rPr>
          <w:rFonts w:ascii="Times New Roman" w:hAnsi="Times New Roman" w:cs="Times New Roman"/>
          <w:bCs/>
          <w:i/>
          <w:iCs/>
          <w:sz w:val="20"/>
          <w:szCs w:val="20"/>
          <w:highlight w:val="yellow"/>
          <w:lang w:val="en-US"/>
        </w:rPr>
        <w:t>Selenicereus undatus</w:t>
      </w:r>
      <w:r w:rsidRPr="00BF5EF2">
        <w:rPr>
          <w:rFonts w:ascii="Times New Roman" w:hAnsi="Times New Roman" w:cs="Times New Roman"/>
          <w:bCs/>
          <w:sz w:val="20"/>
          <w:szCs w:val="20"/>
          <w:highlight w:val="yellow"/>
          <w:lang w:val="en-US"/>
        </w:rPr>
        <w:t xml:space="preserve"> and </w:t>
      </w:r>
      <w:r w:rsidRPr="00BF5EF2">
        <w:rPr>
          <w:rFonts w:ascii="Times New Roman" w:hAnsi="Times New Roman" w:cs="Times New Roman"/>
          <w:bCs/>
          <w:i/>
          <w:iCs/>
          <w:sz w:val="20"/>
          <w:szCs w:val="20"/>
          <w:highlight w:val="yellow"/>
          <w:lang w:val="en-US"/>
        </w:rPr>
        <w:t xml:space="preserve">Hylocereus </w:t>
      </w:r>
      <w:proofErr w:type="spellStart"/>
      <w:r w:rsidRPr="00BF5EF2">
        <w:rPr>
          <w:rFonts w:ascii="Times New Roman" w:hAnsi="Times New Roman" w:cs="Times New Roman"/>
          <w:bCs/>
          <w:i/>
          <w:iCs/>
          <w:sz w:val="20"/>
          <w:szCs w:val="20"/>
          <w:highlight w:val="yellow"/>
          <w:lang w:val="en-US"/>
        </w:rPr>
        <w:t>polyrhizus</w:t>
      </w:r>
      <w:proofErr w:type="spellEnd"/>
      <w:r w:rsidRPr="00BF5EF2">
        <w:rPr>
          <w:rFonts w:ascii="Times New Roman" w:hAnsi="Times New Roman" w:cs="Times New Roman"/>
          <w:bCs/>
          <w:sz w:val="20"/>
          <w:szCs w:val="20"/>
          <w:highlight w:val="yellow"/>
          <w:lang w:val="en-US"/>
        </w:rPr>
        <w:t xml:space="preserve"> (Hua et al., 2016; </w:t>
      </w:r>
      <w:proofErr w:type="spellStart"/>
      <w:r w:rsidRPr="00BF5EF2">
        <w:rPr>
          <w:rFonts w:ascii="Times New Roman" w:hAnsi="Times New Roman" w:cs="Times New Roman"/>
          <w:bCs/>
          <w:sz w:val="20"/>
          <w:szCs w:val="20"/>
          <w:highlight w:val="yellow"/>
          <w:lang w:val="en-US"/>
        </w:rPr>
        <w:t>Pauls</w:t>
      </w:r>
      <w:proofErr w:type="spellEnd"/>
      <w:r w:rsidRPr="00BF5EF2">
        <w:rPr>
          <w:rFonts w:ascii="Times New Roman" w:hAnsi="Times New Roman" w:cs="Times New Roman"/>
          <w:bCs/>
          <w:sz w:val="20"/>
          <w:szCs w:val="20"/>
          <w:highlight w:val="yellow"/>
          <w:lang w:val="en-US"/>
        </w:rPr>
        <w:t xml:space="preserve"> et al., 2023; Li et al., 2024). In </w:t>
      </w:r>
      <w:r w:rsidRPr="00BF5EF2">
        <w:rPr>
          <w:rFonts w:ascii="Times New Roman" w:hAnsi="Times New Roman" w:cs="Times New Roman"/>
          <w:bCs/>
          <w:i/>
          <w:iCs/>
          <w:sz w:val="20"/>
          <w:szCs w:val="20"/>
          <w:highlight w:val="yellow"/>
          <w:lang w:val="en-US"/>
        </w:rPr>
        <w:t>S. undatus</w:t>
      </w:r>
      <w:r w:rsidRPr="00BF5EF2">
        <w:rPr>
          <w:rFonts w:ascii="Times New Roman" w:hAnsi="Times New Roman" w:cs="Times New Roman"/>
          <w:bCs/>
          <w:sz w:val="20"/>
          <w:szCs w:val="20"/>
          <w:highlight w:val="yellow"/>
          <w:lang w:val="en-US"/>
        </w:rPr>
        <w:t>, the greater root diameter and root area observed under red and purple light suggest that these spectral conditions were associated with enhanced root development under the experimental conditions.</w:t>
      </w:r>
    </w:p>
    <w:p w14:paraId="320738E9" w14:textId="77777777" w:rsidR="00BF5EF2" w:rsidRPr="00BF5EF2" w:rsidRDefault="00BF5EF2" w:rsidP="00BF5EF2">
      <w:pPr>
        <w:spacing w:after="0" w:line="360" w:lineRule="auto"/>
        <w:ind w:firstLine="708"/>
        <w:jc w:val="both"/>
        <w:rPr>
          <w:rFonts w:ascii="Times New Roman" w:hAnsi="Times New Roman" w:cs="Times New Roman"/>
          <w:bCs/>
          <w:sz w:val="20"/>
          <w:szCs w:val="20"/>
          <w:highlight w:val="yellow"/>
          <w:lang w:val="en-US"/>
        </w:rPr>
      </w:pPr>
      <w:r w:rsidRPr="00BF5EF2">
        <w:rPr>
          <w:rFonts w:ascii="Times New Roman" w:hAnsi="Times New Roman" w:cs="Times New Roman"/>
          <w:bCs/>
          <w:sz w:val="20"/>
          <w:szCs w:val="20"/>
          <w:highlight w:val="yellow"/>
          <w:lang w:val="en-US"/>
        </w:rPr>
        <w:lastRenderedPageBreak/>
        <w:t xml:space="preserve">Previous studies have reported that red and far-red wavelengths can influence plant growth through phytochrome-related processes and associated physiological regulation (Kiss et al., 2003; De Wit et al., 2016; </w:t>
      </w:r>
      <w:proofErr w:type="spellStart"/>
      <w:r w:rsidRPr="00BF5EF2">
        <w:rPr>
          <w:rFonts w:ascii="Times New Roman" w:hAnsi="Times New Roman" w:cs="Times New Roman"/>
          <w:bCs/>
          <w:sz w:val="20"/>
          <w:szCs w:val="20"/>
          <w:highlight w:val="yellow"/>
          <w:lang w:val="en-US"/>
        </w:rPr>
        <w:t>Samalova</w:t>
      </w:r>
      <w:proofErr w:type="spellEnd"/>
      <w:r w:rsidRPr="00BF5EF2">
        <w:rPr>
          <w:rFonts w:ascii="Times New Roman" w:hAnsi="Times New Roman" w:cs="Times New Roman"/>
          <w:bCs/>
          <w:sz w:val="20"/>
          <w:szCs w:val="20"/>
          <w:highlight w:val="yellow"/>
          <w:lang w:val="en-US"/>
        </w:rPr>
        <w:t xml:space="preserve"> et al., 2024). However, since hormonal regulation and photoreceptor activity were not evaluated in the present study, these mechanisms should be considered only as possible explanations for the observed responses rather than causal interpretations.</w:t>
      </w:r>
    </w:p>
    <w:p w14:paraId="5A1F23AD" w14:textId="77777777" w:rsidR="00BF5EF2" w:rsidRDefault="00BF5EF2" w:rsidP="00BF5EF2">
      <w:pPr>
        <w:spacing w:after="0" w:line="360" w:lineRule="auto"/>
        <w:ind w:firstLine="708"/>
        <w:jc w:val="both"/>
        <w:rPr>
          <w:rFonts w:ascii="Times New Roman" w:hAnsi="Times New Roman" w:cs="Times New Roman"/>
          <w:bCs/>
          <w:sz w:val="20"/>
          <w:szCs w:val="20"/>
          <w:highlight w:val="yellow"/>
          <w:lang w:val="en-US"/>
        </w:rPr>
      </w:pPr>
      <w:r w:rsidRPr="00BF5EF2">
        <w:rPr>
          <w:rFonts w:ascii="Times New Roman" w:hAnsi="Times New Roman" w:cs="Times New Roman"/>
          <w:bCs/>
          <w:sz w:val="20"/>
          <w:szCs w:val="20"/>
          <w:highlight w:val="yellow"/>
          <w:lang w:val="en-US"/>
        </w:rPr>
        <w:t xml:space="preserve">The relatively consistent root response of </w:t>
      </w:r>
      <w:r w:rsidRPr="00BF5EF2">
        <w:rPr>
          <w:rFonts w:ascii="Times New Roman" w:hAnsi="Times New Roman" w:cs="Times New Roman"/>
          <w:bCs/>
          <w:i/>
          <w:iCs/>
          <w:sz w:val="20"/>
          <w:szCs w:val="20"/>
          <w:highlight w:val="yellow"/>
          <w:lang w:val="en-US"/>
        </w:rPr>
        <w:t>S. undatus</w:t>
      </w:r>
      <w:r w:rsidRPr="00BF5EF2">
        <w:rPr>
          <w:rFonts w:ascii="Times New Roman" w:hAnsi="Times New Roman" w:cs="Times New Roman"/>
          <w:bCs/>
          <w:sz w:val="20"/>
          <w:szCs w:val="20"/>
          <w:highlight w:val="yellow"/>
          <w:lang w:val="en-US"/>
        </w:rPr>
        <w:t xml:space="preserve"> across treatments, compared with the more variable response observed in </w:t>
      </w:r>
      <w:r w:rsidRPr="00BF5EF2">
        <w:rPr>
          <w:rFonts w:ascii="Times New Roman" w:hAnsi="Times New Roman" w:cs="Times New Roman"/>
          <w:bCs/>
          <w:i/>
          <w:iCs/>
          <w:sz w:val="20"/>
          <w:szCs w:val="20"/>
          <w:highlight w:val="yellow"/>
          <w:lang w:val="en-US"/>
        </w:rPr>
        <w:t xml:space="preserve">H. </w:t>
      </w:r>
      <w:proofErr w:type="spellStart"/>
      <w:r w:rsidRPr="00BF5EF2">
        <w:rPr>
          <w:rFonts w:ascii="Times New Roman" w:hAnsi="Times New Roman" w:cs="Times New Roman"/>
          <w:bCs/>
          <w:i/>
          <w:iCs/>
          <w:sz w:val="20"/>
          <w:szCs w:val="20"/>
          <w:highlight w:val="yellow"/>
          <w:lang w:val="en-US"/>
        </w:rPr>
        <w:t>polyrhizus</w:t>
      </w:r>
      <w:proofErr w:type="spellEnd"/>
      <w:r w:rsidRPr="00BF5EF2">
        <w:rPr>
          <w:rFonts w:ascii="Times New Roman" w:hAnsi="Times New Roman" w:cs="Times New Roman"/>
          <w:bCs/>
          <w:sz w:val="20"/>
          <w:szCs w:val="20"/>
          <w:highlight w:val="yellow"/>
          <w:lang w:val="en-US"/>
        </w:rPr>
        <w:t>, suggests species-specific differences in root development under the evaluated LED conditions. This pattern reflects distinct genotypic responses to the growth environment rather than uniform sensitivity across species. Previous studies have also reported that light quality can influence plant anatomical and morphological traits (Zheng &amp; Van Labeke, 2017), which may contribute to differences in overall growth responses between species.</w:t>
      </w:r>
    </w:p>
    <w:p w14:paraId="3A2B67B7" w14:textId="4FDAC00A" w:rsidR="001C490D" w:rsidRPr="001C490D" w:rsidRDefault="001C490D" w:rsidP="00BF5EF2">
      <w:pPr>
        <w:spacing w:after="0" w:line="360" w:lineRule="auto"/>
        <w:ind w:firstLine="708"/>
        <w:jc w:val="both"/>
        <w:rPr>
          <w:rFonts w:ascii="Times New Roman" w:hAnsi="Times New Roman" w:cs="Times New Roman"/>
          <w:bCs/>
          <w:sz w:val="20"/>
          <w:szCs w:val="20"/>
          <w:highlight w:val="yellow"/>
          <w:lang w:val="en-US"/>
        </w:rPr>
      </w:pPr>
      <w:r w:rsidRPr="001C490D">
        <w:rPr>
          <w:rFonts w:ascii="Times New Roman" w:hAnsi="Times New Roman" w:cs="Times New Roman"/>
          <w:bCs/>
          <w:sz w:val="20"/>
          <w:szCs w:val="20"/>
          <w:highlight w:val="yellow"/>
          <w:lang w:val="en-US"/>
        </w:rPr>
        <w:t>It should be noted that lux-based estimations were used to approximate PPFD under LED treatments using literature-derived conversion factors. However, lux is a photometric unit weighted by human visual sensitivity and is not fully appropriate for narrow-spectrum LED light sources, particularly in red and blue wavelengths. Although this approach allows comparative evaluation among treatments, the resulting PPFD values remain approximate and should be interpreted with caution. Therefore, observed responses may reflect a combination of spectral composition and estimated photon flux density.</w:t>
      </w:r>
    </w:p>
    <w:p w14:paraId="12FB5787" w14:textId="77777777" w:rsidR="00AA0127" w:rsidRPr="00AE0EB4" w:rsidRDefault="00AA0127" w:rsidP="003A10A7">
      <w:pPr>
        <w:spacing w:after="0" w:line="360" w:lineRule="auto"/>
        <w:ind w:firstLine="708"/>
        <w:jc w:val="both"/>
        <w:rPr>
          <w:rFonts w:ascii="Times New Roman" w:hAnsi="Times New Roman" w:cs="Times New Roman"/>
          <w:bCs/>
          <w:sz w:val="20"/>
          <w:szCs w:val="20"/>
          <w:lang w:val="en-US"/>
        </w:rPr>
      </w:pPr>
    </w:p>
    <w:p w14:paraId="6DB6ECCF" w14:textId="6AE2FC02" w:rsidR="004E3DA1" w:rsidRPr="008E7A74" w:rsidRDefault="009B26AF" w:rsidP="004D673A">
      <w:pPr>
        <w:spacing w:line="360" w:lineRule="auto"/>
        <w:jc w:val="both"/>
        <w:rPr>
          <w:rFonts w:ascii="Times New Roman" w:hAnsi="Times New Roman" w:cs="Times New Roman"/>
          <w:b/>
          <w:bCs/>
          <w:sz w:val="20"/>
          <w:szCs w:val="20"/>
          <w:lang w:val="en-US"/>
        </w:rPr>
      </w:pPr>
      <w:r w:rsidRPr="008E7A74">
        <w:rPr>
          <w:rFonts w:ascii="Times New Roman" w:hAnsi="Times New Roman" w:cs="Times New Roman"/>
          <w:b/>
          <w:bCs/>
          <w:sz w:val="20"/>
          <w:szCs w:val="20"/>
          <w:lang w:val="en-US"/>
        </w:rPr>
        <w:t>CONCLUSIONS</w:t>
      </w:r>
    </w:p>
    <w:p w14:paraId="273CB43D" w14:textId="77777777" w:rsidR="00C62B6D" w:rsidRPr="00C62B6D" w:rsidRDefault="00C62B6D" w:rsidP="00C62B6D">
      <w:pPr>
        <w:spacing w:line="360" w:lineRule="auto"/>
        <w:ind w:firstLine="708"/>
        <w:jc w:val="both"/>
        <w:rPr>
          <w:rFonts w:ascii="Times New Roman" w:hAnsi="Times New Roman" w:cs="Times New Roman"/>
          <w:bCs/>
          <w:color w:val="000000" w:themeColor="text1"/>
          <w:sz w:val="20"/>
          <w:szCs w:val="20"/>
          <w:highlight w:val="yellow"/>
          <w:lang w:val="en-US"/>
        </w:rPr>
      </w:pPr>
      <w:r w:rsidRPr="00C62B6D">
        <w:rPr>
          <w:rFonts w:ascii="Times New Roman" w:hAnsi="Times New Roman" w:cs="Times New Roman"/>
          <w:bCs/>
          <w:color w:val="000000" w:themeColor="text1"/>
          <w:sz w:val="20"/>
          <w:szCs w:val="20"/>
          <w:highlight w:val="yellow"/>
          <w:lang w:val="en-US"/>
        </w:rPr>
        <w:t xml:space="preserve">LED light quality was associated with </w:t>
      </w:r>
      <w:r w:rsidRPr="004B7FA4">
        <w:rPr>
          <w:rFonts w:ascii="Times New Roman" w:hAnsi="Times New Roman" w:cs="Times New Roman"/>
          <w:bCs/>
          <w:i/>
          <w:iCs/>
          <w:color w:val="000000" w:themeColor="text1"/>
          <w:sz w:val="20"/>
          <w:szCs w:val="20"/>
          <w:highlight w:val="yellow"/>
          <w:lang w:val="en-US"/>
        </w:rPr>
        <w:t>in vitro</w:t>
      </w:r>
      <w:r w:rsidRPr="00C62B6D">
        <w:rPr>
          <w:rFonts w:ascii="Times New Roman" w:hAnsi="Times New Roman" w:cs="Times New Roman"/>
          <w:bCs/>
          <w:color w:val="000000" w:themeColor="text1"/>
          <w:sz w:val="20"/>
          <w:szCs w:val="20"/>
          <w:highlight w:val="yellow"/>
          <w:lang w:val="en-US"/>
        </w:rPr>
        <w:t xml:space="preserve"> growth and morphophysiological responses of </w:t>
      </w:r>
      <w:r w:rsidRPr="00C62B6D">
        <w:rPr>
          <w:rFonts w:ascii="Times New Roman" w:hAnsi="Times New Roman" w:cs="Times New Roman"/>
          <w:bCs/>
          <w:i/>
          <w:iCs/>
          <w:color w:val="000000" w:themeColor="text1"/>
          <w:sz w:val="20"/>
          <w:szCs w:val="20"/>
          <w:highlight w:val="yellow"/>
          <w:lang w:val="en-US"/>
        </w:rPr>
        <w:t>Selenicereus undatus</w:t>
      </w:r>
      <w:r w:rsidRPr="00C62B6D">
        <w:rPr>
          <w:rFonts w:ascii="Times New Roman" w:hAnsi="Times New Roman" w:cs="Times New Roman"/>
          <w:bCs/>
          <w:color w:val="000000" w:themeColor="text1"/>
          <w:sz w:val="20"/>
          <w:szCs w:val="20"/>
          <w:highlight w:val="yellow"/>
          <w:lang w:val="en-US"/>
        </w:rPr>
        <w:t xml:space="preserve"> (Haw.) D.R. Hunt and </w:t>
      </w:r>
      <w:r w:rsidRPr="00C62B6D">
        <w:rPr>
          <w:rFonts w:ascii="Times New Roman" w:hAnsi="Times New Roman" w:cs="Times New Roman"/>
          <w:bCs/>
          <w:i/>
          <w:iCs/>
          <w:color w:val="000000" w:themeColor="text1"/>
          <w:sz w:val="20"/>
          <w:szCs w:val="20"/>
          <w:highlight w:val="yellow"/>
          <w:lang w:val="en-US"/>
        </w:rPr>
        <w:t xml:space="preserve">Hylocereus </w:t>
      </w:r>
      <w:proofErr w:type="spellStart"/>
      <w:r w:rsidRPr="00C62B6D">
        <w:rPr>
          <w:rFonts w:ascii="Times New Roman" w:hAnsi="Times New Roman" w:cs="Times New Roman"/>
          <w:bCs/>
          <w:i/>
          <w:iCs/>
          <w:color w:val="000000" w:themeColor="text1"/>
          <w:sz w:val="20"/>
          <w:szCs w:val="20"/>
          <w:highlight w:val="yellow"/>
          <w:lang w:val="en-US"/>
        </w:rPr>
        <w:t>polyrhizus</w:t>
      </w:r>
      <w:proofErr w:type="spellEnd"/>
      <w:r w:rsidRPr="00C62B6D">
        <w:rPr>
          <w:rFonts w:ascii="Times New Roman" w:hAnsi="Times New Roman" w:cs="Times New Roman"/>
          <w:bCs/>
          <w:color w:val="000000" w:themeColor="text1"/>
          <w:sz w:val="20"/>
          <w:szCs w:val="20"/>
          <w:highlight w:val="yellow"/>
          <w:lang w:val="en-US"/>
        </w:rPr>
        <w:t xml:space="preserve"> (Salm-Dyck) R. Bauer, with variation depending on the evaluated trait. A significant interaction between species and light quality was observed for most variables, except cladode diameter, which was independently influenced by both factors.</w:t>
      </w:r>
    </w:p>
    <w:p w14:paraId="5EDB3F28" w14:textId="77777777" w:rsidR="00C62B6D" w:rsidRPr="00C62B6D" w:rsidRDefault="00C62B6D" w:rsidP="00C62B6D">
      <w:pPr>
        <w:spacing w:line="360" w:lineRule="auto"/>
        <w:ind w:firstLine="708"/>
        <w:jc w:val="both"/>
        <w:rPr>
          <w:rFonts w:ascii="Times New Roman" w:hAnsi="Times New Roman" w:cs="Times New Roman"/>
          <w:bCs/>
          <w:color w:val="000000" w:themeColor="text1"/>
          <w:sz w:val="20"/>
          <w:szCs w:val="20"/>
          <w:highlight w:val="yellow"/>
          <w:lang w:val="en-US"/>
        </w:rPr>
      </w:pPr>
      <w:r w:rsidRPr="00C62B6D">
        <w:rPr>
          <w:rFonts w:ascii="Times New Roman" w:hAnsi="Times New Roman" w:cs="Times New Roman"/>
          <w:bCs/>
          <w:i/>
          <w:iCs/>
          <w:color w:val="000000" w:themeColor="text1"/>
          <w:sz w:val="20"/>
          <w:szCs w:val="20"/>
          <w:highlight w:val="yellow"/>
          <w:lang w:val="en-US"/>
        </w:rPr>
        <w:t>Selenicereus undatus</w:t>
      </w:r>
      <w:r w:rsidRPr="00C62B6D">
        <w:rPr>
          <w:rFonts w:ascii="Times New Roman" w:hAnsi="Times New Roman" w:cs="Times New Roman"/>
          <w:bCs/>
          <w:color w:val="000000" w:themeColor="text1"/>
          <w:sz w:val="20"/>
          <w:szCs w:val="20"/>
          <w:highlight w:val="yellow"/>
          <w:lang w:val="en-US"/>
        </w:rPr>
        <w:t xml:space="preserve"> showed greater vegetative growth, biomass accumulation, and vascular development, particularly under purple and red light, indicating higher morphoanatomical plasticity. In contrast, </w:t>
      </w:r>
      <w:r w:rsidRPr="00C62B6D">
        <w:rPr>
          <w:rFonts w:ascii="Times New Roman" w:hAnsi="Times New Roman" w:cs="Times New Roman"/>
          <w:bCs/>
          <w:i/>
          <w:iCs/>
          <w:color w:val="000000" w:themeColor="text1"/>
          <w:sz w:val="20"/>
          <w:szCs w:val="20"/>
          <w:highlight w:val="yellow"/>
          <w:lang w:val="en-US"/>
        </w:rPr>
        <w:t xml:space="preserve">Hylocereus </w:t>
      </w:r>
      <w:proofErr w:type="spellStart"/>
      <w:r w:rsidRPr="00C62B6D">
        <w:rPr>
          <w:rFonts w:ascii="Times New Roman" w:hAnsi="Times New Roman" w:cs="Times New Roman"/>
          <w:bCs/>
          <w:i/>
          <w:iCs/>
          <w:color w:val="000000" w:themeColor="text1"/>
          <w:sz w:val="20"/>
          <w:szCs w:val="20"/>
          <w:highlight w:val="yellow"/>
          <w:lang w:val="en-US"/>
        </w:rPr>
        <w:t>polyrhizus</w:t>
      </w:r>
      <w:proofErr w:type="spellEnd"/>
      <w:r w:rsidRPr="00C62B6D">
        <w:rPr>
          <w:rFonts w:ascii="Times New Roman" w:hAnsi="Times New Roman" w:cs="Times New Roman"/>
          <w:bCs/>
          <w:color w:val="000000" w:themeColor="text1"/>
          <w:sz w:val="20"/>
          <w:szCs w:val="20"/>
          <w:highlight w:val="yellow"/>
          <w:lang w:val="en-US"/>
        </w:rPr>
        <w:t xml:space="preserve"> exhibited higher pigment accumulation under white light, suggesting differences in light utilization strategies between species.</w:t>
      </w:r>
    </w:p>
    <w:p w14:paraId="1C12C7D0" w14:textId="77777777" w:rsidR="00C62B6D" w:rsidRPr="00C62B6D" w:rsidRDefault="00C62B6D" w:rsidP="00C62B6D">
      <w:pPr>
        <w:spacing w:line="360" w:lineRule="auto"/>
        <w:ind w:firstLine="708"/>
        <w:jc w:val="both"/>
        <w:rPr>
          <w:rFonts w:ascii="Times New Roman" w:hAnsi="Times New Roman" w:cs="Times New Roman"/>
          <w:bCs/>
          <w:color w:val="000000" w:themeColor="text1"/>
          <w:sz w:val="20"/>
          <w:szCs w:val="20"/>
          <w:highlight w:val="yellow"/>
          <w:lang w:val="en-US"/>
        </w:rPr>
      </w:pPr>
      <w:r w:rsidRPr="00C62B6D">
        <w:rPr>
          <w:rFonts w:ascii="Times New Roman" w:hAnsi="Times New Roman" w:cs="Times New Roman"/>
          <w:bCs/>
          <w:color w:val="000000" w:themeColor="text1"/>
          <w:sz w:val="20"/>
          <w:szCs w:val="20"/>
          <w:highlight w:val="yellow"/>
          <w:lang w:val="en-US"/>
        </w:rPr>
        <w:t>Light quality was also associated with changes in mineral composition and secondary metabolism. Red light was associated with higher potassium accumulation, while blue light was associated with higher levels of redox-related elements. In addition, spectral treatments influenced pigment and antioxidant profiles differently between species.</w:t>
      </w:r>
    </w:p>
    <w:p w14:paraId="178827B8" w14:textId="77777777" w:rsidR="00C62B6D" w:rsidRPr="00C62B6D" w:rsidRDefault="00C62B6D" w:rsidP="00C62B6D">
      <w:pPr>
        <w:spacing w:line="360" w:lineRule="auto"/>
        <w:ind w:firstLine="708"/>
        <w:jc w:val="both"/>
        <w:rPr>
          <w:rFonts w:ascii="Times New Roman" w:hAnsi="Times New Roman" w:cs="Times New Roman"/>
          <w:bCs/>
          <w:color w:val="000000" w:themeColor="text1"/>
          <w:sz w:val="20"/>
          <w:szCs w:val="20"/>
          <w:highlight w:val="yellow"/>
          <w:lang w:val="en-US"/>
        </w:rPr>
      </w:pPr>
      <w:r w:rsidRPr="00C62B6D">
        <w:rPr>
          <w:rFonts w:ascii="Times New Roman" w:hAnsi="Times New Roman" w:cs="Times New Roman"/>
          <w:bCs/>
          <w:color w:val="000000" w:themeColor="text1"/>
          <w:sz w:val="20"/>
          <w:szCs w:val="20"/>
          <w:highlight w:val="yellow"/>
          <w:lang w:val="en-US"/>
        </w:rPr>
        <w:t xml:space="preserve">Overall, purple and red light were associated with stronger growth responses in </w:t>
      </w:r>
      <w:r w:rsidRPr="00C62B6D">
        <w:rPr>
          <w:rFonts w:ascii="Times New Roman" w:hAnsi="Times New Roman" w:cs="Times New Roman"/>
          <w:bCs/>
          <w:i/>
          <w:iCs/>
          <w:color w:val="000000" w:themeColor="text1"/>
          <w:sz w:val="20"/>
          <w:szCs w:val="20"/>
          <w:highlight w:val="yellow"/>
          <w:lang w:val="en-US"/>
        </w:rPr>
        <w:t>S. undatus</w:t>
      </w:r>
      <w:r w:rsidRPr="00C62B6D">
        <w:rPr>
          <w:rFonts w:ascii="Times New Roman" w:hAnsi="Times New Roman" w:cs="Times New Roman"/>
          <w:bCs/>
          <w:color w:val="000000" w:themeColor="text1"/>
          <w:sz w:val="20"/>
          <w:szCs w:val="20"/>
          <w:highlight w:val="yellow"/>
          <w:lang w:val="en-US"/>
        </w:rPr>
        <w:t xml:space="preserve">, whereas white and blue light were more favorable for </w:t>
      </w:r>
      <w:r w:rsidRPr="00C62B6D">
        <w:rPr>
          <w:rFonts w:ascii="Times New Roman" w:hAnsi="Times New Roman" w:cs="Times New Roman"/>
          <w:bCs/>
          <w:i/>
          <w:iCs/>
          <w:color w:val="000000" w:themeColor="text1"/>
          <w:sz w:val="20"/>
          <w:szCs w:val="20"/>
          <w:highlight w:val="yellow"/>
          <w:lang w:val="en-US"/>
        </w:rPr>
        <w:t xml:space="preserve">H. </w:t>
      </w:r>
      <w:proofErr w:type="spellStart"/>
      <w:r w:rsidRPr="00C62B6D">
        <w:rPr>
          <w:rFonts w:ascii="Times New Roman" w:hAnsi="Times New Roman" w:cs="Times New Roman"/>
          <w:bCs/>
          <w:i/>
          <w:iCs/>
          <w:color w:val="000000" w:themeColor="text1"/>
          <w:sz w:val="20"/>
          <w:szCs w:val="20"/>
          <w:highlight w:val="yellow"/>
          <w:lang w:val="en-US"/>
        </w:rPr>
        <w:t>polyrhizus</w:t>
      </w:r>
      <w:proofErr w:type="spellEnd"/>
      <w:r w:rsidRPr="00C62B6D">
        <w:rPr>
          <w:rFonts w:ascii="Times New Roman" w:hAnsi="Times New Roman" w:cs="Times New Roman"/>
          <w:bCs/>
          <w:color w:val="000000" w:themeColor="text1"/>
          <w:sz w:val="20"/>
          <w:szCs w:val="20"/>
          <w:highlight w:val="yellow"/>
          <w:lang w:val="en-US"/>
        </w:rPr>
        <w:t>. These findings highlight species-specific responses to LED light environments and provide guidance for pitaya micropropagation.</w:t>
      </w:r>
    </w:p>
    <w:p w14:paraId="41745704" w14:textId="1018B919" w:rsidR="001B5172" w:rsidRPr="00C62B6D" w:rsidRDefault="00C62B6D" w:rsidP="00C62B6D">
      <w:pPr>
        <w:spacing w:line="360" w:lineRule="auto"/>
        <w:ind w:firstLine="708"/>
        <w:jc w:val="both"/>
        <w:rPr>
          <w:rFonts w:ascii="Times New Roman" w:hAnsi="Times New Roman" w:cs="Times New Roman"/>
          <w:bCs/>
          <w:color w:val="000000" w:themeColor="text1"/>
          <w:sz w:val="20"/>
          <w:szCs w:val="20"/>
          <w:highlight w:val="yellow"/>
          <w:lang w:val="en-US"/>
        </w:rPr>
      </w:pPr>
      <w:r w:rsidRPr="00C62B6D">
        <w:rPr>
          <w:rFonts w:ascii="Times New Roman" w:hAnsi="Times New Roman" w:cs="Times New Roman"/>
          <w:bCs/>
          <w:color w:val="000000" w:themeColor="text1"/>
          <w:sz w:val="20"/>
          <w:szCs w:val="20"/>
          <w:highlight w:val="yellow"/>
          <w:lang w:val="en-US"/>
        </w:rPr>
        <w:t>It should be noted that PPFD values were estimated using lux-based measurements and literature-derived conversion factors; therefore, light intensity differences among treatments should be interpreted with caution, and responses may reflect combined effects of spectral composition and estimated photon flux density.</w:t>
      </w:r>
    </w:p>
    <w:p w14:paraId="7D50A04E" w14:textId="77777777" w:rsidR="002C3D16" w:rsidRPr="008E7A74" w:rsidRDefault="002C3D16" w:rsidP="00EC1745">
      <w:pPr>
        <w:pStyle w:val="Acknowledgements"/>
        <w:spacing w:after="240"/>
        <w:jc w:val="both"/>
        <w:rPr>
          <w:rFonts w:eastAsiaTheme="minorHAnsi"/>
          <w:b/>
          <w:bCs/>
          <w:sz w:val="20"/>
          <w:szCs w:val="20"/>
          <w:lang w:val="en-US" w:eastAsia="en-US"/>
        </w:rPr>
      </w:pPr>
      <w:r w:rsidRPr="008E7A74">
        <w:rPr>
          <w:rFonts w:eastAsiaTheme="minorHAnsi"/>
          <w:b/>
          <w:bCs/>
          <w:sz w:val="20"/>
          <w:szCs w:val="20"/>
          <w:lang w:val="en-US" w:eastAsia="en-US"/>
        </w:rPr>
        <w:lastRenderedPageBreak/>
        <w:t>Acknowledgments</w:t>
      </w:r>
    </w:p>
    <w:p w14:paraId="6F5FA5E7" w14:textId="7625B655" w:rsidR="003C6999" w:rsidRDefault="002C3D16" w:rsidP="00EC1745">
      <w:pPr>
        <w:spacing w:line="360" w:lineRule="auto"/>
        <w:jc w:val="both"/>
        <w:rPr>
          <w:rFonts w:ascii="Times New Roman" w:eastAsia="Times New Roman" w:hAnsi="Times New Roman" w:cs="Times New Roman"/>
          <w:sz w:val="20"/>
          <w:szCs w:val="20"/>
          <w:lang w:val="en-US" w:eastAsia="en-GB"/>
        </w:rPr>
      </w:pPr>
      <w:r w:rsidRPr="001B5172">
        <w:rPr>
          <w:rFonts w:ascii="Times New Roman" w:eastAsia="Times New Roman" w:hAnsi="Times New Roman" w:cs="Times New Roman"/>
          <w:sz w:val="20"/>
          <w:szCs w:val="20"/>
          <w:lang w:val="en-US" w:eastAsia="en-GB"/>
        </w:rPr>
        <w:t xml:space="preserve">The authors of this work thank the </w:t>
      </w:r>
      <w:proofErr w:type="spellStart"/>
      <w:r w:rsidR="00EC1745" w:rsidRPr="001B5172">
        <w:rPr>
          <w:rFonts w:ascii="Times New Roman" w:hAnsi="Times New Roman" w:cs="Times New Roman"/>
          <w:sz w:val="20"/>
          <w:szCs w:val="20"/>
          <w:lang w:val="en-US"/>
        </w:rPr>
        <w:t>Coordenação</w:t>
      </w:r>
      <w:proofErr w:type="spellEnd"/>
      <w:r w:rsidR="00EC1745" w:rsidRPr="001B5172">
        <w:rPr>
          <w:rFonts w:ascii="Times New Roman" w:hAnsi="Times New Roman" w:cs="Times New Roman"/>
          <w:sz w:val="20"/>
          <w:szCs w:val="20"/>
          <w:lang w:val="en-US"/>
        </w:rPr>
        <w:t xml:space="preserve"> de </w:t>
      </w:r>
      <w:proofErr w:type="spellStart"/>
      <w:r w:rsidR="00EC1745" w:rsidRPr="001B5172">
        <w:rPr>
          <w:rFonts w:ascii="Times New Roman" w:hAnsi="Times New Roman" w:cs="Times New Roman"/>
          <w:sz w:val="20"/>
          <w:szCs w:val="20"/>
          <w:lang w:val="en-US"/>
        </w:rPr>
        <w:t>Aperfeiçoamento</w:t>
      </w:r>
      <w:proofErr w:type="spellEnd"/>
      <w:r w:rsidR="00EC1745" w:rsidRPr="001B5172">
        <w:rPr>
          <w:rFonts w:ascii="Times New Roman" w:hAnsi="Times New Roman" w:cs="Times New Roman"/>
          <w:sz w:val="20"/>
          <w:szCs w:val="20"/>
          <w:lang w:val="en-US"/>
        </w:rPr>
        <w:t xml:space="preserve"> de </w:t>
      </w:r>
      <w:proofErr w:type="spellStart"/>
      <w:r w:rsidR="00EC1745" w:rsidRPr="001B5172">
        <w:rPr>
          <w:rFonts w:ascii="Times New Roman" w:hAnsi="Times New Roman" w:cs="Times New Roman"/>
          <w:sz w:val="20"/>
          <w:szCs w:val="20"/>
          <w:lang w:val="en-US"/>
        </w:rPr>
        <w:t>Pessoal</w:t>
      </w:r>
      <w:proofErr w:type="spellEnd"/>
      <w:r w:rsidR="00EC1745" w:rsidRPr="001B5172">
        <w:rPr>
          <w:rFonts w:ascii="Times New Roman" w:hAnsi="Times New Roman" w:cs="Times New Roman"/>
          <w:sz w:val="20"/>
          <w:szCs w:val="20"/>
          <w:lang w:val="en-US"/>
        </w:rPr>
        <w:t xml:space="preserve"> de </w:t>
      </w:r>
      <w:proofErr w:type="spellStart"/>
      <w:r w:rsidR="00EC1745" w:rsidRPr="001B5172">
        <w:rPr>
          <w:rFonts w:ascii="Times New Roman" w:hAnsi="Times New Roman" w:cs="Times New Roman"/>
          <w:sz w:val="20"/>
          <w:szCs w:val="20"/>
          <w:lang w:val="en-US"/>
        </w:rPr>
        <w:t>Nível</w:t>
      </w:r>
      <w:proofErr w:type="spellEnd"/>
      <w:r w:rsidR="00EC1745" w:rsidRPr="001B5172">
        <w:rPr>
          <w:rFonts w:ascii="Times New Roman" w:hAnsi="Times New Roman" w:cs="Times New Roman"/>
          <w:sz w:val="20"/>
          <w:szCs w:val="20"/>
          <w:lang w:val="en-US"/>
        </w:rPr>
        <w:t xml:space="preserve"> Superior – </w:t>
      </w:r>
      <w:proofErr w:type="spellStart"/>
      <w:r w:rsidR="00EC1745" w:rsidRPr="001B5172">
        <w:rPr>
          <w:rFonts w:ascii="Times New Roman" w:hAnsi="Times New Roman" w:cs="Times New Roman"/>
          <w:sz w:val="20"/>
          <w:szCs w:val="20"/>
          <w:lang w:val="en-US"/>
        </w:rPr>
        <w:t>Brasil</w:t>
      </w:r>
      <w:proofErr w:type="spellEnd"/>
      <w:r w:rsidR="00EC1745" w:rsidRPr="001B5172">
        <w:rPr>
          <w:rFonts w:ascii="Times New Roman" w:hAnsi="Times New Roman" w:cs="Times New Roman"/>
          <w:sz w:val="20"/>
          <w:szCs w:val="20"/>
          <w:lang w:val="en-US"/>
        </w:rPr>
        <w:t xml:space="preserve"> (CAPES)</w:t>
      </w:r>
      <w:r w:rsidRPr="001B5172">
        <w:rPr>
          <w:rFonts w:ascii="Times New Roman" w:eastAsia="Times New Roman" w:hAnsi="Times New Roman" w:cs="Times New Roman"/>
          <w:sz w:val="20"/>
          <w:szCs w:val="20"/>
          <w:lang w:val="en-US" w:eastAsia="en-GB"/>
        </w:rPr>
        <w:t xml:space="preserve">, the </w:t>
      </w:r>
      <w:proofErr w:type="spellStart"/>
      <w:r w:rsidR="00EC1745" w:rsidRPr="001B5172">
        <w:rPr>
          <w:rFonts w:ascii="Times New Roman" w:hAnsi="Times New Roman" w:cs="Times New Roman"/>
          <w:sz w:val="20"/>
          <w:szCs w:val="20"/>
          <w:lang w:val="en-US"/>
        </w:rPr>
        <w:t>Conselho</w:t>
      </w:r>
      <w:proofErr w:type="spellEnd"/>
      <w:r w:rsidR="00EC1745" w:rsidRPr="001B5172">
        <w:rPr>
          <w:rFonts w:ascii="Times New Roman" w:hAnsi="Times New Roman" w:cs="Times New Roman"/>
          <w:sz w:val="20"/>
          <w:szCs w:val="20"/>
          <w:lang w:val="en-US"/>
        </w:rPr>
        <w:t xml:space="preserve"> Nacional de </w:t>
      </w:r>
      <w:proofErr w:type="spellStart"/>
      <w:r w:rsidR="00EC1745" w:rsidRPr="001B5172">
        <w:rPr>
          <w:rFonts w:ascii="Times New Roman" w:hAnsi="Times New Roman" w:cs="Times New Roman"/>
          <w:sz w:val="20"/>
          <w:szCs w:val="20"/>
          <w:lang w:val="en-US"/>
        </w:rPr>
        <w:t>Desenvolvimento</w:t>
      </w:r>
      <w:proofErr w:type="spellEnd"/>
      <w:r w:rsidR="00EC1745" w:rsidRPr="001B5172">
        <w:rPr>
          <w:rFonts w:ascii="Times New Roman" w:hAnsi="Times New Roman" w:cs="Times New Roman"/>
          <w:sz w:val="20"/>
          <w:szCs w:val="20"/>
          <w:lang w:val="en-US"/>
        </w:rPr>
        <w:t xml:space="preserve"> </w:t>
      </w:r>
      <w:proofErr w:type="spellStart"/>
      <w:r w:rsidR="00EC1745" w:rsidRPr="001B5172">
        <w:rPr>
          <w:rFonts w:ascii="Times New Roman" w:hAnsi="Times New Roman" w:cs="Times New Roman"/>
          <w:sz w:val="20"/>
          <w:szCs w:val="20"/>
          <w:lang w:val="en-US"/>
        </w:rPr>
        <w:t>Científico</w:t>
      </w:r>
      <w:proofErr w:type="spellEnd"/>
      <w:r w:rsidR="00EC1745" w:rsidRPr="001B5172">
        <w:rPr>
          <w:rFonts w:ascii="Times New Roman" w:hAnsi="Times New Roman" w:cs="Times New Roman"/>
          <w:sz w:val="20"/>
          <w:szCs w:val="20"/>
          <w:lang w:val="en-US"/>
        </w:rPr>
        <w:t xml:space="preserve"> e Tecnológico (</w:t>
      </w:r>
      <w:proofErr w:type="spellStart"/>
      <w:r w:rsidR="00EC1745" w:rsidRPr="001B5172">
        <w:rPr>
          <w:rFonts w:ascii="Times New Roman" w:hAnsi="Times New Roman" w:cs="Times New Roman"/>
          <w:sz w:val="20"/>
          <w:szCs w:val="20"/>
          <w:lang w:val="en-US"/>
        </w:rPr>
        <w:t>CNPq</w:t>
      </w:r>
      <w:proofErr w:type="spellEnd"/>
      <w:r w:rsidR="00EC1745" w:rsidRPr="001B5172">
        <w:rPr>
          <w:rFonts w:ascii="Times New Roman" w:hAnsi="Times New Roman" w:cs="Times New Roman"/>
          <w:sz w:val="20"/>
          <w:szCs w:val="20"/>
          <w:lang w:val="en-US"/>
        </w:rPr>
        <w:t>)</w:t>
      </w:r>
      <w:r w:rsidRPr="001B5172">
        <w:rPr>
          <w:rFonts w:ascii="Times New Roman" w:eastAsia="Times New Roman" w:hAnsi="Times New Roman" w:cs="Times New Roman"/>
          <w:sz w:val="20"/>
          <w:szCs w:val="20"/>
          <w:lang w:val="en-US" w:eastAsia="en-GB"/>
        </w:rPr>
        <w:t xml:space="preserve">, and the </w:t>
      </w:r>
      <w:proofErr w:type="spellStart"/>
      <w:r w:rsidR="00EC1745" w:rsidRPr="001B5172">
        <w:rPr>
          <w:rFonts w:ascii="Times New Roman" w:hAnsi="Times New Roman" w:cs="Times New Roman"/>
          <w:sz w:val="20"/>
          <w:szCs w:val="20"/>
          <w:lang w:val="en-US"/>
        </w:rPr>
        <w:t>Fundação</w:t>
      </w:r>
      <w:proofErr w:type="spellEnd"/>
      <w:r w:rsidR="00EC1745" w:rsidRPr="001B5172">
        <w:rPr>
          <w:rFonts w:ascii="Times New Roman" w:hAnsi="Times New Roman" w:cs="Times New Roman"/>
          <w:sz w:val="20"/>
          <w:szCs w:val="20"/>
          <w:lang w:val="en-US"/>
        </w:rPr>
        <w:t xml:space="preserve"> de Amparo à Pesquisa do Estado de Minas Gerais (FAPEMIG) </w:t>
      </w:r>
      <w:r w:rsidRPr="001B5172">
        <w:rPr>
          <w:rFonts w:ascii="Times New Roman" w:eastAsia="Times New Roman" w:hAnsi="Times New Roman" w:cs="Times New Roman"/>
          <w:sz w:val="20"/>
          <w:szCs w:val="20"/>
          <w:lang w:val="en-US" w:eastAsia="en-GB"/>
        </w:rPr>
        <w:t xml:space="preserve">for financial support for the experiments and for funding scholarships and research productivity grants. </w:t>
      </w:r>
    </w:p>
    <w:p w14:paraId="278E549A" w14:textId="77777777" w:rsidR="001B5172" w:rsidRDefault="001B5172" w:rsidP="00EC1745">
      <w:pPr>
        <w:spacing w:line="360" w:lineRule="auto"/>
        <w:jc w:val="both"/>
        <w:rPr>
          <w:rFonts w:ascii="Times New Roman" w:eastAsia="Times New Roman" w:hAnsi="Times New Roman" w:cs="Times New Roman"/>
          <w:sz w:val="20"/>
          <w:szCs w:val="20"/>
          <w:lang w:val="en-US" w:eastAsia="en-GB"/>
        </w:rPr>
      </w:pPr>
    </w:p>
    <w:p w14:paraId="7DBF16A9" w14:textId="373594A3" w:rsidR="006E29DF" w:rsidRPr="006E29DF" w:rsidRDefault="006E29DF" w:rsidP="006E29DF">
      <w:pPr>
        <w:spacing w:line="360" w:lineRule="auto"/>
        <w:jc w:val="both"/>
        <w:rPr>
          <w:rFonts w:ascii="Times New Roman" w:eastAsia="Times New Roman" w:hAnsi="Times New Roman" w:cs="Times New Roman"/>
          <w:b/>
          <w:bCs/>
          <w:sz w:val="20"/>
          <w:szCs w:val="20"/>
          <w:lang w:val="en-US" w:eastAsia="en-GB"/>
        </w:rPr>
      </w:pPr>
      <w:r w:rsidRPr="006E29DF">
        <w:rPr>
          <w:rFonts w:ascii="Times New Roman" w:eastAsia="Times New Roman" w:hAnsi="Times New Roman" w:cs="Times New Roman"/>
          <w:b/>
          <w:bCs/>
          <w:sz w:val="20"/>
          <w:szCs w:val="20"/>
          <w:lang w:val="en-US" w:eastAsia="en-GB"/>
        </w:rPr>
        <w:t>Declarations</w:t>
      </w:r>
      <w:r w:rsidR="005B6C8A">
        <w:rPr>
          <w:rFonts w:ascii="Times New Roman" w:eastAsia="Times New Roman" w:hAnsi="Times New Roman" w:cs="Times New Roman"/>
          <w:b/>
          <w:bCs/>
          <w:sz w:val="20"/>
          <w:szCs w:val="20"/>
          <w:lang w:val="en-US" w:eastAsia="en-GB"/>
        </w:rPr>
        <w:t>:</w:t>
      </w:r>
    </w:p>
    <w:p w14:paraId="0D275B2F" w14:textId="02108602" w:rsidR="006E29DF" w:rsidRPr="009B1D58" w:rsidRDefault="006E29DF" w:rsidP="009B1D58">
      <w:pPr>
        <w:spacing w:line="360" w:lineRule="auto"/>
        <w:rPr>
          <w:rFonts w:ascii="Times New Roman" w:hAnsi="Times New Roman" w:cs="Times New Roman"/>
          <w:color w:val="000000" w:themeColor="text1"/>
          <w:sz w:val="20"/>
          <w:szCs w:val="20"/>
          <w:lang w:val="en-US"/>
        </w:rPr>
      </w:pPr>
      <w:r w:rsidRPr="006E29DF">
        <w:rPr>
          <w:rFonts w:ascii="Times New Roman" w:eastAsia="Times New Roman" w:hAnsi="Times New Roman" w:cs="Times New Roman"/>
          <w:b/>
          <w:bCs/>
          <w:sz w:val="20"/>
          <w:szCs w:val="20"/>
          <w:lang w:val="en-US" w:eastAsia="en-GB"/>
        </w:rPr>
        <w:t>Funding:</w:t>
      </w:r>
      <w:r w:rsidRPr="006E29DF">
        <w:rPr>
          <w:rFonts w:ascii="Times New Roman" w:eastAsia="Times New Roman" w:hAnsi="Times New Roman" w:cs="Times New Roman"/>
          <w:sz w:val="20"/>
          <w:szCs w:val="20"/>
          <w:lang w:val="en-US" w:eastAsia="en-GB"/>
        </w:rPr>
        <w:t xml:space="preserve"> Not applicable.</w:t>
      </w:r>
      <w:r w:rsidRPr="006E29DF">
        <w:rPr>
          <w:rFonts w:ascii="Times New Roman" w:eastAsia="Times New Roman" w:hAnsi="Times New Roman" w:cs="Times New Roman"/>
          <w:sz w:val="20"/>
          <w:szCs w:val="20"/>
          <w:lang w:val="en-US" w:eastAsia="en-GB"/>
        </w:rPr>
        <w:br/>
      </w:r>
      <w:r w:rsidR="00A614C7" w:rsidRPr="008E7A74">
        <w:rPr>
          <w:rFonts w:ascii="Times New Roman" w:hAnsi="Times New Roman" w:cs="Times New Roman"/>
          <w:b/>
          <w:bCs/>
          <w:color w:val="000000" w:themeColor="text1"/>
          <w:sz w:val="20"/>
          <w:szCs w:val="20"/>
          <w:lang w:val="en-US"/>
        </w:rPr>
        <w:t>Conflict of interest:</w:t>
      </w:r>
      <w:r w:rsidR="00A614C7" w:rsidRPr="008E7A74">
        <w:rPr>
          <w:rFonts w:ascii="Times New Roman" w:hAnsi="Times New Roman" w:cs="Times New Roman"/>
          <w:color w:val="000000" w:themeColor="text1"/>
          <w:sz w:val="20"/>
          <w:szCs w:val="20"/>
          <w:lang w:val="en-US"/>
        </w:rPr>
        <w:t xml:space="preserve"> The authors declare that they have no conflict of interest.</w:t>
      </w:r>
      <w:r w:rsidRPr="006E29DF">
        <w:rPr>
          <w:rFonts w:ascii="Times New Roman" w:eastAsia="Times New Roman" w:hAnsi="Times New Roman" w:cs="Times New Roman"/>
          <w:sz w:val="20"/>
          <w:szCs w:val="20"/>
          <w:lang w:val="en-US" w:eastAsia="en-GB"/>
        </w:rPr>
        <w:br/>
      </w:r>
      <w:r w:rsidRPr="006E29DF">
        <w:rPr>
          <w:rFonts w:ascii="Times New Roman" w:eastAsia="Times New Roman" w:hAnsi="Times New Roman" w:cs="Times New Roman"/>
          <w:b/>
          <w:bCs/>
          <w:sz w:val="20"/>
          <w:szCs w:val="20"/>
          <w:lang w:val="en-US" w:eastAsia="en-GB"/>
        </w:rPr>
        <w:t>Ethics declaration:</w:t>
      </w:r>
      <w:r w:rsidRPr="006E29DF">
        <w:rPr>
          <w:rFonts w:ascii="Times New Roman" w:eastAsia="Times New Roman" w:hAnsi="Times New Roman" w:cs="Times New Roman"/>
          <w:sz w:val="20"/>
          <w:szCs w:val="20"/>
          <w:lang w:val="en-US" w:eastAsia="en-GB"/>
        </w:rPr>
        <w:t xml:space="preserve"> Not applicable.</w:t>
      </w:r>
      <w:r w:rsidRPr="006E29DF">
        <w:rPr>
          <w:rFonts w:ascii="Times New Roman" w:eastAsia="Times New Roman" w:hAnsi="Times New Roman" w:cs="Times New Roman"/>
          <w:sz w:val="20"/>
          <w:szCs w:val="20"/>
          <w:lang w:val="en-US" w:eastAsia="en-GB"/>
        </w:rPr>
        <w:br/>
      </w:r>
      <w:r w:rsidRPr="006E29DF">
        <w:rPr>
          <w:rFonts w:ascii="Times New Roman" w:eastAsia="Times New Roman" w:hAnsi="Times New Roman" w:cs="Times New Roman"/>
          <w:b/>
          <w:bCs/>
          <w:sz w:val="20"/>
          <w:szCs w:val="20"/>
          <w:lang w:val="en-US" w:eastAsia="en-GB"/>
        </w:rPr>
        <w:t>Consent to participate:</w:t>
      </w:r>
      <w:r w:rsidRPr="006E29DF">
        <w:rPr>
          <w:rFonts w:ascii="Times New Roman" w:eastAsia="Times New Roman" w:hAnsi="Times New Roman" w:cs="Times New Roman"/>
          <w:sz w:val="20"/>
          <w:szCs w:val="20"/>
          <w:lang w:val="en-US" w:eastAsia="en-GB"/>
        </w:rPr>
        <w:t xml:space="preserve"> Not applicable.</w:t>
      </w:r>
      <w:r w:rsidRPr="006E29DF">
        <w:rPr>
          <w:rFonts w:ascii="Times New Roman" w:eastAsia="Times New Roman" w:hAnsi="Times New Roman" w:cs="Times New Roman"/>
          <w:sz w:val="20"/>
          <w:szCs w:val="20"/>
          <w:lang w:val="en-US" w:eastAsia="en-GB"/>
        </w:rPr>
        <w:br/>
      </w:r>
      <w:r w:rsidRPr="006E29DF">
        <w:rPr>
          <w:rFonts w:ascii="Times New Roman" w:eastAsia="Times New Roman" w:hAnsi="Times New Roman" w:cs="Times New Roman"/>
          <w:b/>
          <w:bCs/>
          <w:sz w:val="20"/>
          <w:szCs w:val="20"/>
          <w:lang w:val="en-US" w:eastAsia="en-GB"/>
        </w:rPr>
        <w:t>Consent for publication:</w:t>
      </w:r>
      <w:r w:rsidRPr="006E29DF">
        <w:rPr>
          <w:rFonts w:ascii="Times New Roman" w:eastAsia="Times New Roman" w:hAnsi="Times New Roman" w:cs="Times New Roman"/>
          <w:sz w:val="20"/>
          <w:szCs w:val="20"/>
          <w:lang w:val="en-US" w:eastAsia="en-GB"/>
        </w:rPr>
        <w:t xml:space="preserve"> Not applicable.</w:t>
      </w:r>
      <w:r w:rsidRPr="006E29DF">
        <w:rPr>
          <w:rFonts w:ascii="Times New Roman" w:eastAsia="Times New Roman" w:hAnsi="Times New Roman" w:cs="Times New Roman"/>
          <w:sz w:val="20"/>
          <w:szCs w:val="20"/>
          <w:lang w:val="en-US" w:eastAsia="en-GB"/>
        </w:rPr>
        <w:br/>
      </w:r>
      <w:r w:rsidRPr="00C622A1">
        <w:rPr>
          <w:rFonts w:ascii="Times New Roman" w:eastAsia="Times New Roman" w:hAnsi="Times New Roman" w:cs="Times New Roman"/>
          <w:b/>
          <w:bCs/>
          <w:sz w:val="20"/>
          <w:szCs w:val="20"/>
          <w:lang w:val="en-US" w:eastAsia="en-GB"/>
        </w:rPr>
        <w:t>Data availability statement:</w:t>
      </w:r>
      <w:r w:rsidRPr="00C622A1">
        <w:rPr>
          <w:rFonts w:ascii="Times New Roman" w:eastAsia="Times New Roman" w:hAnsi="Times New Roman" w:cs="Times New Roman"/>
          <w:sz w:val="20"/>
          <w:szCs w:val="20"/>
          <w:lang w:val="en-US" w:eastAsia="en-GB"/>
        </w:rPr>
        <w:t xml:space="preserve"> Not applicable.</w:t>
      </w:r>
    </w:p>
    <w:p w14:paraId="04C6B6D8" w14:textId="77777777" w:rsidR="006E29DF" w:rsidRPr="001B5172" w:rsidRDefault="006E29DF" w:rsidP="00EC1745">
      <w:pPr>
        <w:spacing w:line="360" w:lineRule="auto"/>
        <w:jc w:val="both"/>
        <w:rPr>
          <w:rFonts w:ascii="Times New Roman" w:eastAsia="Times New Roman" w:hAnsi="Times New Roman" w:cs="Times New Roman"/>
          <w:sz w:val="20"/>
          <w:szCs w:val="20"/>
          <w:lang w:val="en-US" w:eastAsia="en-GB"/>
        </w:rPr>
      </w:pPr>
    </w:p>
    <w:p w14:paraId="38A7421C" w14:textId="5FAC895F" w:rsidR="007C4748" w:rsidRPr="001B5172" w:rsidRDefault="007C4748" w:rsidP="007C4748">
      <w:pPr>
        <w:spacing w:line="480" w:lineRule="auto"/>
        <w:jc w:val="both"/>
        <w:rPr>
          <w:rFonts w:ascii="Times New Roman" w:hAnsi="Times New Roman" w:cs="Times New Roman"/>
          <w:bCs/>
          <w:sz w:val="20"/>
          <w:szCs w:val="20"/>
          <w:lang w:val="en-US"/>
        </w:rPr>
      </w:pPr>
      <w:r w:rsidRPr="001B5172">
        <w:rPr>
          <w:rFonts w:ascii="Times New Roman" w:hAnsi="Times New Roman" w:cs="Times New Roman"/>
          <w:b/>
          <w:sz w:val="20"/>
          <w:szCs w:val="20"/>
          <w:lang w:val="en-US"/>
        </w:rPr>
        <w:t>Author's contribution:</w:t>
      </w:r>
      <w:r w:rsidRPr="001B5172">
        <w:rPr>
          <w:rFonts w:ascii="Times New Roman" w:hAnsi="Times New Roman" w:cs="Times New Roman"/>
          <w:bCs/>
          <w:sz w:val="20"/>
          <w:szCs w:val="20"/>
          <w:lang w:val="en-US"/>
        </w:rPr>
        <w:t xml:space="preserve"> Conceptual idea: Evens, C.; Marcelo, A. G.;</w:t>
      </w:r>
      <w:r w:rsidR="00F37076">
        <w:rPr>
          <w:rFonts w:ascii="Times New Roman" w:hAnsi="Times New Roman" w:cs="Times New Roman"/>
          <w:bCs/>
          <w:sz w:val="20"/>
          <w:szCs w:val="20"/>
          <w:lang w:val="en-US"/>
        </w:rPr>
        <w:t xml:space="preserve"> </w:t>
      </w:r>
      <w:r w:rsidRPr="001B5172">
        <w:rPr>
          <w:rFonts w:ascii="Times New Roman" w:hAnsi="Times New Roman" w:cs="Times New Roman"/>
          <w:bCs/>
          <w:sz w:val="20"/>
          <w:szCs w:val="20"/>
          <w:lang w:val="en-US"/>
        </w:rPr>
        <w:t>Methodological design: Evens, C.; Marcelo, A. G; Filipe, A. R.; Data collection: Evens, C.; Marcelo, A. G.</w:t>
      </w:r>
      <w:r w:rsidR="00872065" w:rsidRPr="001B5172">
        <w:rPr>
          <w:rFonts w:ascii="Times New Roman" w:hAnsi="Times New Roman" w:cs="Times New Roman"/>
          <w:bCs/>
          <w:sz w:val="20"/>
          <w:szCs w:val="20"/>
          <w:lang w:val="en-US"/>
        </w:rPr>
        <w:t>;</w:t>
      </w:r>
      <w:r w:rsidRPr="001B5172">
        <w:rPr>
          <w:rFonts w:ascii="Times New Roman" w:hAnsi="Times New Roman" w:cs="Times New Roman"/>
          <w:bCs/>
          <w:sz w:val="20"/>
          <w:szCs w:val="20"/>
          <w:lang w:val="en-US"/>
        </w:rPr>
        <w:t xml:space="preserve"> Data analysis and interpretation: Evens, C.; Marcelo, A. G.;</w:t>
      </w:r>
      <w:r w:rsidR="00872065" w:rsidRPr="001B5172">
        <w:rPr>
          <w:rFonts w:ascii="Times New Roman" w:hAnsi="Times New Roman" w:cs="Times New Roman"/>
          <w:bCs/>
          <w:sz w:val="20"/>
          <w:szCs w:val="20"/>
          <w:lang w:val="en-US"/>
        </w:rPr>
        <w:t xml:space="preserve"> </w:t>
      </w:r>
      <w:r w:rsidRPr="001B5172">
        <w:rPr>
          <w:rFonts w:ascii="Times New Roman" w:hAnsi="Times New Roman" w:cs="Times New Roman"/>
          <w:bCs/>
          <w:sz w:val="20"/>
          <w:szCs w:val="20"/>
          <w:lang w:val="en-US"/>
        </w:rPr>
        <w:t xml:space="preserve">Filipe, A. R.; </w:t>
      </w:r>
      <w:r w:rsidR="00872065" w:rsidRPr="001B5172">
        <w:rPr>
          <w:rFonts w:ascii="Times New Roman" w:hAnsi="Times New Roman" w:cs="Times New Roman"/>
          <w:bCs/>
          <w:sz w:val="20"/>
          <w:szCs w:val="20"/>
          <w:lang w:val="en-US"/>
        </w:rPr>
        <w:t>Luana</w:t>
      </w:r>
      <w:r w:rsidRPr="001B5172">
        <w:rPr>
          <w:rFonts w:ascii="Times New Roman" w:hAnsi="Times New Roman" w:cs="Times New Roman"/>
          <w:bCs/>
          <w:sz w:val="20"/>
          <w:szCs w:val="20"/>
          <w:lang w:val="en-US"/>
        </w:rPr>
        <w:t xml:space="preserve">, </w:t>
      </w:r>
      <w:r w:rsidR="006E303D" w:rsidRPr="001B5172">
        <w:rPr>
          <w:rFonts w:ascii="Times New Roman" w:hAnsi="Times New Roman" w:cs="Times New Roman"/>
          <w:bCs/>
          <w:sz w:val="20"/>
          <w:szCs w:val="20"/>
          <w:lang w:val="en-US"/>
        </w:rPr>
        <w:t>J</w:t>
      </w:r>
      <w:r w:rsidRPr="001B5172">
        <w:rPr>
          <w:rFonts w:ascii="Times New Roman" w:hAnsi="Times New Roman" w:cs="Times New Roman"/>
          <w:bCs/>
          <w:sz w:val="20"/>
          <w:szCs w:val="20"/>
          <w:lang w:val="en-US"/>
        </w:rPr>
        <w:t>.</w:t>
      </w:r>
      <w:r w:rsidR="006E303D" w:rsidRPr="001B5172">
        <w:rPr>
          <w:rFonts w:ascii="Times New Roman" w:hAnsi="Times New Roman" w:cs="Times New Roman"/>
          <w:bCs/>
          <w:sz w:val="20"/>
          <w:szCs w:val="20"/>
          <w:lang w:val="en-US"/>
        </w:rPr>
        <w:t>S</w:t>
      </w:r>
      <w:r w:rsidRPr="001B5172">
        <w:rPr>
          <w:rFonts w:ascii="Times New Roman" w:hAnsi="Times New Roman" w:cs="Times New Roman"/>
          <w:bCs/>
          <w:sz w:val="20"/>
          <w:szCs w:val="20"/>
          <w:lang w:val="en-US"/>
        </w:rPr>
        <w:t>.</w:t>
      </w:r>
      <w:r w:rsidR="006E303D" w:rsidRPr="001B5172">
        <w:rPr>
          <w:rFonts w:ascii="Times New Roman" w:hAnsi="Times New Roman" w:cs="Times New Roman"/>
          <w:bCs/>
          <w:sz w:val="20"/>
          <w:szCs w:val="20"/>
          <w:lang w:val="en-US"/>
        </w:rPr>
        <w:t xml:space="preserve">; </w:t>
      </w:r>
      <w:r w:rsidR="00DE5382" w:rsidRPr="001B5172">
        <w:rPr>
          <w:rFonts w:ascii="Times New Roman" w:hAnsi="Times New Roman" w:cs="Times New Roman"/>
          <w:bCs/>
          <w:sz w:val="20"/>
          <w:szCs w:val="20"/>
          <w:lang w:val="en-US"/>
        </w:rPr>
        <w:t xml:space="preserve">José, </w:t>
      </w:r>
      <w:r w:rsidR="003C47F7" w:rsidRPr="001B5172">
        <w:rPr>
          <w:rFonts w:ascii="Times New Roman" w:hAnsi="Times New Roman" w:cs="Times New Roman"/>
          <w:bCs/>
          <w:sz w:val="20"/>
          <w:szCs w:val="20"/>
          <w:lang w:val="en-US"/>
        </w:rPr>
        <w:t xml:space="preserve">F.F.S.; </w:t>
      </w:r>
      <w:r w:rsidR="00795A8F" w:rsidRPr="001B5172">
        <w:rPr>
          <w:rFonts w:ascii="Times New Roman" w:hAnsi="Times New Roman" w:cs="Times New Roman"/>
          <w:bCs/>
          <w:sz w:val="20"/>
          <w:szCs w:val="20"/>
          <w:lang w:val="en-US"/>
        </w:rPr>
        <w:t>Eduardo A.,</w:t>
      </w:r>
      <w:r w:rsidRPr="001B5172">
        <w:rPr>
          <w:rFonts w:ascii="Times New Roman" w:hAnsi="Times New Roman" w:cs="Times New Roman"/>
          <w:bCs/>
          <w:sz w:val="20"/>
          <w:szCs w:val="20"/>
          <w:lang w:val="en-US"/>
        </w:rPr>
        <w:t xml:space="preserve"> and Writing and editing: Evens, C.; Marcelo, A. G.</w:t>
      </w:r>
      <w:r w:rsidR="00795A8F" w:rsidRPr="001B5172">
        <w:rPr>
          <w:rFonts w:ascii="Times New Roman" w:hAnsi="Times New Roman" w:cs="Times New Roman"/>
          <w:bCs/>
          <w:sz w:val="20"/>
          <w:szCs w:val="20"/>
          <w:lang w:val="en-US"/>
        </w:rPr>
        <w:t xml:space="preserve">; </w:t>
      </w:r>
      <w:r w:rsidRPr="001B5172">
        <w:rPr>
          <w:rFonts w:ascii="Times New Roman" w:hAnsi="Times New Roman" w:cs="Times New Roman"/>
          <w:bCs/>
          <w:sz w:val="20"/>
          <w:szCs w:val="20"/>
          <w:lang w:val="en-US"/>
        </w:rPr>
        <w:t xml:space="preserve">Filipe, A. R.; </w:t>
      </w:r>
      <w:r w:rsidR="00795A8F" w:rsidRPr="001B5172">
        <w:rPr>
          <w:rFonts w:ascii="Times New Roman" w:hAnsi="Times New Roman" w:cs="Times New Roman"/>
          <w:bCs/>
          <w:sz w:val="20"/>
          <w:szCs w:val="20"/>
          <w:lang w:val="en-US"/>
        </w:rPr>
        <w:t>Luana, J.S.; José, F.F.S.; Eduardo A</w:t>
      </w:r>
      <w:r w:rsidR="00A73FCA" w:rsidRPr="001B5172">
        <w:rPr>
          <w:rFonts w:ascii="Times New Roman" w:hAnsi="Times New Roman" w:cs="Times New Roman"/>
          <w:bCs/>
          <w:sz w:val="20"/>
          <w:szCs w:val="20"/>
          <w:lang w:val="en-US"/>
        </w:rPr>
        <w:t xml:space="preserve">.; </w:t>
      </w:r>
      <w:r w:rsidRPr="001B5172">
        <w:rPr>
          <w:rFonts w:ascii="Times New Roman" w:hAnsi="Times New Roman" w:cs="Times New Roman"/>
          <w:bCs/>
          <w:sz w:val="20"/>
          <w:szCs w:val="20"/>
          <w:lang w:val="en-US"/>
        </w:rPr>
        <w:t>Joyce, D.; Moacir, P.</w:t>
      </w:r>
    </w:p>
    <w:p w14:paraId="276A1E70" w14:textId="77777777" w:rsidR="00A614C7" w:rsidRPr="008E7A74" w:rsidRDefault="00A614C7" w:rsidP="00EC1745">
      <w:pPr>
        <w:spacing w:line="360" w:lineRule="auto"/>
        <w:jc w:val="both"/>
        <w:rPr>
          <w:rFonts w:ascii="Times New Roman" w:hAnsi="Times New Roman" w:cs="Times New Roman"/>
          <w:color w:val="000000" w:themeColor="text1"/>
          <w:sz w:val="20"/>
          <w:szCs w:val="20"/>
          <w:lang w:val="en-US"/>
        </w:rPr>
      </w:pPr>
    </w:p>
    <w:p w14:paraId="774464B7" w14:textId="67D3EAC8" w:rsidR="00C45790" w:rsidRPr="008E7A74" w:rsidRDefault="009B26AF" w:rsidP="001059B9">
      <w:pPr>
        <w:jc w:val="both"/>
        <w:rPr>
          <w:rFonts w:ascii="Times New Roman" w:hAnsi="Times New Roman" w:cs="Times New Roman"/>
          <w:b/>
          <w:bCs/>
          <w:sz w:val="20"/>
          <w:szCs w:val="20"/>
          <w:lang w:val="en-US"/>
        </w:rPr>
      </w:pPr>
      <w:r w:rsidRPr="008E7A74">
        <w:rPr>
          <w:rFonts w:ascii="Times New Roman" w:hAnsi="Times New Roman" w:cs="Times New Roman"/>
          <w:b/>
          <w:bCs/>
          <w:sz w:val="20"/>
          <w:szCs w:val="20"/>
          <w:lang w:val="en-US"/>
        </w:rPr>
        <w:t>REFERENCES</w:t>
      </w:r>
    </w:p>
    <w:p w14:paraId="08DE65EE"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Ahmed N, Zhang B, </w:t>
      </w:r>
      <w:proofErr w:type="spellStart"/>
      <w:r w:rsidRPr="002F49CA">
        <w:rPr>
          <w:rFonts w:ascii="Times New Roman" w:hAnsi="Times New Roman" w:cs="Times New Roman"/>
          <w:sz w:val="20"/>
          <w:szCs w:val="20"/>
          <w:lang w:val="en-US"/>
        </w:rPr>
        <w:t>Bozdar</w:t>
      </w:r>
      <w:proofErr w:type="spellEnd"/>
      <w:r w:rsidRPr="002F49CA">
        <w:rPr>
          <w:rFonts w:ascii="Times New Roman" w:hAnsi="Times New Roman" w:cs="Times New Roman"/>
          <w:sz w:val="20"/>
          <w:szCs w:val="20"/>
          <w:lang w:val="en-US"/>
        </w:rPr>
        <w:t xml:space="preserve"> B, Chachar S, Rai M, Li J et al (2023) The power of magnesium: unlocking the potential for increased yield, quality, and stress tolerance of horticultural crops. Frontiers in Plant Science, 14:1285512. </w:t>
      </w:r>
      <w:hyperlink r:id="rId17" w:history="1">
        <w:r w:rsidRPr="002F49CA">
          <w:rPr>
            <w:rStyle w:val="Hyperlink"/>
            <w:rFonts w:ascii="Times New Roman" w:eastAsiaTheme="majorEastAsia" w:hAnsi="Times New Roman" w:cs="Times New Roman"/>
            <w:sz w:val="20"/>
            <w:szCs w:val="20"/>
            <w:lang w:val="en-US"/>
          </w:rPr>
          <w:t>https://doi.org/10.3389/fpls.2023.1285512</w:t>
        </w:r>
      </w:hyperlink>
      <w:r w:rsidRPr="002F49CA">
        <w:rPr>
          <w:rFonts w:ascii="Times New Roman" w:hAnsi="Times New Roman" w:cs="Times New Roman"/>
          <w:sz w:val="20"/>
          <w:szCs w:val="20"/>
          <w:lang w:val="en-US"/>
        </w:rPr>
        <w:t xml:space="preserve"> </w:t>
      </w:r>
    </w:p>
    <w:p w14:paraId="2E1A83B4"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Ahn G, Jung IJ, Cha JY, Jeong SY, Shin, GI, Ji MG et al (2022) Phytochrome B positively regulates red light-mediated ER stress response in </w:t>
      </w:r>
      <w:r w:rsidRPr="002F49CA">
        <w:rPr>
          <w:rFonts w:ascii="Times New Roman" w:hAnsi="Times New Roman" w:cs="Times New Roman"/>
          <w:i/>
          <w:iCs/>
          <w:sz w:val="20"/>
          <w:szCs w:val="20"/>
          <w:lang w:val="en-US"/>
        </w:rPr>
        <w:t>Arabidopsis</w:t>
      </w:r>
      <w:r w:rsidRPr="002F49CA">
        <w:rPr>
          <w:rFonts w:ascii="Times New Roman" w:hAnsi="Times New Roman" w:cs="Times New Roman"/>
          <w:sz w:val="20"/>
          <w:szCs w:val="20"/>
          <w:lang w:val="en-US"/>
        </w:rPr>
        <w:t xml:space="preserve">. Frontiers in Plant Science, 13:846294. </w:t>
      </w:r>
      <w:hyperlink r:id="rId18" w:history="1">
        <w:r w:rsidRPr="002F49CA">
          <w:rPr>
            <w:rStyle w:val="Hyperlink"/>
            <w:rFonts w:ascii="Times New Roman" w:eastAsiaTheme="majorEastAsia" w:hAnsi="Times New Roman" w:cs="Times New Roman"/>
            <w:sz w:val="20"/>
            <w:szCs w:val="20"/>
            <w:lang w:val="en-US"/>
          </w:rPr>
          <w:t>https://doi.org/10.3389/fpls.2022.846294</w:t>
        </w:r>
      </w:hyperlink>
      <w:r w:rsidRPr="002F49CA">
        <w:rPr>
          <w:rFonts w:ascii="Times New Roman" w:hAnsi="Times New Roman" w:cs="Times New Roman"/>
          <w:sz w:val="20"/>
          <w:szCs w:val="20"/>
          <w:lang w:val="en-US"/>
        </w:rPr>
        <w:t xml:space="preserve"> </w:t>
      </w:r>
    </w:p>
    <w:p w14:paraId="611FD0DE"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Ahsan SM, </w:t>
      </w:r>
      <w:proofErr w:type="spellStart"/>
      <w:r w:rsidRPr="002F49CA">
        <w:rPr>
          <w:rFonts w:ascii="Times New Roman" w:hAnsi="Times New Roman" w:cs="Times New Roman"/>
          <w:sz w:val="20"/>
          <w:szCs w:val="20"/>
          <w:lang w:val="en-US"/>
        </w:rPr>
        <w:t>Injamum</w:t>
      </w:r>
      <w:proofErr w:type="spellEnd"/>
      <w:r w:rsidRPr="002F49CA">
        <w:rPr>
          <w:rFonts w:ascii="Times New Roman" w:hAnsi="Times New Roman" w:cs="Times New Roman"/>
          <w:sz w:val="20"/>
          <w:szCs w:val="20"/>
          <w:lang w:val="en-US"/>
        </w:rPr>
        <w:t xml:space="preserve">-Ul-Hoque M, </w:t>
      </w:r>
      <w:proofErr w:type="spellStart"/>
      <w:r w:rsidRPr="002F49CA">
        <w:rPr>
          <w:rFonts w:ascii="Times New Roman" w:hAnsi="Times New Roman" w:cs="Times New Roman"/>
          <w:sz w:val="20"/>
          <w:szCs w:val="20"/>
          <w:lang w:val="en-US"/>
        </w:rPr>
        <w:t>Shaffique</w:t>
      </w:r>
      <w:proofErr w:type="spellEnd"/>
      <w:r w:rsidRPr="002F49CA">
        <w:rPr>
          <w:rFonts w:ascii="Times New Roman" w:hAnsi="Times New Roman" w:cs="Times New Roman"/>
          <w:sz w:val="20"/>
          <w:szCs w:val="20"/>
          <w:lang w:val="en-US"/>
        </w:rPr>
        <w:t xml:space="preserve"> S, </w:t>
      </w:r>
      <w:proofErr w:type="spellStart"/>
      <w:r w:rsidRPr="002F49CA">
        <w:rPr>
          <w:rFonts w:ascii="Times New Roman" w:hAnsi="Times New Roman" w:cs="Times New Roman"/>
          <w:sz w:val="20"/>
          <w:szCs w:val="20"/>
          <w:lang w:val="en-US"/>
        </w:rPr>
        <w:t>Ayoobi</w:t>
      </w:r>
      <w:proofErr w:type="spellEnd"/>
      <w:r w:rsidRPr="002F49CA">
        <w:rPr>
          <w:rFonts w:ascii="Times New Roman" w:hAnsi="Times New Roman" w:cs="Times New Roman"/>
          <w:sz w:val="20"/>
          <w:szCs w:val="20"/>
          <w:lang w:val="en-US"/>
        </w:rPr>
        <w:t xml:space="preserve"> A, Rahman MA, Rahman MM, Choi HW (2024) Illuminating </w:t>
      </w:r>
      <w:r w:rsidRPr="002F49CA">
        <w:rPr>
          <w:rFonts w:ascii="Times New Roman" w:hAnsi="Times New Roman" w:cs="Times New Roman"/>
          <w:i/>
          <w:iCs/>
          <w:sz w:val="20"/>
          <w:szCs w:val="20"/>
          <w:lang w:val="en-US"/>
        </w:rPr>
        <w:t>Cannabis sativa</w:t>
      </w:r>
      <w:r w:rsidRPr="002F49CA">
        <w:rPr>
          <w:rFonts w:ascii="Times New Roman" w:hAnsi="Times New Roman" w:cs="Times New Roman"/>
          <w:sz w:val="20"/>
          <w:szCs w:val="20"/>
          <w:lang w:val="en-US"/>
        </w:rPr>
        <w:t xml:space="preserve"> L.: The power of light in enhancing C. sativa growth and secondary metabolite production. Plants, 13(19):2774. </w:t>
      </w:r>
      <w:hyperlink r:id="rId19" w:history="1">
        <w:r w:rsidRPr="002F49CA">
          <w:rPr>
            <w:rStyle w:val="Hyperlink"/>
            <w:rFonts w:ascii="Times New Roman" w:eastAsiaTheme="majorEastAsia" w:hAnsi="Times New Roman" w:cs="Times New Roman"/>
            <w:sz w:val="20"/>
            <w:szCs w:val="20"/>
            <w:lang w:val="en-US"/>
          </w:rPr>
          <w:t>https://doi.org/10.3390/plants13192774</w:t>
        </w:r>
      </w:hyperlink>
      <w:r w:rsidRPr="002F49CA">
        <w:rPr>
          <w:rFonts w:ascii="Times New Roman" w:hAnsi="Times New Roman" w:cs="Times New Roman"/>
          <w:sz w:val="20"/>
          <w:szCs w:val="20"/>
          <w:lang w:val="en-US"/>
        </w:rPr>
        <w:t xml:space="preserve"> </w:t>
      </w:r>
    </w:p>
    <w:p w14:paraId="43E9EB8B"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Ali H, Khan MA, Kayani WK, Dilshad E, Rani R, Khan RS (2019) Production of biomass and medicinal metabolites through adventitious roots in </w:t>
      </w:r>
      <w:r w:rsidRPr="002F49CA">
        <w:rPr>
          <w:rFonts w:ascii="Times New Roman" w:hAnsi="Times New Roman" w:cs="Times New Roman"/>
          <w:i/>
          <w:iCs/>
          <w:sz w:val="20"/>
          <w:szCs w:val="20"/>
          <w:lang w:val="en-US"/>
        </w:rPr>
        <w:t xml:space="preserve">Ajuga </w:t>
      </w:r>
      <w:proofErr w:type="spellStart"/>
      <w:r w:rsidRPr="002F49CA">
        <w:rPr>
          <w:rFonts w:ascii="Times New Roman" w:hAnsi="Times New Roman" w:cs="Times New Roman"/>
          <w:i/>
          <w:iCs/>
          <w:sz w:val="20"/>
          <w:szCs w:val="20"/>
          <w:lang w:val="en-US"/>
        </w:rPr>
        <w:t>bracteosa</w:t>
      </w:r>
      <w:proofErr w:type="spellEnd"/>
      <w:r w:rsidRPr="002F49CA">
        <w:rPr>
          <w:rFonts w:ascii="Times New Roman" w:hAnsi="Times New Roman" w:cs="Times New Roman"/>
          <w:sz w:val="20"/>
          <w:szCs w:val="20"/>
          <w:lang w:val="en-US"/>
        </w:rPr>
        <w:t xml:space="preserve"> under different spectral lights. J. </w:t>
      </w:r>
      <w:proofErr w:type="spellStart"/>
      <w:r w:rsidRPr="002F49CA">
        <w:rPr>
          <w:rFonts w:ascii="Times New Roman" w:hAnsi="Times New Roman" w:cs="Times New Roman"/>
          <w:sz w:val="20"/>
          <w:szCs w:val="20"/>
          <w:lang w:val="en-US"/>
        </w:rPr>
        <w:t>Photochem</w:t>
      </w:r>
      <w:proofErr w:type="spellEnd"/>
      <w:r w:rsidRPr="002F49CA">
        <w:rPr>
          <w:rFonts w:ascii="Times New Roman" w:hAnsi="Times New Roman" w:cs="Times New Roman"/>
          <w:sz w:val="20"/>
          <w:szCs w:val="20"/>
          <w:lang w:val="en-US"/>
        </w:rPr>
        <w:t xml:space="preserve">. </w:t>
      </w:r>
      <w:proofErr w:type="spellStart"/>
      <w:r w:rsidRPr="002F49CA">
        <w:rPr>
          <w:rFonts w:ascii="Times New Roman" w:hAnsi="Times New Roman" w:cs="Times New Roman"/>
          <w:sz w:val="20"/>
          <w:szCs w:val="20"/>
          <w:lang w:val="en-US"/>
        </w:rPr>
        <w:t>Photobiol</w:t>
      </w:r>
      <w:proofErr w:type="spellEnd"/>
      <w:r w:rsidRPr="002F49CA">
        <w:rPr>
          <w:rFonts w:ascii="Times New Roman" w:hAnsi="Times New Roman" w:cs="Times New Roman"/>
          <w:sz w:val="20"/>
          <w:szCs w:val="20"/>
          <w:lang w:val="en-US"/>
        </w:rPr>
        <w:t xml:space="preserve">. B Biol. 193:109–117. </w:t>
      </w:r>
      <w:hyperlink r:id="rId20" w:history="1">
        <w:r w:rsidRPr="002F49CA">
          <w:rPr>
            <w:rStyle w:val="Hyperlink"/>
            <w:rFonts w:ascii="Times New Roman" w:eastAsiaTheme="majorEastAsia" w:hAnsi="Times New Roman" w:cs="Times New Roman"/>
            <w:sz w:val="20"/>
            <w:szCs w:val="20"/>
            <w:lang w:val="en-US"/>
          </w:rPr>
          <w:t>https://doi.org/10.1016/j.jphotobiol.2019.02.010</w:t>
        </w:r>
      </w:hyperlink>
      <w:r w:rsidRPr="002F49CA">
        <w:rPr>
          <w:rFonts w:ascii="Times New Roman" w:hAnsi="Times New Roman" w:cs="Times New Roman"/>
          <w:sz w:val="20"/>
          <w:szCs w:val="20"/>
          <w:lang w:val="en-US"/>
        </w:rPr>
        <w:t xml:space="preserve"> </w:t>
      </w:r>
    </w:p>
    <w:p w14:paraId="52D650F2"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Ani NN, Harun AN, Samsuri SFM, Ahmad R (2015) Effect of red and blue lights on photomorphogenesis in </w:t>
      </w:r>
      <w:r w:rsidRPr="002F49CA">
        <w:rPr>
          <w:rFonts w:ascii="Times New Roman" w:hAnsi="Times New Roman" w:cs="Times New Roman"/>
          <w:i/>
          <w:iCs/>
          <w:sz w:val="20"/>
          <w:szCs w:val="20"/>
          <w:lang w:val="en-US"/>
        </w:rPr>
        <w:t>Brassica chinensis</w:t>
      </w:r>
      <w:r w:rsidRPr="002F49CA">
        <w:rPr>
          <w:rFonts w:ascii="Times New Roman" w:hAnsi="Times New Roman" w:cs="Times New Roman"/>
          <w:sz w:val="20"/>
          <w:szCs w:val="20"/>
          <w:lang w:val="en-US"/>
        </w:rPr>
        <w:t xml:space="preserve">. The Malaysia-Japan Model on Technology Partnership: International Proceedings 2013 of Malaysia-Japan Academic Scholar Conference 4:49-58. </w:t>
      </w:r>
      <w:hyperlink r:id="rId21" w:history="1">
        <w:r w:rsidRPr="002F49CA">
          <w:rPr>
            <w:rStyle w:val="Hyperlink"/>
            <w:rFonts w:ascii="Times New Roman" w:eastAsiaTheme="majorEastAsia" w:hAnsi="Times New Roman" w:cs="Times New Roman"/>
            <w:sz w:val="20"/>
            <w:szCs w:val="20"/>
            <w:lang w:val="en-US"/>
          </w:rPr>
          <w:t>https://doi.org/10.1007/978-4-431-54439-5_5</w:t>
        </w:r>
      </w:hyperlink>
      <w:r w:rsidRPr="002F49CA">
        <w:rPr>
          <w:rFonts w:ascii="Times New Roman" w:hAnsi="Times New Roman" w:cs="Times New Roman"/>
          <w:sz w:val="20"/>
          <w:szCs w:val="20"/>
          <w:lang w:val="en-US"/>
        </w:rPr>
        <w:t xml:space="preserve"> </w:t>
      </w:r>
    </w:p>
    <w:p w14:paraId="393C9B71" w14:textId="77777777" w:rsidR="00142BBE" w:rsidRPr="002F49CA" w:rsidRDefault="00142BBE" w:rsidP="00142BBE">
      <w:pPr>
        <w:jc w:val="both"/>
        <w:rPr>
          <w:rFonts w:ascii="Times New Roman" w:hAnsi="Times New Roman" w:cs="Times New Roman"/>
          <w:sz w:val="20"/>
          <w:szCs w:val="20"/>
          <w:lang w:val="en-US"/>
        </w:rPr>
      </w:pPr>
      <w:proofErr w:type="spellStart"/>
      <w:r w:rsidRPr="002F49CA">
        <w:rPr>
          <w:rFonts w:ascii="Times New Roman" w:hAnsi="Times New Roman" w:cs="Times New Roman"/>
          <w:sz w:val="20"/>
          <w:szCs w:val="20"/>
          <w:lang w:val="en-US"/>
        </w:rPr>
        <w:lastRenderedPageBreak/>
        <w:t>Anuruddi</w:t>
      </w:r>
      <w:proofErr w:type="spellEnd"/>
      <w:r w:rsidRPr="002F49CA">
        <w:rPr>
          <w:rFonts w:ascii="Times New Roman" w:hAnsi="Times New Roman" w:cs="Times New Roman"/>
          <w:sz w:val="20"/>
          <w:szCs w:val="20"/>
          <w:lang w:val="en-US"/>
        </w:rPr>
        <w:t xml:space="preserve"> HIGK, </w:t>
      </w:r>
      <w:proofErr w:type="spellStart"/>
      <w:r w:rsidRPr="002F49CA">
        <w:rPr>
          <w:rFonts w:ascii="Times New Roman" w:hAnsi="Times New Roman" w:cs="Times New Roman"/>
          <w:sz w:val="20"/>
          <w:szCs w:val="20"/>
          <w:lang w:val="en-US"/>
        </w:rPr>
        <w:t>Nakandalage</w:t>
      </w:r>
      <w:proofErr w:type="spellEnd"/>
      <w:r w:rsidRPr="002F49CA">
        <w:rPr>
          <w:rFonts w:ascii="Times New Roman" w:hAnsi="Times New Roman" w:cs="Times New Roman"/>
          <w:sz w:val="20"/>
          <w:szCs w:val="20"/>
          <w:lang w:val="en-US"/>
        </w:rPr>
        <w:t xml:space="preserve"> N, Fonseka DK (2023) New insights for the production of medicinal plant materials: </w:t>
      </w:r>
      <w:r w:rsidRPr="002F49CA">
        <w:rPr>
          <w:rFonts w:ascii="Times New Roman" w:hAnsi="Times New Roman" w:cs="Times New Roman"/>
          <w:i/>
          <w:iCs/>
          <w:sz w:val="20"/>
          <w:szCs w:val="20"/>
          <w:lang w:val="en-US"/>
        </w:rPr>
        <w:t>ex vitro</w:t>
      </w:r>
      <w:r w:rsidRPr="002F49CA">
        <w:rPr>
          <w:rFonts w:ascii="Times New Roman" w:hAnsi="Times New Roman" w:cs="Times New Roman"/>
          <w:sz w:val="20"/>
          <w:szCs w:val="20"/>
          <w:lang w:val="en-US"/>
        </w:rPr>
        <w:t xml:space="preserve"> and </w:t>
      </w:r>
      <w:r w:rsidRPr="002F49CA">
        <w:rPr>
          <w:rFonts w:ascii="Times New Roman" w:hAnsi="Times New Roman" w:cs="Times New Roman"/>
          <w:i/>
          <w:iCs/>
          <w:sz w:val="20"/>
          <w:szCs w:val="20"/>
          <w:lang w:val="en-US"/>
        </w:rPr>
        <w:t>in vitro</w:t>
      </w:r>
      <w:r w:rsidRPr="002F49CA">
        <w:rPr>
          <w:rFonts w:ascii="Times New Roman" w:hAnsi="Times New Roman" w:cs="Times New Roman"/>
          <w:sz w:val="20"/>
          <w:szCs w:val="20"/>
          <w:lang w:val="en-US"/>
        </w:rPr>
        <w:t xml:space="preserve"> propagation. In Biosynthesis of Bioactive Compounds in Medicinal and Aromatic Plants: Manipulation by Conventional and Biotechnological Approaches. Cham: Springer Nature Switzerland, 181-212. </w:t>
      </w:r>
      <w:hyperlink r:id="rId22" w:history="1">
        <w:r w:rsidRPr="002F49CA">
          <w:rPr>
            <w:rStyle w:val="Hyperlink"/>
            <w:rFonts w:ascii="Times New Roman" w:eastAsiaTheme="majorEastAsia" w:hAnsi="Times New Roman" w:cs="Times New Roman"/>
            <w:sz w:val="20"/>
            <w:szCs w:val="20"/>
            <w:lang w:val="en-US"/>
          </w:rPr>
          <w:t>https://doi.org/10.1007/978-3-031-35221-8_9</w:t>
        </w:r>
      </w:hyperlink>
      <w:r w:rsidRPr="002F49CA">
        <w:rPr>
          <w:rFonts w:ascii="Times New Roman" w:hAnsi="Times New Roman" w:cs="Times New Roman"/>
          <w:sz w:val="20"/>
          <w:szCs w:val="20"/>
          <w:lang w:val="en-US"/>
        </w:rPr>
        <w:t xml:space="preserve">  </w:t>
      </w:r>
    </w:p>
    <w:p w14:paraId="33E0B813"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Baidya A, Akter T, Islam MR, Shah AA, Hossain MA, Salam MA, Paul SI (2021) Effect of different wavelengths of LED light on the growth, chlorophyll, </w:t>
      </w:r>
      <w:r w:rsidRPr="002F49CA">
        <w:rPr>
          <w:rFonts w:ascii="Times New Roman" w:hAnsi="Times New Roman" w:cs="Times New Roman"/>
          <w:sz w:val="20"/>
          <w:szCs w:val="20"/>
        </w:rPr>
        <w:t>β</w:t>
      </w:r>
      <w:r w:rsidRPr="002F49CA">
        <w:rPr>
          <w:rFonts w:ascii="Times New Roman" w:hAnsi="Times New Roman" w:cs="Times New Roman"/>
          <w:sz w:val="20"/>
          <w:szCs w:val="20"/>
          <w:lang w:val="en-US"/>
        </w:rPr>
        <w:t xml:space="preserve">-carotene content and proximate composition of </w:t>
      </w:r>
      <w:r w:rsidRPr="002F49CA">
        <w:rPr>
          <w:rFonts w:ascii="Times New Roman" w:hAnsi="Times New Roman" w:cs="Times New Roman"/>
          <w:i/>
          <w:iCs/>
          <w:sz w:val="20"/>
          <w:szCs w:val="20"/>
          <w:lang w:val="en-US"/>
        </w:rPr>
        <w:t xml:space="preserve">Chlorella </w:t>
      </w:r>
      <w:proofErr w:type="spellStart"/>
      <w:r w:rsidRPr="002F49CA">
        <w:rPr>
          <w:rFonts w:ascii="Times New Roman" w:hAnsi="Times New Roman" w:cs="Times New Roman"/>
          <w:i/>
          <w:iCs/>
          <w:sz w:val="20"/>
          <w:szCs w:val="20"/>
          <w:lang w:val="en-US"/>
        </w:rPr>
        <w:t>ellipsoidea</w:t>
      </w:r>
      <w:proofErr w:type="spellEnd"/>
      <w:r w:rsidRPr="002F49CA">
        <w:rPr>
          <w:rFonts w:ascii="Times New Roman" w:hAnsi="Times New Roman" w:cs="Times New Roman"/>
          <w:sz w:val="20"/>
          <w:szCs w:val="20"/>
          <w:lang w:val="en-US"/>
        </w:rPr>
        <w:t>. </w:t>
      </w:r>
      <w:proofErr w:type="spellStart"/>
      <w:r w:rsidRPr="002F49CA">
        <w:rPr>
          <w:rFonts w:ascii="Times New Roman" w:hAnsi="Times New Roman" w:cs="Times New Roman"/>
          <w:sz w:val="20"/>
          <w:szCs w:val="20"/>
          <w:lang w:val="en-US"/>
        </w:rPr>
        <w:t>Heliyon</w:t>
      </w:r>
      <w:proofErr w:type="spellEnd"/>
      <w:r w:rsidRPr="002F49CA">
        <w:rPr>
          <w:rFonts w:ascii="Times New Roman" w:hAnsi="Times New Roman" w:cs="Times New Roman"/>
          <w:sz w:val="20"/>
          <w:szCs w:val="20"/>
          <w:lang w:val="en-US"/>
        </w:rPr>
        <w:t xml:space="preserve">, 7(12). </w:t>
      </w:r>
      <w:hyperlink r:id="rId23" w:history="1">
        <w:r w:rsidRPr="002F49CA">
          <w:rPr>
            <w:rStyle w:val="Hyperlink"/>
            <w:rFonts w:ascii="Times New Roman" w:eastAsiaTheme="majorEastAsia" w:hAnsi="Times New Roman" w:cs="Times New Roman"/>
            <w:sz w:val="20"/>
            <w:szCs w:val="20"/>
            <w:lang w:val="en-US"/>
          </w:rPr>
          <w:t>https://doi.org/10.1016/j.heliyon.2021.e08525</w:t>
        </w:r>
      </w:hyperlink>
      <w:r w:rsidRPr="002F49CA">
        <w:rPr>
          <w:rFonts w:ascii="Times New Roman" w:hAnsi="Times New Roman" w:cs="Times New Roman"/>
          <w:sz w:val="20"/>
          <w:szCs w:val="20"/>
          <w:lang w:val="en-US"/>
        </w:rPr>
        <w:t xml:space="preserve"> </w:t>
      </w:r>
    </w:p>
    <w:p w14:paraId="2DD9A07C" w14:textId="77777777" w:rsidR="00142BBE" w:rsidRPr="002F49CA" w:rsidRDefault="00142BBE" w:rsidP="00142BBE">
      <w:pPr>
        <w:jc w:val="both"/>
        <w:rPr>
          <w:rFonts w:ascii="Times New Roman" w:hAnsi="Times New Roman" w:cs="Times New Roman"/>
          <w:sz w:val="20"/>
          <w:szCs w:val="20"/>
          <w:lang w:val="en-US"/>
        </w:rPr>
      </w:pPr>
      <w:proofErr w:type="spellStart"/>
      <w:r w:rsidRPr="002F49CA">
        <w:rPr>
          <w:rFonts w:ascii="Times New Roman" w:hAnsi="Times New Roman" w:cs="Times New Roman"/>
          <w:sz w:val="20"/>
          <w:szCs w:val="20"/>
          <w:lang w:val="en-US"/>
        </w:rPr>
        <w:t>Bantis</w:t>
      </w:r>
      <w:proofErr w:type="spellEnd"/>
      <w:r w:rsidRPr="002F49CA">
        <w:rPr>
          <w:rFonts w:ascii="Times New Roman" w:hAnsi="Times New Roman" w:cs="Times New Roman"/>
          <w:sz w:val="20"/>
          <w:szCs w:val="20"/>
          <w:lang w:val="en-US"/>
        </w:rPr>
        <w:t xml:space="preserve"> F, </w:t>
      </w:r>
      <w:proofErr w:type="spellStart"/>
      <w:r w:rsidRPr="002F49CA">
        <w:rPr>
          <w:rFonts w:ascii="Times New Roman" w:hAnsi="Times New Roman" w:cs="Times New Roman"/>
          <w:sz w:val="20"/>
          <w:szCs w:val="20"/>
          <w:lang w:val="en-US"/>
        </w:rPr>
        <w:t>Koukounaras</w:t>
      </w:r>
      <w:proofErr w:type="spellEnd"/>
      <w:r w:rsidRPr="002F49CA">
        <w:rPr>
          <w:rFonts w:ascii="Times New Roman" w:hAnsi="Times New Roman" w:cs="Times New Roman"/>
          <w:sz w:val="20"/>
          <w:szCs w:val="20"/>
          <w:lang w:val="en-US"/>
        </w:rPr>
        <w:t xml:space="preserve"> A, </w:t>
      </w:r>
      <w:proofErr w:type="spellStart"/>
      <w:r w:rsidRPr="002F49CA">
        <w:rPr>
          <w:rFonts w:ascii="Times New Roman" w:hAnsi="Times New Roman" w:cs="Times New Roman"/>
          <w:sz w:val="20"/>
          <w:szCs w:val="20"/>
          <w:lang w:val="en-US"/>
        </w:rPr>
        <w:t>Siomos</w:t>
      </w:r>
      <w:proofErr w:type="spellEnd"/>
      <w:r w:rsidRPr="002F49CA">
        <w:rPr>
          <w:rFonts w:ascii="Times New Roman" w:hAnsi="Times New Roman" w:cs="Times New Roman"/>
          <w:sz w:val="20"/>
          <w:szCs w:val="20"/>
          <w:lang w:val="en-US"/>
        </w:rPr>
        <w:t xml:space="preserve"> AS, </w:t>
      </w:r>
      <w:proofErr w:type="spellStart"/>
      <w:r w:rsidRPr="002F49CA">
        <w:rPr>
          <w:rFonts w:ascii="Times New Roman" w:hAnsi="Times New Roman" w:cs="Times New Roman"/>
          <w:sz w:val="20"/>
          <w:szCs w:val="20"/>
          <w:lang w:val="en-US"/>
        </w:rPr>
        <w:t>Fotelli</w:t>
      </w:r>
      <w:proofErr w:type="spellEnd"/>
      <w:r w:rsidRPr="002F49CA">
        <w:rPr>
          <w:rFonts w:ascii="Times New Roman" w:hAnsi="Times New Roman" w:cs="Times New Roman"/>
          <w:sz w:val="20"/>
          <w:szCs w:val="20"/>
          <w:lang w:val="en-US"/>
        </w:rPr>
        <w:t xml:space="preserve">, MN, </w:t>
      </w:r>
      <w:proofErr w:type="spellStart"/>
      <w:r w:rsidRPr="002F49CA">
        <w:rPr>
          <w:rFonts w:ascii="Times New Roman" w:hAnsi="Times New Roman" w:cs="Times New Roman"/>
          <w:sz w:val="20"/>
          <w:szCs w:val="20"/>
          <w:lang w:val="en-US"/>
        </w:rPr>
        <w:t>Kintzonidis</w:t>
      </w:r>
      <w:proofErr w:type="spellEnd"/>
      <w:r w:rsidRPr="002F49CA">
        <w:rPr>
          <w:rFonts w:ascii="Times New Roman" w:hAnsi="Times New Roman" w:cs="Times New Roman"/>
          <w:sz w:val="20"/>
          <w:szCs w:val="20"/>
          <w:lang w:val="en-US"/>
        </w:rPr>
        <w:t xml:space="preserve"> D (2020) </w:t>
      </w:r>
      <w:proofErr w:type="spellStart"/>
      <w:r w:rsidRPr="002F49CA">
        <w:rPr>
          <w:rFonts w:ascii="Times New Roman" w:hAnsi="Times New Roman" w:cs="Times New Roman"/>
          <w:sz w:val="20"/>
          <w:szCs w:val="20"/>
          <w:lang w:val="en-US"/>
        </w:rPr>
        <w:t>Bichromatic</w:t>
      </w:r>
      <w:proofErr w:type="spellEnd"/>
      <w:r w:rsidRPr="002F49CA">
        <w:rPr>
          <w:rFonts w:ascii="Times New Roman" w:hAnsi="Times New Roman" w:cs="Times New Roman"/>
          <w:sz w:val="20"/>
          <w:szCs w:val="20"/>
          <w:lang w:val="en-US"/>
        </w:rPr>
        <w:t xml:space="preserve"> red and blue LEDs during healing enhance the vegetative growth and quality of grafted watermelon seedlings. Scientia </w:t>
      </w:r>
      <w:proofErr w:type="spellStart"/>
      <w:r w:rsidRPr="002F49CA">
        <w:rPr>
          <w:rFonts w:ascii="Times New Roman" w:hAnsi="Times New Roman" w:cs="Times New Roman"/>
          <w:sz w:val="20"/>
          <w:szCs w:val="20"/>
          <w:lang w:val="en-US"/>
        </w:rPr>
        <w:t>Horticulturae</w:t>
      </w:r>
      <w:proofErr w:type="spellEnd"/>
      <w:r w:rsidRPr="002F49CA">
        <w:rPr>
          <w:rFonts w:ascii="Times New Roman" w:hAnsi="Times New Roman" w:cs="Times New Roman"/>
          <w:sz w:val="20"/>
          <w:szCs w:val="20"/>
          <w:lang w:val="en-US"/>
        </w:rPr>
        <w:t xml:space="preserve">, 261:109000. </w:t>
      </w:r>
      <w:hyperlink r:id="rId24" w:history="1">
        <w:r w:rsidRPr="002F49CA">
          <w:rPr>
            <w:rStyle w:val="Hyperlink"/>
            <w:rFonts w:ascii="Times New Roman" w:eastAsiaTheme="majorEastAsia" w:hAnsi="Times New Roman" w:cs="Times New Roman"/>
            <w:sz w:val="20"/>
            <w:szCs w:val="20"/>
            <w:lang w:val="en-US"/>
          </w:rPr>
          <w:t>https://doi.org/10.1016/j.scienta.2019.109000</w:t>
        </w:r>
      </w:hyperlink>
      <w:r w:rsidRPr="002F49CA">
        <w:rPr>
          <w:rFonts w:ascii="Times New Roman" w:hAnsi="Times New Roman" w:cs="Times New Roman"/>
          <w:sz w:val="20"/>
          <w:szCs w:val="20"/>
          <w:lang w:val="en-US"/>
        </w:rPr>
        <w:t xml:space="preserve"> </w:t>
      </w:r>
    </w:p>
    <w:p w14:paraId="279C724A"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Bello-Bello JJ, Martínez-Estrada E, Caamal-Velázquez JH, Morales-Ramos V (2016) Effect of LED light quality on </w:t>
      </w:r>
      <w:r w:rsidRPr="002F49CA">
        <w:rPr>
          <w:rFonts w:ascii="Times New Roman" w:hAnsi="Times New Roman" w:cs="Times New Roman"/>
          <w:i/>
          <w:iCs/>
          <w:sz w:val="20"/>
          <w:szCs w:val="20"/>
          <w:lang w:val="en-US"/>
        </w:rPr>
        <w:t>in vitro</w:t>
      </w:r>
      <w:r w:rsidRPr="002F49CA">
        <w:rPr>
          <w:rFonts w:ascii="Times New Roman" w:hAnsi="Times New Roman" w:cs="Times New Roman"/>
          <w:sz w:val="20"/>
          <w:szCs w:val="20"/>
          <w:lang w:val="en-US"/>
        </w:rPr>
        <w:t xml:space="preserve"> shoot proliferation and growth of vanilla (</w:t>
      </w:r>
      <w:r w:rsidRPr="002F49CA">
        <w:rPr>
          <w:rFonts w:ascii="Times New Roman" w:hAnsi="Times New Roman" w:cs="Times New Roman"/>
          <w:i/>
          <w:iCs/>
          <w:sz w:val="20"/>
          <w:szCs w:val="20"/>
          <w:lang w:val="en-US"/>
        </w:rPr>
        <w:t>Vanilla planifolia</w:t>
      </w:r>
      <w:r w:rsidRPr="002F49CA">
        <w:rPr>
          <w:rFonts w:ascii="Times New Roman" w:hAnsi="Times New Roman" w:cs="Times New Roman"/>
          <w:sz w:val="20"/>
          <w:szCs w:val="20"/>
          <w:lang w:val="en-US"/>
        </w:rPr>
        <w:t xml:space="preserve"> Andrews). African Journal of Biotechnology, 15(8):272-277. </w:t>
      </w:r>
      <w:hyperlink r:id="rId25" w:history="1">
        <w:r w:rsidRPr="002F49CA">
          <w:rPr>
            <w:rStyle w:val="Hyperlink"/>
            <w:rFonts w:ascii="Times New Roman" w:eastAsiaTheme="majorEastAsia" w:hAnsi="Times New Roman" w:cs="Times New Roman"/>
            <w:sz w:val="20"/>
            <w:szCs w:val="20"/>
            <w:lang w:val="en-US"/>
          </w:rPr>
          <w:t>https://doi.org/10.5897/AJB2015.14662</w:t>
        </w:r>
      </w:hyperlink>
      <w:r w:rsidRPr="002F49CA">
        <w:rPr>
          <w:rFonts w:ascii="Times New Roman" w:hAnsi="Times New Roman" w:cs="Times New Roman"/>
          <w:sz w:val="20"/>
          <w:szCs w:val="20"/>
          <w:lang w:val="en-US"/>
        </w:rPr>
        <w:t xml:space="preserve"> </w:t>
      </w:r>
    </w:p>
    <w:p w14:paraId="269FF238"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Bugbee B (2016, May). Toward an optimal spectral quality for plant growth and development: the importance of radiation capture. In VIII International Symposium on Light in Horticulture, 1134:1-12. </w:t>
      </w:r>
      <w:hyperlink r:id="rId26" w:history="1">
        <w:r w:rsidRPr="002F49CA">
          <w:rPr>
            <w:rStyle w:val="Hyperlink"/>
            <w:rFonts w:ascii="Times New Roman" w:hAnsi="Times New Roman" w:cs="Times New Roman"/>
            <w:sz w:val="20"/>
            <w:szCs w:val="20"/>
            <w:lang w:val="en-US"/>
          </w:rPr>
          <w:t>https://doi.org/10.17660/ActaHortic.2016.1134.1</w:t>
        </w:r>
      </w:hyperlink>
      <w:r w:rsidRPr="002F49CA">
        <w:rPr>
          <w:rFonts w:ascii="Times New Roman" w:hAnsi="Times New Roman" w:cs="Times New Roman"/>
          <w:sz w:val="20"/>
          <w:szCs w:val="20"/>
          <w:lang w:val="en-US"/>
        </w:rPr>
        <w:t xml:space="preserve">  </w:t>
      </w:r>
    </w:p>
    <w:p w14:paraId="0E97D7C3"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Cavallaro V, Pellegrino A, </w:t>
      </w:r>
      <w:proofErr w:type="spellStart"/>
      <w:r w:rsidRPr="002F49CA">
        <w:rPr>
          <w:rFonts w:ascii="Times New Roman" w:hAnsi="Times New Roman" w:cs="Times New Roman"/>
          <w:sz w:val="20"/>
          <w:szCs w:val="20"/>
          <w:lang w:val="en-US"/>
        </w:rPr>
        <w:t>Muleo</w:t>
      </w:r>
      <w:proofErr w:type="spellEnd"/>
      <w:r w:rsidRPr="002F49CA">
        <w:rPr>
          <w:rFonts w:ascii="Times New Roman" w:hAnsi="Times New Roman" w:cs="Times New Roman"/>
          <w:sz w:val="20"/>
          <w:szCs w:val="20"/>
          <w:lang w:val="en-US"/>
        </w:rPr>
        <w:t xml:space="preserve"> R, Forgione I (2022) Light and plant growth regulators on </w:t>
      </w:r>
      <w:r w:rsidRPr="002F49CA">
        <w:rPr>
          <w:rFonts w:ascii="Times New Roman" w:hAnsi="Times New Roman" w:cs="Times New Roman"/>
          <w:i/>
          <w:iCs/>
          <w:sz w:val="20"/>
          <w:szCs w:val="20"/>
          <w:lang w:val="en-US"/>
        </w:rPr>
        <w:t>in vitro</w:t>
      </w:r>
      <w:r w:rsidRPr="002F49CA">
        <w:rPr>
          <w:rFonts w:ascii="Times New Roman" w:hAnsi="Times New Roman" w:cs="Times New Roman"/>
          <w:sz w:val="20"/>
          <w:szCs w:val="20"/>
          <w:lang w:val="en-US"/>
        </w:rPr>
        <w:t xml:space="preserve"> proliferation. Plants, 11(7):844. </w:t>
      </w:r>
      <w:hyperlink r:id="rId27" w:history="1">
        <w:r w:rsidRPr="002F49CA">
          <w:rPr>
            <w:rStyle w:val="Hyperlink"/>
            <w:rFonts w:ascii="Times New Roman" w:eastAsiaTheme="majorEastAsia" w:hAnsi="Times New Roman" w:cs="Times New Roman"/>
            <w:sz w:val="20"/>
            <w:szCs w:val="20"/>
            <w:lang w:val="en-US"/>
          </w:rPr>
          <w:t>https://doi.org/10.3390/plants11070844</w:t>
        </w:r>
      </w:hyperlink>
      <w:r w:rsidRPr="002F49CA">
        <w:rPr>
          <w:rFonts w:ascii="Times New Roman" w:hAnsi="Times New Roman" w:cs="Times New Roman"/>
          <w:sz w:val="20"/>
          <w:szCs w:val="20"/>
          <w:lang w:val="en-US"/>
        </w:rPr>
        <w:t xml:space="preserve"> </w:t>
      </w:r>
    </w:p>
    <w:p w14:paraId="2909AEB7"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Chen CC, Lee MR, Wu CR, Ke HJ, Xie HM, Tsay HS et al (2020) LED lights affecting morphogenesis and </w:t>
      </w:r>
      <w:proofErr w:type="spellStart"/>
      <w:r w:rsidRPr="002F49CA">
        <w:rPr>
          <w:rFonts w:ascii="Times New Roman" w:hAnsi="Times New Roman" w:cs="Times New Roman"/>
          <w:sz w:val="20"/>
          <w:szCs w:val="20"/>
          <w:lang w:val="en-US"/>
        </w:rPr>
        <w:t>isosteroidal</w:t>
      </w:r>
      <w:proofErr w:type="spellEnd"/>
      <w:r w:rsidRPr="002F49CA">
        <w:rPr>
          <w:rFonts w:ascii="Times New Roman" w:hAnsi="Times New Roman" w:cs="Times New Roman"/>
          <w:sz w:val="20"/>
          <w:szCs w:val="20"/>
          <w:lang w:val="en-US"/>
        </w:rPr>
        <w:t xml:space="preserve"> alkaloid contents in </w:t>
      </w:r>
      <w:r w:rsidRPr="002F49CA">
        <w:rPr>
          <w:rFonts w:ascii="Times New Roman" w:hAnsi="Times New Roman" w:cs="Times New Roman"/>
          <w:i/>
          <w:iCs/>
          <w:sz w:val="20"/>
          <w:szCs w:val="20"/>
          <w:lang w:val="en-US"/>
        </w:rPr>
        <w:t xml:space="preserve">Fritillaria </w:t>
      </w:r>
      <w:proofErr w:type="spellStart"/>
      <w:r w:rsidRPr="002F49CA">
        <w:rPr>
          <w:rFonts w:ascii="Times New Roman" w:hAnsi="Times New Roman" w:cs="Times New Roman"/>
          <w:i/>
          <w:iCs/>
          <w:sz w:val="20"/>
          <w:szCs w:val="20"/>
          <w:lang w:val="en-US"/>
        </w:rPr>
        <w:t>cirrhosa</w:t>
      </w:r>
      <w:proofErr w:type="spellEnd"/>
      <w:r w:rsidRPr="002F49CA">
        <w:rPr>
          <w:rFonts w:ascii="Times New Roman" w:hAnsi="Times New Roman" w:cs="Times New Roman"/>
          <w:sz w:val="20"/>
          <w:szCs w:val="20"/>
          <w:lang w:val="en-US"/>
        </w:rPr>
        <w:t xml:space="preserve"> D. Don—an important Chinese medicinal herb. Plants 9:1351. </w:t>
      </w:r>
      <w:hyperlink r:id="rId28" w:history="1">
        <w:r w:rsidRPr="002F49CA">
          <w:rPr>
            <w:rStyle w:val="Hyperlink"/>
            <w:rFonts w:ascii="Times New Roman" w:eastAsiaTheme="majorEastAsia" w:hAnsi="Times New Roman" w:cs="Times New Roman"/>
            <w:sz w:val="20"/>
            <w:szCs w:val="20"/>
            <w:lang w:val="en-US"/>
          </w:rPr>
          <w:t>https://doi.org/10.3390/plants9101351</w:t>
        </w:r>
      </w:hyperlink>
      <w:r w:rsidRPr="002F49CA">
        <w:rPr>
          <w:rFonts w:ascii="Times New Roman" w:hAnsi="Times New Roman" w:cs="Times New Roman"/>
          <w:sz w:val="20"/>
          <w:szCs w:val="20"/>
          <w:lang w:val="en-US"/>
        </w:rPr>
        <w:t xml:space="preserve"> </w:t>
      </w:r>
    </w:p>
    <w:p w14:paraId="1E2C2125"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Chen R, Ding Y, Liu W, Zhan X, Lin K, Lian K et al (2025) Physiological effects and technical strategies of LED supplemental lighting for pitaya cultivation: a review. </w:t>
      </w:r>
      <w:proofErr w:type="spellStart"/>
      <w:r w:rsidRPr="002F49CA">
        <w:rPr>
          <w:rFonts w:ascii="Times New Roman" w:hAnsi="Times New Roman" w:cs="Times New Roman"/>
          <w:sz w:val="20"/>
          <w:szCs w:val="20"/>
          <w:lang w:val="en-US"/>
        </w:rPr>
        <w:t>PeerJ</w:t>
      </w:r>
      <w:proofErr w:type="spellEnd"/>
      <w:r w:rsidRPr="002F49CA">
        <w:rPr>
          <w:rFonts w:ascii="Times New Roman" w:hAnsi="Times New Roman" w:cs="Times New Roman"/>
          <w:sz w:val="20"/>
          <w:szCs w:val="20"/>
          <w:lang w:val="en-US"/>
        </w:rPr>
        <w:t xml:space="preserve">, 13, e19720. </w:t>
      </w:r>
      <w:hyperlink r:id="rId29" w:history="1">
        <w:r w:rsidRPr="002F49CA">
          <w:rPr>
            <w:rStyle w:val="Hyperlink"/>
            <w:rFonts w:ascii="Times New Roman" w:eastAsiaTheme="majorEastAsia" w:hAnsi="Times New Roman" w:cs="Times New Roman"/>
            <w:sz w:val="20"/>
            <w:szCs w:val="20"/>
            <w:lang w:val="en-US"/>
          </w:rPr>
          <w:t>https://doi.org/10.7717/peerj.19720</w:t>
        </w:r>
      </w:hyperlink>
      <w:r w:rsidRPr="002F49CA">
        <w:rPr>
          <w:rFonts w:ascii="Times New Roman" w:hAnsi="Times New Roman" w:cs="Times New Roman"/>
          <w:sz w:val="20"/>
          <w:szCs w:val="20"/>
          <w:lang w:val="en-US"/>
        </w:rPr>
        <w:t xml:space="preserve"> </w:t>
      </w:r>
    </w:p>
    <w:p w14:paraId="0971FEC6"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Chen SY, Xu CY, Mazhar MS, </w:t>
      </w:r>
      <w:proofErr w:type="spellStart"/>
      <w:r w:rsidRPr="002F49CA">
        <w:rPr>
          <w:rFonts w:ascii="Times New Roman" w:hAnsi="Times New Roman" w:cs="Times New Roman"/>
          <w:sz w:val="20"/>
          <w:szCs w:val="20"/>
          <w:lang w:val="en-US"/>
        </w:rPr>
        <w:t>Naiker</w:t>
      </w:r>
      <w:proofErr w:type="spellEnd"/>
      <w:r w:rsidRPr="002F49CA">
        <w:rPr>
          <w:rFonts w:ascii="Times New Roman" w:hAnsi="Times New Roman" w:cs="Times New Roman"/>
          <w:sz w:val="20"/>
          <w:szCs w:val="20"/>
          <w:lang w:val="en-US"/>
        </w:rPr>
        <w:t xml:space="preserve"> M (2024) Nutritional value and therapeutic benefits of Dragon fruit: A comprehensive review with implications for Establishing Australian industry standards. Molecules, 29(23):5676. </w:t>
      </w:r>
      <w:hyperlink r:id="rId30" w:history="1">
        <w:r w:rsidRPr="002F49CA">
          <w:rPr>
            <w:rStyle w:val="Hyperlink"/>
            <w:rFonts w:ascii="Times New Roman" w:eastAsiaTheme="majorEastAsia" w:hAnsi="Times New Roman" w:cs="Times New Roman"/>
            <w:sz w:val="20"/>
            <w:szCs w:val="20"/>
            <w:lang w:val="en-US"/>
          </w:rPr>
          <w:t>https://doi.org/10.3390/molecules29235676</w:t>
        </w:r>
      </w:hyperlink>
      <w:r w:rsidRPr="002F49CA">
        <w:rPr>
          <w:rFonts w:ascii="Times New Roman" w:hAnsi="Times New Roman" w:cs="Times New Roman"/>
          <w:sz w:val="20"/>
          <w:szCs w:val="20"/>
          <w:lang w:val="en-US"/>
        </w:rPr>
        <w:t xml:space="preserve"> </w:t>
      </w:r>
    </w:p>
    <w:p w14:paraId="562EB4A5"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Chen Z, Zhong B, Barrow CJ, </w:t>
      </w:r>
      <w:proofErr w:type="spellStart"/>
      <w:r w:rsidRPr="002F49CA">
        <w:rPr>
          <w:rFonts w:ascii="Times New Roman" w:hAnsi="Times New Roman" w:cs="Times New Roman"/>
          <w:sz w:val="20"/>
          <w:szCs w:val="20"/>
          <w:lang w:val="en-US"/>
        </w:rPr>
        <w:t>Dunshea</w:t>
      </w:r>
      <w:proofErr w:type="spellEnd"/>
      <w:r w:rsidRPr="002F49CA">
        <w:rPr>
          <w:rFonts w:ascii="Times New Roman" w:hAnsi="Times New Roman" w:cs="Times New Roman"/>
          <w:sz w:val="20"/>
          <w:szCs w:val="20"/>
          <w:lang w:val="en-US"/>
        </w:rPr>
        <w:t xml:space="preserve"> FR, </w:t>
      </w:r>
      <w:proofErr w:type="spellStart"/>
      <w:r w:rsidRPr="002F49CA">
        <w:rPr>
          <w:rFonts w:ascii="Times New Roman" w:hAnsi="Times New Roman" w:cs="Times New Roman"/>
          <w:sz w:val="20"/>
          <w:szCs w:val="20"/>
          <w:lang w:val="en-US"/>
        </w:rPr>
        <w:t>Suleria</w:t>
      </w:r>
      <w:proofErr w:type="spellEnd"/>
      <w:r w:rsidRPr="002F49CA">
        <w:rPr>
          <w:rFonts w:ascii="Times New Roman" w:hAnsi="Times New Roman" w:cs="Times New Roman"/>
          <w:sz w:val="20"/>
          <w:szCs w:val="20"/>
          <w:lang w:val="en-US"/>
        </w:rPr>
        <w:t xml:space="preserve"> HA (2021) Identification of phenolic compounds in Australian grown dragon fruits by LC-ESI-QTOF-MS/MS and determination of their antioxidant potential. Arabian Journal of Chemistry, 14(6):103151. </w:t>
      </w:r>
      <w:hyperlink r:id="rId31" w:history="1">
        <w:r w:rsidRPr="002F49CA">
          <w:rPr>
            <w:rStyle w:val="Hyperlink"/>
            <w:rFonts w:ascii="Times New Roman" w:eastAsiaTheme="majorEastAsia" w:hAnsi="Times New Roman" w:cs="Times New Roman"/>
            <w:sz w:val="20"/>
            <w:szCs w:val="20"/>
            <w:lang w:val="en-US"/>
          </w:rPr>
          <w:t>https://doi.org/10.1016/j.arabjc.2021.103151</w:t>
        </w:r>
      </w:hyperlink>
      <w:r w:rsidRPr="002F49CA">
        <w:rPr>
          <w:rFonts w:ascii="Times New Roman" w:hAnsi="Times New Roman" w:cs="Times New Roman"/>
          <w:sz w:val="20"/>
          <w:szCs w:val="20"/>
          <w:lang w:val="en-US"/>
        </w:rPr>
        <w:t xml:space="preserve">  </w:t>
      </w:r>
    </w:p>
    <w:p w14:paraId="7F886A6D"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Choo KY, Ong YY, Lim RLH, Tan CP, Ho CW (2019) Study on </w:t>
      </w:r>
      <w:proofErr w:type="spellStart"/>
      <w:r w:rsidRPr="002F49CA">
        <w:rPr>
          <w:rFonts w:ascii="Times New Roman" w:hAnsi="Times New Roman" w:cs="Times New Roman"/>
          <w:sz w:val="20"/>
          <w:szCs w:val="20"/>
          <w:lang w:val="en-US"/>
        </w:rPr>
        <w:t>bioaccessibility</w:t>
      </w:r>
      <w:proofErr w:type="spellEnd"/>
      <w:r w:rsidRPr="002F49CA">
        <w:rPr>
          <w:rFonts w:ascii="Times New Roman" w:hAnsi="Times New Roman" w:cs="Times New Roman"/>
          <w:sz w:val="20"/>
          <w:szCs w:val="20"/>
          <w:lang w:val="en-US"/>
        </w:rPr>
        <w:t xml:space="preserve"> of </w:t>
      </w:r>
      <w:proofErr w:type="spellStart"/>
      <w:r w:rsidRPr="002F49CA">
        <w:rPr>
          <w:rFonts w:ascii="Times New Roman" w:hAnsi="Times New Roman" w:cs="Times New Roman"/>
          <w:sz w:val="20"/>
          <w:szCs w:val="20"/>
          <w:lang w:val="en-US"/>
        </w:rPr>
        <w:t>betacyanins</w:t>
      </w:r>
      <w:proofErr w:type="spellEnd"/>
      <w:r w:rsidRPr="002F49CA">
        <w:rPr>
          <w:rFonts w:ascii="Times New Roman" w:hAnsi="Times New Roman" w:cs="Times New Roman"/>
          <w:sz w:val="20"/>
          <w:szCs w:val="20"/>
          <w:lang w:val="en-US"/>
        </w:rPr>
        <w:t xml:space="preserve"> from red dragon fruit (</w:t>
      </w:r>
      <w:r w:rsidRPr="002F49CA">
        <w:rPr>
          <w:rFonts w:ascii="Times New Roman" w:hAnsi="Times New Roman" w:cs="Times New Roman"/>
          <w:i/>
          <w:iCs/>
          <w:sz w:val="20"/>
          <w:szCs w:val="20"/>
          <w:lang w:val="en-US"/>
        </w:rPr>
        <w:t xml:space="preserve">Hylocereus </w:t>
      </w:r>
      <w:proofErr w:type="spellStart"/>
      <w:r w:rsidRPr="002F49CA">
        <w:rPr>
          <w:rFonts w:ascii="Times New Roman" w:hAnsi="Times New Roman" w:cs="Times New Roman"/>
          <w:i/>
          <w:iCs/>
          <w:sz w:val="20"/>
          <w:szCs w:val="20"/>
          <w:lang w:val="en-US"/>
        </w:rPr>
        <w:t>polyrhizus</w:t>
      </w:r>
      <w:proofErr w:type="spellEnd"/>
      <w:r w:rsidRPr="002F49CA">
        <w:rPr>
          <w:rFonts w:ascii="Times New Roman" w:hAnsi="Times New Roman" w:cs="Times New Roman"/>
          <w:sz w:val="20"/>
          <w:szCs w:val="20"/>
          <w:lang w:val="en-US"/>
        </w:rPr>
        <w:t xml:space="preserve">). Food Science and Biotechnology, 28(4):1163-1169. </w:t>
      </w:r>
      <w:hyperlink r:id="rId32" w:history="1">
        <w:r w:rsidRPr="002F49CA">
          <w:rPr>
            <w:rStyle w:val="Hyperlink"/>
            <w:rFonts w:ascii="Times New Roman" w:eastAsiaTheme="majorEastAsia" w:hAnsi="Times New Roman" w:cs="Times New Roman"/>
            <w:sz w:val="20"/>
            <w:szCs w:val="20"/>
            <w:lang w:val="en-US"/>
          </w:rPr>
          <w:t>https://doi.org/10.1007/s10068-018-00550-z</w:t>
        </w:r>
      </w:hyperlink>
      <w:r w:rsidRPr="002F49CA">
        <w:rPr>
          <w:rFonts w:ascii="Times New Roman" w:hAnsi="Times New Roman" w:cs="Times New Roman"/>
          <w:sz w:val="20"/>
          <w:szCs w:val="20"/>
          <w:lang w:val="en-US"/>
        </w:rPr>
        <w:t xml:space="preserve">  </w:t>
      </w:r>
    </w:p>
    <w:p w14:paraId="3BC37CC2" w14:textId="77777777" w:rsidR="00142BBE" w:rsidRPr="002F49CA" w:rsidRDefault="00142BBE" w:rsidP="00142BBE">
      <w:pPr>
        <w:jc w:val="both"/>
        <w:rPr>
          <w:rFonts w:ascii="Times New Roman" w:hAnsi="Times New Roman" w:cs="Times New Roman"/>
          <w:sz w:val="20"/>
          <w:szCs w:val="20"/>
        </w:rPr>
      </w:pPr>
      <w:r w:rsidRPr="00A511DB">
        <w:rPr>
          <w:rFonts w:ascii="Times New Roman" w:hAnsi="Times New Roman" w:cs="Times New Roman"/>
          <w:sz w:val="20"/>
          <w:szCs w:val="20"/>
        </w:rPr>
        <w:t xml:space="preserve">Clairvil E, Feitosa BH, Guimarães MDA, Rodrigues FA, Dória J, Dias GDMG et al (2025). </w:t>
      </w:r>
      <w:r w:rsidRPr="002F49CA">
        <w:rPr>
          <w:rFonts w:ascii="Times New Roman" w:hAnsi="Times New Roman" w:cs="Times New Roman"/>
          <w:sz w:val="20"/>
          <w:szCs w:val="20"/>
          <w:lang w:val="en-US"/>
        </w:rPr>
        <w:t xml:space="preserve">Agar concentration interferes with the biometry, photosynthetic pigment content, and anatomy of Selenicereus undatus </w:t>
      </w:r>
      <w:r w:rsidRPr="002F49CA">
        <w:rPr>
          <w:rFonts w:ascii="Times New Roman" w:hAnsi="Times New Roman" w:cs="Times New Roman"/>
          <w:i/>
          <w:iCs/>
          <w:sz w:val="20"/>
          <w:szCs w:val="20"/>
          <w:lang w:val="en-US"/>
        </w:rPr>
        <w:t>in vitro</w:t>
      </w:r>
      <w:r w:rsidRPr="002F49CA">
        <w:rPr>
          <w:rFonts w:ascii="Times New Roman" w:hAnsi="Times New Roman" w:cs="Times New Roman"/>
          <w:sz w:val="20"/>
          <w:szCs w:val="20"/>
          <w:lang w:val="en-US"/>
        </w:rPr>
        <w:t>. </w:t>
      </w:r>
      <w:r w:rsidRPr="002F49CA">
        <w:rPr>
          <w:rFonts w:ascii="Times New Roman" w:hAnsi="Times New Roman" w:cs="Times New Roman"/>
          <w:sz w:val="20"/>
          <w:szCs w:val="20"/>
        </w:rPr>
        <w:t xml:space="preserve">Ciência e Agrotecnologia, 49:e021624. </w:t>
      </w:r>
      <w:r w:rsidRPr="002F49CA">
        <w:rPr>
          <w:rFonts w:ascii="Times New Roman" w:hAnsi="Times New Roman" w:cs="Times New Roman"/>
          <w:sz w:val="20"/>
          <w:szCs w:val="20"/>
        </w:rPr>
        <w:fldChar w:fldCharType="begin"/>
      </w:r>
      <w:r w:rsidRPr="002F49CA">
        <w:rPr>
          <w:rFonts w:ascii="Times New Roman" w:hAnsi="Times New Roman" w:cs="Times New Roman"/>
          <w:sz w:val="20"/>
          <w:szCs w:val="20"/>
        </w:rPr>
        <w:instrText>HYPERLINK "https://doi.org/10.1590/1413-7054202549021624"</w:instrText>
      </w:r>
      <w:r w:rsidRPr="002F49CA">
        <w:rPr>
          <w:rFonts w:ascii="Times New Roman" w:hAnsi="Times New Roman" w:cs="Times New Roman"/>
          <w:sz w:val="20"/>
          <w:szCs w:val="20"/>
        </w:rPr>
      </w:r>
      <w:r w:rsidRPr="002F49CA">
        <w:rPr>
          <w:rFonts w:ascii="Times New Roman" w:hAnsi="Times New Roman" w:cs="Times New Roman"/>
          <w:sz w:val="20"/>
          <w:szCs w:val="20"/>
        </w:rPr>
        <w:fldChar w:fldCharType="separate"/>
      </w:r>
      <w:r w:rsidRPr="002F49CA">
        <w:rPr>
          <w:rStyle w:val="Hyperlink"/>
          <w:rFonts w:ascii="Times New Roman" w:eastAsiaTheme="majorEastAsia" w:hAnsi="Times New Roman" w:cs="Times New Roman"/>
          <w:sz w:val="20"/>
          <w:szCs w:val="20"/>
        </w:rPr>
        <w:t>https://doi.org/10.1590/1413-7054202549021624</w:t>
      </w:r>
      <w:r w:rsidRPr="002F49CA">
        <w:rPr>
          <w:rFonts w:ascii="Times New Roman" w:hAnsi="Times New Roman" w:cs="Times New Roman"/>
          <w:sz w:val="20"/>
          <w:szCs w:val="20"/>
        </w:rPr>
        <w:fldChar w:fldCharType="end"/>
      </w:r>
      <w:r w:rsidRPr="002F49CA">
        <w:rPr>
          <w:rFonts w:ascii="Times New Roman" w:hAnsi="Times New Roman" w:cs="Times New Roman"/>
          <w:sz w:val="20"/>
          <w:szCs w:val="20"/>
        </w:rPr>
        <w:t xml:space="preserve"> </w:t>
      </w:r>
    </w:p>
    <w:p w14:paraId="73C8FF97"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rPr>
        <w:t xml:space="preserve">Clairvil E, Guimarães MA, Rodrigues FA, Dória J, Dias GMG et al (2026). </w:t>
      </w:r>
      <w:r w:rsidRPr="002F49CA">
        <w:rPr>
          <w:rFonts w:ascii="Times New Roman" w:hAnsi="Times New Roman" w:cs="Times New Roman"/>
          <w:sz w:val="20"/>
          <w:szCs w:val="20"/>
          <w:lang w:val="en-US"/>
        </w:rPr>
        <w:t xml:space="preserve">Light quality and zinc concentrations interfere with the in-vitro cultivation of Selenicereus undatus. </w:t>
      </w:r>
      <w:proofErr w:type="spellStart"/>
      <w:r w:rsidRPr="002F49CA">
        <w:rPr>
          <w:rFonts w:ascii="Times New Roman" w:hAnsi="Times New Roman" w:cs="Times New Roman"/>
          <w:sz w:val="20"/>
          <w:szCs w:val="20"/>
          <w:lang w:val="en-US"/>
        </w:rPr>
        <w:t>Bragantia</w:t>
      </w:r>
      <w:proofErr w:type="spellEnd"/>
      <w:r w:rsidRPr="002F49CA">
        <w:rPr>
          <w:rFonts w:ascii="Times New Roman" w:hAnsi="Times New Roman" w:cs="Times New Roman"/>
          <w:sz w:val="20"/>
          <w:szCs w:val="20"/>
          <w:lang w:val="en-US"/>
        </w:rPr>
        <w:t xml:space="preserve">, 85, e20250133. </w:t>
      </w:r>
      <w:hyperlink r:id="rId33" w:history="1">
        <w:r w:rsidRPr="002F49CA">
          <w:rPr>
            <w:rStyle w:val="Hyperlink"/>
            <w:rFonts w:ascii="Times New Roman" w:hAnsi="Times New Roman" w:cs="Times New Roman"/>
            <w:sz w:val="20"/>
            <w:szCs w:val="20"/>
            <w:lang w:val="en-US"/>
          </w:rPr>
          <w:t>https://doi.org/10.1590/1678-4499.20250133</w:t>
        </w:r>
      </w:hyperlink>
      <w:r w:rsidRPr="002F49CA">
        <w:rPr>
          <w:rFonts w:ascii="Times New Roman" w:hAnsi="Times New Roman" w:cs="Times New Roman"/>
          <w:sz w:val="20"/>
          <w:szCs w:val="20"/>
          <w:lang w:val="en-US"/>
        </w:rPr>
        <w:t xml:space="preserve">    </w:t>
      </w:r>
    </w:p>
    <w:p w14:paraId="4B3C9056"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Cossa MCV, Rocha JPM, De Assis RMA, Leite JJF, Texeira LF, Bertolucci SKV, Pinto JEBP (2024) Impact of photon flux density and light spectral quality on biomass production and arbutin compound accumulation in </w:t>
      </w:r>
      <w:r w:rsidRPr="002F49CA">
        <w:rPr>
          <w:rFonts w:ascii="Times New Roman" w:hAnsi="Times New Roman" w:cs="Times New Roman"/>
          <w:i/>
          <w:iCs/>
          <w:sz w:val="20"/>
          <w:szCs w:val="20"/>
          <w:lang w:val="en-US"/>
        </w:rPr>
        <w:t xml:space="preserve">Origanum </w:t>
      </w:r>
      <w:proofErr w:type="spellStart"/>
      <w:r w:rsidRPr="002F49CA">
        <w:rPr>
          <w:rFonts w:ascii="Times New Roman" w:hAnsi="Times New Roman" w:cs="Times New Roman"/>
          <w:i/>
          <w:iCs/>
          <w:sz w:val="20"/>
          <w:szCs w:val="20"/>
          <w:lang w:val="en-US"/>
        </w:rPr>
        <w:t>majorana</w:t>
      </w:r>
      <w:proofErr w:type="spellEnd"/>
      <w:r w:rsidRPr="002F49CA">
        <w:rPr>
          <w:rFonts w:ascii="Times New Roman" w:hAnsi="Times New Roman" w:cs="Times New Roman"/>
          <w:sz w:val="20"/>
          <w:szCs w:val="20"/>
          <w:lang w:val="en-US"/>
        </w:rPr>
        <w:t xml:space="preserve"> L. plantlets. Plant Cell, Tissue and Organ Culture (PCTOC), 156(1):12. </w:t>
      </w:r>
      <w:hyperlink r:id="rId34" w:history="1">
        <w:r w:rsidRPr="002F49CA">
          <w:rPr>
            <w:rStyle w:val="Hyperlink"/>
            <w:rFonts w:ascii="Times New Roman" w:eastAsiaTheme="majorEastAsia" w:hAnsi="Times New Roman" w:cs="Times New Roman"/>
            <w:sz w:val="20"/>
            <w:szCs w:val="20"/>
            <w:lang w:val="en-US"/>
          </w:rPr>
          <w:t>https://doi.org/10.1007/s11240-023-02658-5</w:t>
        </w:r>
      </w:hyperlink>
      <w:r w:rsidRPr="002F49CA">
        <w:rPr>
          <w:rFonts w:ascii="Times New Roman" w:hAnsi="Times New Roman" w:cs="Times New Roman"/>
          <w:sz w:val="20"/>
          <w:szCs w:val="20"/>
          <w:lang w:val="en-US"/>
        </w:rPr>
        <w:t xml:space="preserve"> </w:t>
      </w:r>
    </w:p>
    <w:p w14:paraId="7F09D39D"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lastRenderedPageBreak/>
        <w:t xml:space="preserve">Cuong DM, Ha TW, Park CH, Kim NS, Yeo HJ, Chun SW et al (2019) Effects of LED lights on expression of genes involved in phenylpropanoid biosynthesis and accumulation of phenylpropanoids in wheat sprout. Agronomy, 9(6):307. </w:t>
      </w:r>
      <w:hyperlink r:id="rId35" w:history="1">
        <w:r w:rsidRPr="002F49CA">
          <w:rPr>
            <w:rStyle w:val="Hyperlink"/>
            <w:rFonts w:ascii="Times New Roman" w:eastAsiaTheme="majorEastAsia" w:hAnsi="Times New Roman" w:cs="Times New Roman"/>
            <w:sz w:val="20"/>
            <w:szCs w:val="20"/>
            <w:lang w:val="en-US"/>
          </w:rPr>
          <w:t>https://doi.org/10.3390/agronomy9060307</w:t>
        </w:r>
      </w:hyperlink>
      <w:r w:rsidRPr="002F49CA">
        <w:rPr>
          <w:rFonts w:ascii="Times New Roman" w:hAnsi="Times New Roman" w:cs="Times New Roman"/>
          <w:sz w:val="20"/>
          <w:szCs w:val="20"/>
          <w:lang w:val="en-US"/>
        </w:rPr>
        <w:t xml:space="preserve"> </w:t>
      </w:r>
    </w:p>
    <w:p w14:paraId="4FF9AADF"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Davis PA, Burns C (2016) Photobiology in protected horticulture. Food and Energy Security, 5(4):223-238. </w:t>
      </w:r>
      <w:hyperlink r:id="rId36" w:history="1">
        <w:r w:rsidRPr="002F49CA">
          <w:rPr>
            <w:rStyle w:val="Hyperlink"/>
            <w:rFonts w:ascii="Times New Roman" w:eastAsiaTheme="majorEastAsia" w:hAnsi="Times New Roman" w:cs="Times New Roman"/>
            <w:sz w:val="20"/>
            <w:szCs w:val="20"/>
            <w:lang w:val="en-US"/>
          </w:rPr>
          <w:t>https://doi.org/10.1002/fes3.97</w:t>
        </w:r>
      </w:hyperlink>
      <w:r w:rsidRPr="002F49CA">
        <w:rPr>
          <w:rFonts w:ascii="Times New Roman" w:hAnsi="Times New Roman" w:cs="Times New Roman"/>
          <w:sz w:val="20"/>
          <w:szCs w:val="20"/>
          <w:lang w:val="en-US"/>
        </w:rPr>
        <w:t xml:space="preserve"> </w:t>
      </w:r>
    </w:p>
    <w:p w14:paraId="5D8D4F27" w14:textId="77777777" w:rsidR="00A511DB" w:rsidRPr="00A511DB" w:rsidRDefault="00142BBE" w:rsidP="00142BBE">
      <w:pPr>
        <w:jc w:val="both"/>
        <w:rPr>
          <w:rFonts w:ascii="Times New Roman" w:hAnsi="Times New Roman" w:cs="Times New Roman"/>
          <w:b/>
          <w:bCs/>
          <w:sz w:val="20"/>
          <w:szCs w:val="20"/>
        </w:rPr>
      </w:pPr>
      <w:r w:rsidRPr="002F49CA">
        <w:rPr>
          <w:rFonts w:ascii="Times New Roman" w:hAnsi="Times New Roman" w:cs="Times New Roman"/>
          <w:sz w:val="20"/>
          <w:szCs w:val="20"/>
          <w:lang w:val="en-US"/>
        </w:rPr>
        <w:t xml:space="preserve">De Angelis M, Amicucci C, </w:t>
      </w:r>
      <w:proofErr w:type="spellStart"/>
      <w:r w:rsidRPr="002F49CA">
        <w:rPr>
          <w:rFonts w:ascii="Times New Roman" w:hAnsi="Times New Roman" w:cs="Times New Roman"/>
          <w:sz w:val="20"/>
          <w:szCs w:val="20"/>
          <w:lang w:val="en-US"/>
        </w:rPr>
        <w:t>Banchelli</w:t>
      </w:r>
      <w:proofErr w:type="spellEnd"/>
      <w:r w:rsidRPr="002F49CA">
        <w:rPr>
          <w:rFonts w:ascii="Times New Roman" w:hAnsi="Times New Roman" w:cs="Times New Roman"/>
          <w:sz w:val="20"/>
          <w:szCs w:val="20"/>
          <w:lang w:val="en-US"/>
        </w:rPr>
        <w:t xml:space="preserve"> M, D'Andrea C, Gori A, Agati G et al (2025) Rapid determination of phenolic composition in chamomile (</w:t>
      </w:r>
      <w:proofErr w:type="spellStart"/>
      <w:r w:rsidRPr="002F49CA">
        <w:rPr>
          <w:rFonts w:ascii="Times New Roman" w:hAnsi="Times New Roman" w:cs="Times New Roman"/>
          <w:i/>
          <w:iCs/>
          <w:sz w:val="20"/>
          <w:szCs w:val="20"/>
          <w:lang w:val="en-US"/>
        </w:rPr>
        <w:t>Matricaria</w:t>
      </w:r>
      <w:proofErr w:type="spellEnd"/>
      <w:r w:rsidRPr="002F49CA">
        <w:rPr>
          <w:rFonts w:ascii="Times New Roman" w:hAnsi="Times New Roman" w:cs="Times New Roman"/>
          <w:i/>
          <w:iCs/>
          <w:sz w:val="20"/>
          <w:szCs w:val="20"/>
          <w:lang w:val="en-US"/>
        </w:rPr>
        <w:t xml:space="preserve"> recutita</w:t>
      </w:r>
      <w:r w:rsidRPr="002F49CA">
        <w:rPr>
          <w:rFonts w:ascii="Times New Roman" w:hAnsi="Times New Roman" w:cs="Times New Roman"/>
          <w:sz w:val="20"/>
          <w:szCs w:val="20"/>
          <w:lang w:val="en-US"/>
        </w:rPr>
        <w:t xml:space="preserve"> L.) using surface-enhanced Raman spectroscopy. Food Chemistry, 463:141084. </w:t>
      </w:r>
      <w:hyperlink r:id="rId37" w:history="1">
        <w:r w:rsidRPr="00A511DB">
          <w:rPr>
            <w:rStyle w:val="Hyperlink"/>
            <w:rFonts w:ascii="Times New Roman" w:eastAsiaTheme="majorEastAsia" w:hAnsi="Times New Roman" w:cs="Times New Roman"/>
            <w:sz w:val="20"/>
            <w:szCs w:val="20"/>
          </w:rPr>
          <w:t>https://doi.org/10.1016/j.foodchem.2024.141084</w:t>
        </w:r>
      </w:hyperlink>
      <w:r w:rsidRPr="00A511DB">
        <w:rPr>
          <w:rFonts w:ascii="Times New Roman" w:hAnsi="Times New Roman" w:cs="Times New Roman"/>
          <w:sz w:val="20"/>
          <w:szCs w:val="20"/>
        </w:rPr>
        <w:t xml:space="preserve"> </w:t>
      </w:r>
    </w:p>
    <w:p w14:paraId="2F0FA4A8" w14:textId="41FE8DA8" w:rsidR="00142BBE" w:rsidRPr="003D62A8" w:rsidRDefault="00142BBE" w:rsidP="00142BBE">
      <w:pPr>
        <w:jc w:val="both"/>
        <w:rPr>
          <w:rFonts w:ascii="Times New Roman" w:hAnsi="Times New Roman" w:cs="Times New Roman"/>
          <w:b/>
          <w:bCs/>
          <w:sz w:val="20"/>
          <w:szCs w:val="20"/>
        </w:rPr>
      </w:pPr>
      <w:r w:rsidRPr="00A511DB">
        <w:rPr>
          <w:rFonts w:ascii="Times New Roman" w:hAnsi="Times New Roman" w:cs="Times New Roman"/>
          <w:sz w:val="20"/>
          <w:szCs w:val="20"/>
        </w:rPr>
        <w:t xml:space="preserve">De Araújo Silva MM, de Oliveira ALB, Oliveira-Filho RA, Camara T, Willadino L,  Gouveia-Neto A (2016) The effect of spectral light quality on </w:t>
      </w:r>
      <w:r w:rsidRPr="00A511DB">
        <w:rPr>
          <w:rFonts w:ascii="Times New Roman" w:hAnsi="Times New Roman" w:cs="Times New Roman"/>
          <w:i/>
          <w:iCs/>
          <w:sz w:val="20"/>
          <w:szCs w:val="20"/>
        </w:rPr>
        <w:t>in vitro</w:t>
      </w:r>
      <w:r w:rsidRPr="00A511DB">
        <w:rPr>
          <w:rFonts w:ascii="Times New Roman" w:hAnsi="Times New Roman" w:cs="Times New Roman"/>
          <w:sz w:val="20"/>
          <w:szCs w:val="20"/>
        </w:rPr>
        <w:t xml:space="preserve"> culture of sugarcane. </w:t>
      </w:r>
      <w:r w:rsidRPr="002F49CA">
        <w:rPr>
          <w:rFonts w:ascii="Times New Roman" w:hAnsi="Times New Roman" w:cs="Times New Roman"/>
          <w:sz w:val="20"/>
          <w:szCs w:val="20"/>
        </w:rPr>
        <w:t>Acta Scientiarum</w:t>
      </w:r>
      <w:r w:rsidRPr="002F49CA">
        <w:rPr>
          <w:rFonts w:ascii="Times New Roman" w:hAnsi="Times New Roman" w:cs="Times New Roman"/>
          <w:i/>
          <w:iCs/>
          <w:sz w:val="20"/>
          <w:szCs w:val="20"/>
        </w:rPr>
        <w:t xml:space="preserve">. </w:t>
      </w:r>
      <w:r w:rsidRPr="002F49CA">
        <w:rPr>
          <w:rFonts w:ascii="Times New Roman" w:hAnsi="Times New Roman" w:cs="Times New Roman"/>
          <w:sz w:val="20"/>
          <w:szCs w:val="20"/>
        </w:rPr>
        <w:t xml:space="preserve">Biological Sciences, 38(2):157-161. </w:t>
      </w:r>
      <w:r w:rsidRPr="002F49CA">
        <w:rPr>
          <w:rFonts w:ascii="Times New Roman" w:hAnsi="Times New Roman" w:cs="Times New Roman"/>
          <w:sz w:val="20"/>
          <w:szCs w:val="20"/>
        </w:rPr>
        <w:fldChar w:fldCharType="begin"/>
      </w:r>
      <w:r w:rsidRPr="002F49CA">
        <w:rPr>
          <w:rFonts w:ascii="Times New Roman" w:hAnsi="Times New Roman" w:cs="Times New Roman"/>
          <w:sz w:val="20"/>
          <w:szCs w:val="20"/>
        </w:rPr>
        <w:instrText>HYPERLINK "https://doi.org/10.4025/actascibiolsci.v38i2.31109"</w:instrText>
      </w:r>
      <w:r w:rsidRPr="002F49CA">
        <w:rPr>
          <w:rFonts w:ascii="Times New Roman" w:hAnsi="Times New Roman" w:cs="Times New Roman"/>
          <w:sz w:val="20"/>
          <w:szCs w:val="20"/>
        </w:rPr>
      </w:r>
      <w:r w:rsidRPr="002F49CA">
        <w:rPr>
          <w:rFonts w:ascii="Times New Roman" w:hAnsi="Times New Roman" w:cs="Times New Roman"/>
          <w:sz w:val="20"/>
          <w:szCs w:val="20"/>
        </w:rPr>
        <w:fldChar w:fldCharType="separate"/>
      </w:r>
      <w:r w:rsidRPr="002F49CA">
        <w:rPr>
          <w:rStyle w:val="Hyperlink"/>
          <w:rFonts w:ascii="Times New Roman" w:eastAsiaTheme="majorEastAsia" w:hAnsi="Times New Roman" w:cs="Times New Roman"/>
          <w:sz w:val="20"/>
          <w:szCs w:val="20"/>
        </w:rPr>
        <w:t>https://doi.org/10.4025/actascibiolsci.v38i2.31109</w:t>
      </w:r>
      <w:r w:rsidRPr="002F49CA">
        <w:rPr>
          <w:rFonts w:ascii="Times New Roman" w:hAnsi="Times New Roman" w:cs="Times New Roman"/>
          <w:sz w:val="20"/>
          <w:szCs w:val="20"/>
        </w:rPr>
        <w:fldChar w:fldCharType="end"/>
      </w:r>
      <w:r w:rsidRPr="002F49CA">
        <w:rPr>
          <w:rFonts w:ascii="Times New Roman" w:hAnsi="Times New Roman" w:cs="Times New Roman"/>
          <w:sz w:val="20"/>
          <w:szCs w:val="20"/>
        </w:rPr>
        <w:t xml:space="preserve"> </w:t>
      </w:r>
    </w:p>
    <w:p w14:paraId="73EE6058"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rPr>
        <w:t xml:space="preserve">De Vasconcelos Dias M, Rodrigues FA, de Souza Ribeiro M, Dambroz C, Dória J, Pasqual M (2025) Physiological and morphological responses of </w:t>
      </w:r>
      <w:r w:rsidRPr="002F49CA">
        <w:rPr>
          <w:rFonts w:ascii="Times New Roman" w:hAnsi="Times New Roman" w:cs="Times New Roman"/>
          <w:i/>
          <w:iCs/>
          <w:sz w:val="20"/>
          <w:szCs w:val="20"/>
        </w:rPr>
        <w:t>Selenicereus</w:t>
      </w:r>
      <w:r w:rsidRPr="002F49CA">
        <w:rPr>
          <w:rFonts w:ascii="Times New Roman" w:hAnsi="Times New Roman" w:cs="Times New Roman"/>
          <w:sz w:val="20"/>
          <w:szCs w:val="20"/>
        </w:rPr>
        <w:t xml:space="preserve"> species to salt stress </w:t>
      </w:r>
      <w:r w:rsidRPr="002F49CA">
        <w:rPr>
          <w:rFonts w:ascii="Times New Roman" w:hAnsi="Times New Roman" w:cs="Times New Roman"/>
          <w:i/>
          <w:iCs/>
          <w:sz w:val="20"/>
          <w:szCs w:val="20"/>
        </w:rPr>
        <w:t>in vitro</w:t>
      </w:r>
      <w:r w:rsidRPr="002F49CA">
        <w:rPr>
          <w:rFonts w:ascii="Times New Roman" w:hAnsi="Times New Roman" w:cs="Times New Roman"/>
          <w:sz w:val="20"/>
          <w:szCs w:val="20"/>
        </w:rPr>
        <w:t>. </w:t>
      </w:r>
      <w:r w:rsidRPr="002F49CA">
        <w:rPr>
          <w:rFonts w:ascii="Times New Roman" w:hAnsi="Times New Roman" w:cs="Times New Roman"/>
          <w:sz w:val="20"/>
          <w:szCs w:val="20"/>
          <w:lang w:val="en-US"/>
        </w:rPr>
        <w:t xml:space="preserve">Plant Cell, Tissue and Organ Culture (PCTOC), 162(2):26. </w:t>
      </w:r>
      <w:hyperlink r:id="rId38" w:history="1">
        <w:r w:rsidRPr="002F49CA">
          <w:rPr>
            <w:rStyle w:val="Hyperlink"/>
            <w:rFonts w:ascii="Times New Roman" w:eastAsiaTheme="majorEastAsia" w:hAnsi="Times New Roman" w:cs="Times New Roman"/>
            <w:sz w:val="20"/>
            <w:szCs w:val="20"/>
            <w:lang w:val="en-US"/>
          </w:rPr>
          <w:t>https://doi.org/10.1007/s11240-025-03082-7</w:t>
        </w:r>
      </w:hyperlink>
      <w:r w:rsidRPr="002F49CA">
        <w:rPr>
          <w:rFonts w:ascii="Times New Roman" w:hAnsi="Times New Roman" w:cs="Times New Roman"/>
          <w:sz w:val="20"/>
          <w:szCs w:val="20"/>
          <w:lang w:val="en-US"/>
        </w:rPr>
        <w:t xml:space="preserve"> </w:t>
      </w:r>
    </w:p>
    <w:p w14:paraId="755F2C2A"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De Wit M, Galvão VC, Fankhauser C (2016) Light-mediated hormonal regulation of plant growth and development. Annual review of plant biology, 67(1):513-537. </w:t>
      </w:r>
      <w:hyperlink r:id="rId39" w:history="1">
        <w:r w:rsidRPr="002F49CA">
          <w:rPr>
            <w:rStyle w:val="Hyperlink"/>
            <w:rFonts w:ascii="Times New Roman" w:eastAsiaTheme="majorEastAsia" w:hAnsi="Times New Roman" w:cs="Times New Roman"/>
            <w:sz w:val="20"/>
            <w:szCs w:val="20"/>
            <w:lang w:val="en-US"/>
          </w:rPr>
          <w:t>https://doi.org/10.1146/annurev-arplant-043015-112252</w:t>
        </w:r>
      </w:hyperlink>
      <w:r w:rsidRPr="002F49CA">
        <w:rPr>
          <w:rFonts w:ascii="Times New Roman" w:hAnsi="Times New Roman" w:cs="Times New Roman"/>
          <w:sz w:val="20"/>
          <w:szCs w:val="20"/>
          <w:lang w:val="en-US"/>
        </w:rPr>
        <w:t xml:space="preserve"> </w:t>
      </w:r>
    </w:p>
    <w:p w14:paraId="0DD72746"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Dou H, Niu G, Gu M (2019) Pre-harvest UV-B radiation and photosynthetic photon flux density interactively affect plant photosynthesis, growth, and secondary metabolites accumulation in basil (</w:t>
      </w:r>
      <w:r w:rsidRPr="002F49CA">
        <w:rPr>
          <w:rFonts w:ascii="Times New Roman" w:hAnsi="Times New Roman" w:cs="Times New Roman"/>
          <w:i/>
          <w:iCs/>
          <w:sz w:val="20"/>
          <w:szCs w:val="20"/>
          <w:lang w:val="en-US"/>
        </w:rPr>
        <w:t xml:space="preserve">Ocimum </w:t>
      </w:r>
      <w:proofErr w:type="spellStart"/>
      <w:r w:rsidRPr="002F49CA">
        <w:rPr>
          <w:rFonts w:ascii="Times New Roman" w:hAnsi="Times New Roman" w:cs="Times New Roman"/>
          <w:i/>
          <w:iCs/>
          <w:sz w:val="20"/>
          <w:szCs w:val="20"/>
          <w:lang w:val="en-US"/>
        </w:rPr>
        <w:t>basilicum</w:t>
      </w:r>
      <w:proofErr w:type="spellEnd"/>
      <w:r w:rsidRPr="002F49CA">
        <w:rPr>
          <w:rFonts w:ascii="Times New Roman" w:hAnsi="Times New Roman" w:cs="Times New Roman"/>
          <w:sz w:val="20"/>
          <w:szCs w:val="20"/>
          <w:lang w:val="en-US"/>
        </w:rPr>
        <w:t xml:space="preserve">) plants. Agronomy, 9(8):434. </w:t>
      </w:r>
      <w:hyperlink r:id="rId40" w:history="1">
        <w:r w:rsidRPr="002F49CA">
          <w:rPr>
            <w:rStyle w:val="Hyperlink"/>
            <w:rFonts w:ascii="Times New Roman" w:eastAsiaTheme="majorEastAsia" w:hAnsi="Times New Roman" w:cs="Times New Roman"/>
            <w:sz w:val="20"/>
            <w:szCs w:val="20"/>
            <w:lang w:val="en-US"/>
          </w:rPr>
          <w:t>https://doi.org/10.3390/agronomy9080434</w:t>
        </w:r>
      </w:hyperlink>
      <w:r w:rsidRPr="002F49CA">
        <w:rPr>
          <w:rFonts w:ascii="Times New Roman" w:hAnsi="Times New Roman" w:cs="Times New Roman"/>
          <w:sz w:val="20"/>
          <w:szCs w:val="20"/>
          <w:lang w:val="en-US"/>
        </w:rPr>
        <w:t xml:space="preserve"> </w:t>
      </w:r>
    </w:p>
    <w:p w14:paraId="35012799" w14:textId="77777777" w:rsidR="00142BBE" w:rsidRPr="002F49CA" w:rsidRDefault="00142BBE" w:rsidP="00142BBE">
      <w:pPr>
        <w:jc w:val="both"/>
        <w:rPr>
          <w:rFonts w:ascii="Times New Roman" w:hAnsi="Times New Roman" w:cs="Times New Roman"/>
          <w:sz w:val="20"/>
          <w:szCs w:val="20"/>
        </w:rPr>
      </w:pPr>
      <w:r w:rsidRPr="002F49CA">
        <w:rPr>
          <w:rFonts w:ascii="Times New Roman" w:hAnsi="Times New Roman" w:cs="Times New Roman"/>
          <w:sz w:val="20"/>
          <w:szCs w:val="20"/>
          <w:lang w:val="en-US"/>
        </w:rPr>
        <w:t>Fan C, Manivannan A, Wei H (2022) Light Quality‐Mediated Influence of Morphogenesis in Micropropagated Horticultural Crops: A Comprehensive Overview. </w:t>
      </w:r>
      <w:r w:rsidRPr="002F49CA">
        <w:rPr>
          <w:rFonts w:ascii="Times New Roman" w:hAnsi="Times New Roman" w:cs="Times New Roman"/>
          <w:sz w:val="20"/>
          <w:szCs w:val="20"/>
        </w:rPr>
        <w:t xml:space="preserve">BioMed Research International, 2022(1):4615079. </w:t>
      </w:r>
      <w:r w:rsidRPr="002F49CA">
        <w:rPr>
          <w:rFonts w:ascii="Times New Roman" w:hAnsi="Times New Roman" w:cs="Times New Roman"/>
          <w:sz w:val="20"/>
          <w:szCs w:val="20"/>
        </w:rPr>
        <w:fldChar w:fldCharType="begin"/>
      </w:r>
      <w:r w:rsidRPr="002F49CA">
        <w:rPr>
          <w:rFonts w:ascii="Times New Roman" w:hAnsi="Times New Roman" w:cs="Times New Roman"/>
          <w:sz w:val="20"/>
          <w:szCs w:val="20"/>
        </w:rPr>
        <w:instrText>HYPERLINK "https://doi.org/10.1155/2022/4615079"</w:instrText>
      </w:r>
      <w:r w:rsidRPr="002F49CA">
        <w:rPr>
          <w:rFonts w:ascii="Times New Roman" w:hAnsi="Times New Roman" w:cs="Times New Roman"/>
          <w:sz w:val="20"/>
          <w:szCs w:val="20"/>
        </w:rPr>
      </w:r>
      <w:r w:rsidRPr="002F49CA">
        <w:rPr>
          <w:rFonts w:ascii="Times New Roman" w:hAnsi="Times New Roman" w:cs="Times New Roman"/>
          <w:sz w:val="20"/>
          <w:szCs w:val="20"/>
        </w:rPr>
        <w:fldChar w:fldCharType="separate"/>
      </w:r>
      <w:r w:rsidRPr="002F49CA">
        <w:rPr>
          <w:rStyle w:val="Hyperlink"/>
          <w:rFonts w:ascii="Times New Roman" w:eastAsiaTheme="majorEastAsia" w:hAnsi="Times New Roman" w:cs="Times New Roman"/>
          <w:sz w:val="20"/>
          <w:szCs w:val="20"/>
        </w:rPr>
        <w:t>https://doi.org/10.1155/2022/4615079</w:t>
      </w:r>
      <w:r w:rsidRPr="002F49CA">
        <w:rPr>
          <w:rFonts w:ascii="Times New Roman" w:hAnsi="Times New Roman" w:cs="Times New Roman"/>
          <w:sz w:val="20"/>
          <w:szCs w:val="20"/>
        </w:rPr>
        <w:fldChar w:fldCharType="end"/>
      </w:r>
      <w:r w:rsidRPr="002F49CA">
        <w:rPr>
          <w:rFonts w:ascii="Times New Roman" w:hAnsi="Times New Roman" w:cs="Times New Roman"/>
          <w:sz w:val="20"/>
          <w:szCs w:val="20"/>
        </w:rPr>
        <w:t xml:space="preserve"> </w:t>
      </w:r>
    </w:p>
    <w:p w14:paraId="55116529"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rPr>
        <w:t xml:space="preserve">Garcia-Oliveira P, Otero P, Pereira AG, Chamorro F, Carpena M, Echave J et al (2021). </w:t>
      </w:r>
      <w:r w:rsidRPr="002F49CA">
        <w:rPr>
          <w:rFonts w:ascii="Times New Roman" w:hAnsi="Times New Roman" w:cs="Times New Roman"/>
          <w:sz w:val="20"/>
          <w:szCs w:val="20"/>
          <w:lang w:val="en-US"/>
        </w:rPr>
        <w:t xml:space="preserve">Status and challenges of plant-anticancer compounds in cancer treatment. Pharmaceuticals, 14(2):157. </w:t>
      </w:r>
      <w:hyperlink r:id="rId41" w:history="1">
        <w:r w:rsidRPr="002F49CA">
          <w:rPr>
            <w:rStyle w:val="Hyperlink"/>
            <w:rFonts w:ascii="Times New Roman" w:eastAsiaTheme="majorEastAsia" w:hAnsi="Times New Roman" w:cs="Times New Roman"/>
            <w:sz w:val="20"/>
            <w:szCs w:val="20"/>
            <w:lang w:val="en-US"/>
          </w:rPr>
          <w:t>https://doi.org/10.3390/ph14020157</w:t>
        </w:r>
      </w:hyperlink>
      <w:r w:rsidRPr="002F49CA">
        <w:rPr>
          <w:rFonts w:ascii="Times New Roman" w:hAnsi="Times New Roman" w:cs="Times New Roman"/>
          <w:sz w:val="20"/>
          <w:szCs w:val="20"/>
          <w:lang w:val="en-US"/>
        </w:rPr>
        <w:t xml:space="preserve"> </w:t>
      </w:r>
    </w:p>
    <w:p w14:paraId="3ECEBE8C"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Griffin J. H, Toledo-Ortiz G (2022) Plant photoreceptors and their </w:t>
      </w:r>
      <w:proofErr w:type="spellStart"/>
      <w:r w:rsidRPr="002F49CA">
        <w:rPr>
          <w:rFonts w:ascii="Times New Roman" w:hAnsi="Times New Roman" w:cs="Times New Roman"/>
          <w:sz w:val="20"/>
          <w:szCs w:val="20"/>
          <w:lang w:val="en-US"/>
        </w:rPr>
        <w:t>signalling</w:t>
      </w:r>
      <w:proofErr w:type="spellEnd"/>
      <w:r w:rsidRPr="002F49CA">
        <w:rPr>
          <w:rFonts w:ascii="Times New Roman" w:hAnsi="Times New Roman" w:cs="Times New Roman"/>
          <w:sz w:val="20"/>
          <w:szCs w:val="20"/>
          <w:lang w:val="en-US"/>
        </w:rPr>
        <w:t xml:space="preserve"> components in </w:t>
      </w:r>
      <w:proofErr w:type="spellStart"/>
      <w:r w:rsidRPr="002F49CA">
        <w:rPr>
          <w:rFonts w:ascii="Times New Roman" w:hAnsi="Times New Roman" w:cs="Times New Roman"/>
          <w:sz w:val="20"/>
          <w:szCs w:val="20"/>
          <w:lang w:val="en-US"/>
        </w:rPr>
        <w:t>chloroplastic</w:t>
      </w:r>
      <w:proofErr w:type="spellEnd"/>
      <w:r w:rsidRPr="002F49CA">
        <w:rPr>
          <w:rFonts w:ascii="Times New Roman" w:hAnsi="Times New Roman" w:cs="Times New Roman"/>
          <w:sz w:val="20"/>
          <w:szCs w:val="20"/>
          <w:lang w:val="en-US"/>
        </w:rPr>
        <w:t xml:space="preserve"> anterograde and retrograde communication. Journal of Experimental Botany, 73(21):7126-7138. </w:t>
      </w:r>
      <w:hyperlink r:id="rId42" w:history="1">
        <w:r w:rsidRPr="002F49CA">
          <w:rPr>
            <w:rStyle w:val="Hyperlink"/>
            <w:rFonts w:ascii="Times New Roman" w:eastAsiaTheme="majorEastAsia" w:hAnsi="Times New Roman" w:cs="Times New Roman"/>
            <w:sz w:val="20"/>
            <w:szCs w:val="20"/>
            <w:lang w:val="en-US"/>
          </w:rPr>
          <w:t>https://doi.org/10.1093/jxb/erac220</w:t>
        </w:r>
      </w:hyperlink>
      <w:r w:rsidRPr="002F49CA">
        <w:rPr>
          <w:rFonts w:ascii="Times New Roman" w:hAnsi="Times New Roman" w:cs="Times New Roman"/>
          <w:sz w:val="20"/>
          <w:szCs w:val="20"/>
          <w:lang w:val="en-US"/>
        </w:rPr>
        <w:t xml:space="preserve"> </w:t>
      </w:r>
    </w:p>
    <w:p w14:paraId="320CA4FC"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Hashim M, Ahmad B, Drouet S, Hano C, Abbasi BH, Anjum S (2021) Comparative effects of different light sources on the production of key secondary metabolites in plants </w:t>
      </w:r>
      <w:r w:rsidRPr="002F49CA">
        <w:rPr>
          <w:rFonts w:ascii="Times New Roman" w:hAnsi="Times New Roman" w:cs="Times New Roman"/>
          <w:i/>
          <w:iCs/>
          <w:sz w:val="20"/>
          <w:szCs w:val="20"/>
          <w:lang w:val="en-US"/>
        </w:rPr>
        <w:t>in vitro</w:t>
      </w:r>
      <w:r w:rsidRPr="002F49CA">
        <w:rPr>
          <w:rFonts w:ascii="Times New Roman" w:hAnsi="Times New Roman" w:cs="Times New Roman"/>
          <w:sz w:val="20"/>
          <w:szCs w:val="20"/>
          <w:lang w:val="en-US"/>
        </w:rPr>
        <w:t xml:space="preserve"> cultures. Plants, 10(8):1521. </w:t>
      </w:r>
      <w:hyperlink r:id="rId43" w:history="1">
        <w:r w:rsidRPr="002F49CA">
          <w:rPr>
            <w:rStyle w:val="Hyperlink"/>
            <w:rFonts w:ascii="Times New Roman" w:eastAsiaTheme="majorEastAsia" w:hAnsi="Times New Roman" w:cs="Times New Roman"/>
            <w:sz w:val="20"/>
            <w:szCs w:val="20"/>
            <w:lang w:val="en-US"/>
          </w:rPr>
          <w:t>https://doi.org/10.3390/plants10081521</w:t>
        </w:r>
      </w:hyperlink>
      <w:r w:rsidRPr="002F49CA">
        <w:rPr>
          <w:rFonts w:ascii="Times New Roman" w:hAnsi="Times New Roman" w:cs="Times New Roman"/>
          <w:sz w:val="20"/>
          <w:szCs w:val="20"/>
          <w:lang w:val="en-US"/>
        </w:rPr>
        <w:t xml:space="preserve"> </w:t>
      </w:r>
    </w:p>
    <w:p w14:paraId="789D44DF"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Hernández R, Kubota C (2016) Physiological responses of cucumber seedlings under different blue and red photon flux ratios using LEDs. Environmental and experimental botany, 121:66-74. </w:t>
      </w:r>
      <w:hyperlink r:id="rId44" w:history="1">
        <w:r w:rsidRPr="002F49CA">
          <w:rPr>
            <w:rStyle w:val="Hyperlink"/>
            <w:rFonts w:ascii="Times New Roman" w:eastAsiaTheme="majorEastAsia" w:hAnsi="Times New Roman" w:cs="Times New Roman"/>
            <w:sz w:val="20"/>
            <w:szCs w:val="20"/>
            <w:lang w:val="en-US"/>
          </w:rPr>
          <w:t>https://doi.org/10.1016/j.envexpbot.2015.04.001</w:t>
        </w:r>
      </w:hyperlink>
      <w:r w:rsidRPr="002F49CA">
        <w:rPr>
          <w:rFonts w:ascii="Times New Roman" w:hAnsi="Times New Roman" w:cs="Times New Roman"/>
          <w:sz w:val="20"/>
          <w:szCs w:val="20"/>
          <w:lang w:val="en-US"/>
        </w:rPr>
        <w:t xml:space="preserve"> </w:t>
      </w:r>
    </w:p>
    <w:p w14:paraId="69D5AEE6" w14:textId="77777777" w:rsidR="00142BBE" w:rsidRPr="002F49CA" w:rsidRDefault="00142BBE" w:rsidP="00142BBE">
      <w:pPr>
        <w:jc w:val="both"/>
        <w:rPr>
          <w:rFonts w:ascii="Times New Roman" w:hAnsi="Times New Roman" w:cs="Times New Roman"/>
          <w:sz w:val="20"/>
          <w:szCs w:val="20"/>
          <w:lang w:val="en-US"/>
        </w:rPr>
      </w:pPr>
      <w:proofErr w:type="spellStart"/>
      <w:r w:rsidRPr="002F49CA">
        <w:rPr>
          <w:rFonts w:ascii="Times New Roman" w:hAnsi="Times New Roman" w:cs="Times New Roman"/>
          <w:sz w:val="20"/>
          <w:szCs w:val="20"/>
          <w:lang w:val="en-US"/>
        </w:rPr>
        <w:t>Hogewoning</w:t>
      </w:r>
      <w:proofErr w:type="spellEnd"/>
      <w:r w:rsidRPr="002F49CA">
        <w:rPr>
          <w:rFonts w:ascii="Times New Roman" w:hAnsi="Times New Roman" w:cs="Times New Roman"/>
          <w:sz w:val="20"/>
          <w:szCs w:val="20"/>
          <w:lang w:val="en-US"/>
        </w:rPr>
        <w:t xml:space="preserve"> SW, </w:t>
      </w:r>
      <w:proofErr w:type="spellStart"/>
      <w:r w:rsidRPr="002F49CA">
        <w:rPr>
          <w:rFonts w:ascii="Times New Roman" w:hAnsi="Times New Roman" w:cs="Times New Roman"/>
          <w:sz w:val="20"/>
          <w:szCs w:val="20"/>
          <w:lang w:val="en-US"/>
        </w:rPr>
        <w:t>Trouwborst</w:t>
      </w:r>
      <w:proofErr w:type="spellEnd"/>
      <w:r w:rsidRPr="002F49CA">
        <w:rPr>
          <w:rFonts w:ascii="Times New Roman" w:hAnsi="Times New Roman" w:cs="Times New Roman"/>
          <w:sz w:val="20"/>
          <w:szCs w:val="20"/>
          <w:lang w:val="en-US"/>
        </w:rPr>
        <w:t xml:space="preserve"> G, </w:t>
      </w:r>
      <w:proofErr w:type="spellStart"/>
      <w:r w:rsidRPr="002F49CA">
        <w:rPr>
          <w:rFonts w:ascii="Times New Roman" w:hAnsi="Times New Roman" w:cs="Times New Roman"/>
          <w:sz w:val="20"/>
          <w:szCs w:val="20"/>
          <w:lang w:val="en-US"/>
        </w:rPr>
        <w:t>Maljaars</w:t>
      </w:r>
      <w:proofErr w:type="spellEnd"/>
      <w:r w:rsidRPr="002F49CA">
        <w:rPr>
          <w:rFonts w:ascii="Times New Roman" w:hAnsi="Times New Roman" w:cs="Times New Roman"/>
          <w:sz w:val="20"/>
          <w:szCs w:val="20"/>
          <w:lang w:val="en-US"/>
        </w:rPr>
        <w:t xml:space="preserve"> H, </w:t>
      </w:r>
      <w:proofErr w:type="spellStart"/>
      <w:r w:rsidRPr="002F49CA">
        <w:rPr>
          <w:rFonts w:ascii="Times New Roman" w:hAnsi="Times New Roman" w:cs="Times New Roman"/>
          <w:sz w:val="20"/>
          <w:szCs w:val="20"/>
          <w:lang w:val="en-US"/>
        </w:rPr>
        <w:t>Poorter</w:t>
      </w:r>
      <w:proofErr w:type="spellEnd"/>
      <w:r w:rsidRPr="002F49CA">
        <w:rPr>
          <w:rFonts w:ascii="Times New Roman" w:hAnsi="Times New Roman" w:cs="Times New Roman"/>
          <w:sz w:val="20"/>
          <w:szCs w:val="20"/>
          <w:lang w:val="en-US"/>
        </w:rPr>
        <w:t xml:space="preserve"> H, Van Ieperen W, Harbinson J (2010) Blue light dose–responses of leaf photosynthesis, morphology, and chemical composition of </w:t>
      </w:r>
      <w:r w:rsidRPr="002F49CA">
        <w:rPr>
          <w:rFonts w:ascii="Times New Roman" w:hAnsi="Times New Roman" w:cs="Times New Roman"/>
          <w:i/>
          <w:iCs/>
          <w:sz w:val="20"/>
          <w:szCs w:val="20"/>
          <w:lang w:val="en-US"/>
        </w:rPr>
        <w:t>Cucumis sativus</w:t>
      </w:r>
      <w:r w:rsidRPr="002F49CA">
        <w:rPr>
          <w:rFonts w:ascii="Times New Roman" w:hAnsi="Times New Roman" w:cs="Times New Roman"/>
          <w:sz w:val="20"/>
          <w:szCs w:val="20"/>
          <w:lang w:val="en-US"/>
        </w:rPr>
        <w:t xml:space="preserve"> grown under different combinations of red and blue light. Journal of experimental botany, 61(11):3107-3117. </w:t>
      </w:r>
      <w:hyperlink r:id="rId45" w:history="1">
        <w:r w:rsidRPr="002F49CA">
          <w:rPr>
            <w:rStyle w:val="Hyperlink"/>
            <w:rFonts w:ascii="Times New Roman" w:eastAsiaTheme="majorEastAsia" w:hAnsi="Times New Roman" w:cs="Times New Roman"/>
            <w:sz w:val="20"/>
            <w:szCs w:val="20"/>
            <w:lang w:val="en-US"/>
          </w:rPr>
          <w:t>https://doi.org/10.1093/jxb/erq132</w:t>
        </w:r>
      </w:hyperlink>
      <w:r w:rsidRPr="002F49CA">
        <w:rPr>
          <w:rFonts w:ascii="Times New Roman" w:hAnsi="Times New Roman" w:cs="Times New Roman"/>
          <w:sz w:val="20"/>
          <w:szCs w:val="20"/>
          <w:lang w:val="en-US"/>
        </w:rPr>
        <w:t xml:space="preserve"> </w:t>
      </w:r>
    </w:p>
    <w:p w14:paraId="3292E58E"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Hong Z, Huang W (2024) Meta-analysis of Genetic Markers for Yield and Quality Traits in Dragon Fruit. Tree Genetics and Molecular Breeding, 14(6):</w:t>
      </w:r>
      <w:r w:rsidRPr="002F49CA">
        <w:rPr>
          <w:rFonts w:ascii="Times New Roman" w:hAnsi="Times New Roman" w:cs="Times New Roman"/>
          <w:color w:val="111111"/>
          <w:sz w:val="20"/>
          <w:szCs w:val="20"/>
          <w:shd w:val="clear" w:color="auto" w:fill="FFFFFF"/>
          <w:lang w:val="en-US"/>
        </w:rPr>
        <w:t xml:space="preserve"> </w:t>
      </w:r>
      <w:r w:rsidRPr="002F49CA">
        <w:rPr>
          <w:rFonts w:ascii="Times New Roman" w:hAnsi="Times New Roman" w:cs="Times New Roman"/>
          <w:sz w:val="20"/>
          <w:szCs w:val="20"/>
          <w:lang w:val="en-US"/>
        </w:rPr>
        <w:t xml:space="preserve">14(6):295-303. </w:t>
      </w:r>
      <w:hyperlink r:id="rId46" w:history="1">
        <w:r w:rsidRPr="002F49CA">
          <w:rPr>
            <w:rStyle w:val="Hyperlink"/>
            <w:rFonts w:ascii="Times New Roman" w:eastAsiaTheme="majorEastAsia" w:hAnsi="Times New Roman" w:cs="Times New Roman"/>
            <w:sz w:val="20"/>
            <w:szCs w:val="20"/>
            <w:lang w:val="en-US"/>
          </w:rPr>
          <w:t>http://dx.doi.org/10.5376/tgmb.2024.14.0029</w:t>
        </w:r>
      </w:hyperlink>
      <w:r w:rsidRPr="002F49CA">
        <w:rPr>
          <w:rFonts w:ascii="Times New Roman" w:hAnsi="Times New Roman" w:cs="Times New Roman"/>
          <w:sz w:val="20"/>
          <w:szCs w:val="20"/>
          <w:lang w:val="en-US"/>
        </w:rPr>
        <w:t xml:space="preserve"> </w:t>
      </w:r>
    </w:p>
    <w:p w14:paraId="487D514D"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lastRenderedPageBreak/>
        <w:t xml:space="preserve">Hua Q, Zhou Q, Gan S, Wu J, Chen C, Li J et al (2016) Proteomic analysis of </w:t>
      </w:r>
      <w:r w:rsidRPr="002F49CA">
        <w:rPr>
          <w:rFonts w:ascii="Times New Roman" w:hAnsi="Times New Roman" w:cs="Times New Roman"/>
          <w:i/>
          <w:iCs/>
          <w:sz w:val="20"/>
          <w:szCs w:val="20"/>
          <w:lang w:val="en-US"/>
        </w:rPr>
        <w:t xml:space="preserve">Hylocereus </w:t>
      </w:r>
      <w:proofErr w:type="spellStart"/>
      <w:r w:rsidRPr="002F49CA">
        <w:rPr>
          <w:rFonts w:ascii="Times New Roman" w:hAnsi="Times New Roman" w:cs="Times New Roman"/>
          <w:i/>
          <w:iCs/>
          <w:sz w:val="20"/>
          <w:szCs w:val="20"/>
          <w:lang w:val="en-US"/>
        </w:rPr>
        <w:t>polyrhizus</w:t>
      </w:r>
      <w:proofErr w:type="spellEnd"/>
      <w:r w:rsidRPr="002F49CA">
        <w:rPr>
          <w:rFonts w:ascii="Times New Roman" w:hAnsi="Times New Roman" w:cs="Times New Roman"/>
          <w:sz w:val="20"/>
          <w:szCs w:val="20"/>
          <w:lang w:val="en-US"/>
        </w:rPr>
        <w:t xml:space="preserve"> reveals metabolic pathway changes. International Journal of Molecular Sciences, 17(10):1606. </w:t>
      </w:r>
      <w:hyperlink r:id="rId47" w:history="1">
        <w:r w:rsidRPr="002F49CA">
          <w:rPr>
            <w:rStyle w:val="Hyperlink"/>
            <w:rFonts w:ascii="Times New Roman" w:eastAsiaTheme="majorEastAsia" w:hAnsi="Times New Roman" w:cs="Times New Roman"/>
            <w:sz w:val="20"/>
            <w:szCs w:val="20"/>
            <w:lang w:val="en-US"/>
          </w:rPr>
          <w:t>https://doi.org/10.3390/ijms17101606</w:t>
        </w:r>
      </w:hyperlink>
      <w:r w:rsidRPr="002F49CA">
        <w:rPr>
          <w:rFonts w:ascii="Times New Roman" w:hAnsi="Times New Roman" w:cs="Times New Roman"/>
          <w:sz w:val="20"/>
          <w:szCs w:val="20"/>
          <w:lang w:val="en-US"/>
        </w:rPr>
        <w:t xml:space="preserve"> </w:t>
      </w:r>
    </w:p>
    <w:p w14:paraId="70478918"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Huang W, Yang G, Liu D, Li Q, Zheng L, Ma J (2022) Metabolomics and transcriptomics analysis of vitro growth in pitaya plantlets with different LED Light spectra treatment. Industrial Crops and Products, 186:115237. </w:t>
      </w:r>
      <w:hyperlink r:id="rId48" w:history="1">
        <w:r w:rsidRPr="002F49CA">
          <w:rPr>
            <w:rStyle w:val="Hyperlink"/>
            <w:rFonts w:ascii="Times New Roman" w:eastAsiaTheme="majorEastAsia" w:hAnsi="Times New Roman" w:cs="Times New Roman"/>
            <w:sz w:val="20"/>
            <w:szCs w:val="20"/>
            <w:lang w:val="en-US"/>
          </w:rPr>
          <w:t>https://doi.org/10.1016/j.indcrop.2022.115237</w:t>
        </w:r>
      </w:hyperlink>
      <w:r w:rsidRPr="002F49CA">
        <w:rPr>
          <w:rFonts w:ascii="Times New Roman" w:hAnsi="Times New Roman" w:cs="Times New Roman"/>
          <w:sz w:val="20"/>
          <w:szCs w:val="20"/>
          <w:lang w:val="en-US"/>
        </w:rPr>
        <w:t xml:space="preserve"> </w:t>
      </w:r>
    </w:p>
    <w:p w14:paraId="49DD5195" w14:textId="77777777" w:rsidR="00A511DB" w:rsidRDefault="00142BBE" w:rsidP="00142BBE">
      <w:pPr>
        <w:jc w:val="both"/>
        <w:rPr>
          <w:rFonts w:ascii="Times New Roman" w:hAnsi="Times New Roman" w:cs="Times New Roman"/>
          <w:sz w:val="20"/>
          <w:szCs w:val="20"/>
          <w:lang w:val="en-US"/>
        </w:rPr>
      </w:pPr>
      <w:r w:rsidRPr="002F49CA">
        <w:rPr>
          <w:rFonts w:ascii="Times New Roman" w:hAnsi="Times New Roman" w:cs="Times New Roman"/>
          <w:bCs/>
          <w:sz w:val="20"/>
          <w:szCs w:val="20"/>
          <w:lang w:val="en-US"/>
        </w:rPr>
        <w:t xml:space="preserve">Johansen, D. A. (1940). Plant </w:t>
      </w:r>
      <w:proofErr w:type="spellStart"/>
      <w:r w:rsidRPr="002F49CA">
        <w:rPr>
          <w:rFonts w:ascii="Times New Roman" w:hAnsi="Times New Roman" w:cs="Times New Roman"/>
          <w:bCs/>
          <w:sz w:val="20"/>
          <w:szCs w:val="20"/>
          <w:lang w:val="en-US"/>
        </w:rPr>
        <w:t>microtechnique</w:t>
      </w:r>
      <w:proofErr w:type="spellEnd"/>
      <w:r w:rsidRPr="002F49CA">
        <w:rPr>
          <w:rFonts w:ascii="Times New Roman" w:hAnsi="Times New Roman" w:cs="Times New Roman"/>
          <w:bCs/>
          <w:sz w:val="20"/>
          <w:szCs w:val="20"/>
          <w:lang w:val="en-US"/>
        </w:rPr>
        <w:t>.</w:t>
      </w:r>
      <w:r w:rsidRPr="002F49CA">
        <w:rPr>
          <w:rFonts w:ascii="Times New Roman" w:hAnsi="Times New Roman" w:cs="Times New Roman"/>
          <w:sz w:val="20"/>
          <w:szCs w:val="20"/>
          <w:lang w:val="en-US"/>
        </w:rPr>
        <w:t xml:space="preserve"> McGraw Hill Book Co.,</w:t>
      </w:r>
      <w:r w:rsidRPr="002F49CA">
        <w:rPr>
          <w:rFonts w:ascii="Times New Roman" w:hAnsi="Times New Roman" w:cs="Times New Roman"/>
          <w:bCs/>
          <w:sz w:val="20"/>
          <w:szCs w:val="20"/>
          <w:lang w:val="en-US"/>
        </w:rPr>
        <w:t xml:space="preserve"> 2</w:t>
      </w:r>
      <w:r w:rsidRPr="002F49CA">
        <w:rPr>
          <w:rFonts w:ascii="Times New Roman" w:hAnsi="Times New Roman" w:cs="Times New Roman"/>
          <w:bCs/>
          <w:sz w:val="20"/>
          <w:szCs w:val="20"/>
          <w:vertAlign w:val="superscript"/>
          <w:lang w:val="en-US"/>
        </w:rPr>
        <w:t>nd</w:t>
      </w:r>
      <w:r w:rsidRPr="002F49CA">
        <w:rPr>
          <w:rFonts w:ascii="Times New Roman" w:hAnsi="Times New Roman" w:cs="Times New Roman"/>
          <w:bCs/>
          <w:sz w:val="20"/>
          <w:szCs w:val="20"/>
          <w:lang w:val="en-US"/>
        </w:rPr>
        <w:t xml:space="preserve"> ed</w:t>
      </w:r>
      <w:r w:rsidRPr="002F49CA">
        <w:rPr>
          <w:rFonts w:ascii="Times New Roman" w:hAnsi="Times New Roman" w:cs="Times New Roman"/>
          <w:sz w:val="20"/>
          <w:szCs w:val="20"/>
          <w:lang w:val="en-US"/>
        </w:rPr>
        <w:t>. New York, 523pp.</w:t>
      </w:r>
    </w:p>
    <w:p w14:paraId="77044430" w14:textId="3361CC09"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Khoo HE, He X, Tang Y, Li Z, Li C, Zeng et al (2022) </w:t>
      </w:r>
      <w:proofErr w:type="spellStart"/>
      <w:r w:rsidRPr="002F49CA">
        <w:rPr>
          <w:rFonts w:ascii="Times New Roman" w:hAnsi="Times New Roman" w:cs="Times New Roman"/>
          <w:sz w:val="20"/>
          <w:szCs w:val="20"/>
          <w:lang w:val="en-US"/>
        </w:rPr>
        <w:t>Betacyanins</w:t>
      </w:r>
      <w:proofErr w:type="spellEnd"/>
      <w:r w:rsidRPr="002F49CA">
        <w:rPr>
          <w:rFonts w:ascii="Times New Roman" w:hAnsi="Times New Roman" w:cs="Times New Roman"/>
          <w:sz w:val="20"/>
          <w:szCs w:val="20"/>
          <w:lang w:val="en-US"/>
        </w:rPr>
        <w:t xml:space="preserve"> and anthocyanins in pulp and peel of red pitaya (</w:t>
      </w:r>
      <w:r w:rsidRPr="002F49CA">
        <w:rPr>
          <w:rFonts w:ascii="Times New Roman" w:hAnsi="Times New Roman" w:cs="Times New Roman"/>
          <w:i/>
          <w:iCs/>
          <w:sz w:val="20"/>
          <w:szCs w:val="20"/>
          <w:lang w:val="en-US"/>
        </w:rPr>
        <w:t xml:space="preserve">Hylocereus </w:t>
      </w:r>
      <w:proofErr w:type="spellStart"/>
      <w:r w:rsidRPr="002F49CA">
        <w:rPr>
          <w:rFonts w:ascii="Times New Roman" w:hAnsi="Times New Roman" w:cs="Times New Roman"/>
          <w:i/>
          <w:iCs/>
          <w:sz w:val="20"/>
          <w:szCs w:val="20"/>
          <w:lang w:val="en-US"/>
        </w:rPr>
        <w:t>polyrhizus</w:t>
      </w:r>
      <w:proofErr w:type="spellEnd"/>
      <w:r w:rsidRPr="002F49CA">
        <w:rPr>
          <w:rFonts w:ascii="Times New Roman" w:hAnsi="Times New Roman" w:cs="Times New Roman"/>
          <w:sz w:val="20"/>
          <w:szCs w:val="20"/>
          <w:lang w:val="en-US"/>
        </w:rPr>
        <w:t xml:space="preserve"> cv. Jindu), inhibition of oxidative stress, lipid reducing, and cytotoxic effects. Frontiers in Nutrition, 9:894438. </w:t>
      </w:r>
      <w:hyperlink r:id="rId49" w:history="1">
        <w:r w:rsidRPr="002F49CA">
          <w:rPr>
            <w:rStyle w:val="Hyperlink"/>
            <w:rFonts w:ascii="Times New Roman" w:eastAsiaTheme="majorEastAsia" w:hAnsi="Times New Roman" w:cs="Times New Roman"/>
            <w:sz w:val="20"/>
            <w:szCs w:val="20"/>
            <w:lang w:val="en-US"/>
          </w:rPr>
          <w:t>https://doi.org/10.3389/fnut.2022.894438</w:t>
        </w:r>
      </w:hyperlink>
      <w:r w:rsidRPr="002F49CA">
        <w:rPr>
          <w:rFonts w:ascii="Times New Roman" w:hAnsi="Times New Roman" w:cs="Times New Roman"/>
          <w:sz w:val="20"/>
          <w:szCs w:val="20"/>
          <w:lang w:val="en-US"/>
        </w:rPr>
        <w:t xml:space="preserve"> </w:t>
      </w:r>
    </w:p>
    <w:p w14:paraId="4188C1C7"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Kim JY, </w:t>
      </w:r>
      <w:proofErr w:type="spellStart"/>
      <w:r w:rsidRPr="002F49CA">
        <w:rPr>
          <w:rFonts w:ascii="Times New Roman" w:hAnsi="Times New Roman" w:cs="Times New Roman"/>
          <w:sz w:val="20"/>
          <w:szCs w:val="20"/>
          <w:lang w:val="en-US"/>
        </w:rPr>
        <w:t>Im</w:t>
      </w:r>
      <w:proofErr w:type="spellEnd"/>
      <w:r w:rsidRPr="002F49CA">
        <w:rPr>
          <w:rFonts w:ascii="Times New Roman" w:hAnsi="Times New Roman" w:cs="Times New Roman"/>
          <w:sz w:val="20"/>
          <w:szCs w:val="20"/>
          <w:lang w:val="en-US"/>
        </w:rPr>
        <w:t xml:space="preserve"> NH, Shim SY, Lee HB (2025) Photosynthetic acclimation of crassulacean acid metabolism orchid </w:t>
      </w:r>
      <w:r w:rsidRPr="002F49CA">
        <w:rPr>
          <w:rFonts w:ascii="Times New Roman" w:hAnsi="Times New Roman" w:cs="Times New Roman"/>
          <w:i/>
          <w:iCs/>
          <w:sz w:val="20"/>
          <w:szCs w:val="20"/>
          <w:lang w:val="en-US"/>
        </w:rPr>
        <w:t xml:space="preserve">Phalaenopsis </w:t>
      </w:r>
      <w:r w:rsidRPr="002F49CA">
        <w:rPr>
          <w:rFonts w:ascii="Times New Roman" w:hAnsi="Times New Roman" w:cs="Times New Roman"/>
          <w:sz w:val="20"/>
          <w:szCs w:val="20"/>
          <w:lang w:val="en-US"/>
        </w:rPr>
        <w:t xml:space="preserve">in response to light level. Scientific Reports, 15(1):13016. </w:t>
      </w:r>
      <w:hyperlink r:id="rId50" w:history="1">
        <w:r w:rsidRPr="002F49CA">
          <w:rPr>
            <w:rStyle w:val="Hyperlink"/>
            <w:rFonts w:ascii="Times New Roman" w:eastAsiaTheme="majorEastAsia" w:hAnsi="Times New Roman" w:cs="Times New Roman"/>
            <w:sz w:val="20"/>
            <w:szCs w:val="20"/>
            <w:lang w:val="en-US"/>
          </w:rPr>
          <w:t>https://doi.org/10.1038/s41598-025-96167-4</w:t>
        </w:r>
      </w:hyperlink>
      <w:r w:rsidRPr="002F49CA">
        <w:rPr>
          <w:rFonts w:ascii="Times New Roman" w:hAnsi="Times New Roman" w:cs="Times New Roman"/>
          <w:sz w:val="20"/>
          <w:szCs w:val="20"/>
          <w:lang w:val="en-US"/>
        </w:rPr>
        <w:t xml:space="preserve"> </w:t>
      </w:r>
    </w:p>
    <w:p w14:paraId="3A7DDD70"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Kiss JZ, Mullen JL, Correll MJ, </w:t>
      </w:r>
      <w:proofErr w:type="spellStart"/>
      <w:r w:rsidRPr="002F49CA">
        <w:rPr>
          <w:rFonts w:ascii="Times New Roman" w:hAnsi="Times New Roman" w:cs="Times New Roman"/>
          <w:sz w:val="20"/>
          <w:szCs w:val="20"/>
          <w:lang w:val="en-US"/>
        </w:rPr>
        <w:t>Hangarter</w:t>
      </w:r>
      <w:proofErr w:type="spellEnd"/>
      <w:r w:rsidRPr="002F49CA">
        <w:rPr>
          <w:rFonts w:ascii="Times New Roman" w:hAnsi="Times New Roman" w:cs="Times New Roman"/>
          <w:sz w:val="20"/>
          <w:szCs w:val="20"/>
          <w:lang w:val="en-US"/>
        </w:rPr>
        <w:t xml:space="preserve"> RP (2003) Phytochromes A and B mediate red-light-induced positive phototropism in roots. Plant physiology, 131(3):1411-1417. </w:t>
      </w:r>
      <w:hyperlink r:id="rId51" w:history="1">
        <w:r w:rsidRPr="002F49CA">
          <w:rPr>
            <w:rStyle w:val="Hyperlink"/>
            <w:rFonts w:ascii="Times New Roman" w:eastAsiaTheme="majorEastAsia" w:hAnsi="Times New Roman" w:cs="Times New Roman"/>
            <w:sz w:val="20"/>
            <w:szCs w:val="20"/>
            <w:lang w:val="en-US"/>
          </w:rPr>
          <w:t>https://doi.org/10.1104/pp.013847</w:t>
        </w:r>
      </w:hyperlink>
      <w:r w:rsidRPr="002F49CA">
        <w:rPr>
          <w:rFonts w:ascii="Times New Roman" w:hAnsi="Times New Roman" w:cs="Times New Roman"/>
          <w:sz w:val="20"/>
          <w:szCs w:val="20"/>
          <w:lang w:val="en-US"/>
        </w:rPr>
        <w:t xml:space="preserve"> </w:t>
      </w:r>
    </w:p>
    <w:p w14:paraId="135A54D8"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Lee S, Tewari R, Hahn, Paek KY (2007) Photon flux density and light quality induce changes in growth, stomatal development, photosynthesis and transpiration of </w:t>
      </w:r>
      <w:proofErr w:type="spellStart"/>
      <w:r w:rsidRPr="002F49CA">
        <w:rPr>
          <w:rFonts w:ascii="Times New Roman" w:hAnsi="Times New Roman" w:cs="Times New Roman"/>
          <w:i/>
          <w:iCs/>
          <w:sz w:val="20"/>
          <w:szCs w:val="20"/>
          <w:lang w:val="en-US"/>
        </w:rPr>
        <w:t>Withania</w:t>
      </w:r>
      <w:proofErr w:type="spellEnd"/>
      <w:r w:rsidRPr="002F49CA">
        <w:rPr>
          <w:rFonts w:ascii="Times New Roman" w:hAnsi="Times New Roman" w:cs="Times New Roman"/>
          <w:i/>
          <w:iCs/>
          <w:sz w:val="20"/>
          <w:szCs w:val="20"/>
          <w:lang w:val="en-US"/>
        </w:rPr>
        <w:t xml:space="preserve"> </w:t>
      </w:r>
      <w:proofErr w:type="spellStart"/>
      <w:r w:rsidRPr="002F49CA">
        <w:rPr>
          <w:rFonts w:ascii="Times New Roman" w:hAnsi="Times New Roman" w:cs="Times New Roman"/>
          <w:i/>
          <w:iCs/>
          <w:sz w:val="20"/>
          <w:szCs w:val="20"/>
          <w:lang w:val="en-US"/>
        </w:rPr>
        <w:t>ssomnifera</w:t>
      </w:r>
      <w:proofErr w:type="spellEnd"/>
      <w:r w:rsidRPr="002F49CA">
        <w:rPr>
          <w:rFonts w:ascii="Times New Roman" w:hAnsi="Times New Roman" w:cs="Times New Roman"/>
          <w:sz w:val="20"/>
          <w:szCs w:val="20"/>
          <w:lang w:val="en-US"/>
        </w:rPr>
        <w:t xml:space="preserve"> (L.) </w:t>
      </w:r>
      <w:proofErr w:type="spellStart"/>
      <w:r w:rsidRPr="002F49CA">
        <w:rPr>
          <w:rFonts w:ascii="Times New Roman" w:hAnsi="Times New Roman" w:cs="Times New Roman"/>
          <w:sz w:val="20"/>
          <w:szCs w:val="20"/>
          <w:lang w:val="en-US"/>
        </w:rPr>
        <w:t>Dunal</w:t>
      </w:r>
      <w:proofErr w:type="spellEnd"/>
      <w:r w:rsidRPr="002F49CA">
        <w:rPr>
          <w:rFonts w:ascii="Times New Roman" w:hAnsi="Times New Roman" w:cs="Times New Roman"/>
          <w:sz w:val="20"/>
          <w:szCs w:val="20"/>
          <w:lang w:val="en-US"/>
        </w:rPr>
        <w:t xml:space="preserve">. plantlets. Plant Cell Tiss Org 90:141-151. </w:t>
      </w:r>
      <w:hyperlink r:id="rId52" w:history="1">
        <w:r w:rsidRPr="002F49CA">
          <w:rPr>
            <w:rStyle w:val="Hyperlink"/>
            <w:rFonts w:ascii="Times New Roman" w:eastAsiaTheme="majorEastAsia" w:hAnsi="Times New Roman" w:cs="Times New Roman"/>
            <w:sz w:val="20"/>
            <w:szCs w:val="20"/>
            <w:lang w:val="en-US"/>
          </w:rPr>
          <w:t>https://doi.org/10.1007/s11240-006-9191-2</w:t>
        </w:r>
      </w:hyperlink>
      <w:r w:rsidRPr="002F49CA">
        <w:rPr>
          <w:rFonts w:ascii="Times New Roman" w:hAnsi="Times New Roman" w:cs="Times New Roman"/>
          <w:sz w:val="20"/>
          <w:szCs w:val="20"/>
          <w:lang w:val="en-US"/>
        </w:rPr>
        <w:t xml:space="preserve"> </w:t>
      </w:r>
    </w:p>
    <w:p w14:paraId="39E0ACC2"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fr-FR"/>
        </w:rPr>
        <w:t xml:space="preserve">Li J, Muneer MA, Sun A, Guo Q, Wang Y, Huang Z et al (2023). </w:t>
      </w:r>
      <w:r w:rsidRPr="002F49CA">
        <w:rPr>
          <w:rFonts w:ascii="Times New Roman" w:hAnsi="Times New Roman" w:cs="Times New Roman"/>
          <w:sz w:val="20"/>
          <w:szCs w:val="20"/>
          <w:lang w:val="en-US"/>
        </w:rPr>
        <w:t>Magnesium application improves the morphology, nutrients uptake, photosynthetic traits, and quality of tobacco (</w:t>
      </w:r>
      <w:r w:rsidRPr="002F49CA">
        <w:rPr>
          <w:rFonts w:ascii="Times New Roman" w:hAnsi="Times New Roman" w:cs="Times New Roman"/>
          <w:i/>
          <w:iCs/>
          <w:sz w:val="20"/>
          <w:szCs w:val="20"/>
          <w:lang w:val="en-US"/>
        </w:rPr>
        <w:t>Nicotiana tabacum</w:t>
      </w:r>
      <w:r w:rsidRPr="002F49CA">
        <w:rPr>
          <w:rFonts w:ascii="Times New Roman" w:hAnsi="Times New Roman" w:cs="Times New Roman"/>
          <w:sz w:val="20"/>
          <w:szCs w:val="20"/>
          <w:lang w:val="en-US"/>
        </w:rPr>
        <w:t xml:space="preserve"> L.) under cold stress. Frontiers in Plant Science, 14:1078128. </w:t>
      </w:r>
      <w:hyperlink r:id="rId53" w:history="1">
        <w:r w:rsidRPr="002F49CA">
          <w:rPr>
            <w:rStyle w:val="Hyperlink"/>
            <w:rFonts w:ascii="Times New Roman" w:eastAsiaTheme="majorEastAsia" w:hAnsi="Times New Roman" w:cs="Times New Roman"/>
            <w:sz w:val="20"/>
            <w:szCs w:val="20"/>
            <w:lang w:val="en-US"/>
          </w:rPr>
          <w:t>https://doi.org/10.3389/fpls.2023.1078128</w:t>
        </w:r>
      </w:hyperlink>
      <w:r w:rsidRPr="002F49CA">
        <w:rPr>
          <w:rFonts w:ascii="Times New Roman" w:hAnsi="Times New Roman" w:cs="Times New Roman"/>
          <w:sz w:val="20"/>
          <w:szCs w:val="20"/>
          <w:lang w:val="en-US"/>
        </w:rPr>
        <w:t xml:space="preserve"> </w:t>
      </w:r>
    </w:p>
    <w:p w14:paraId="55BC08BC"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Li P, Ma X, Li Z, Yao H, Lu G, Hu, H, Ding Y (2024) A review on the advances of dragon fruit. Tropical Plants, 3(1</w:t>
      </w:r>
      <w:proofErr w:type="gramStart"/>
      <w:r w:rsidRPr="002F49CA">
        <w:rPr>
          <w:rFonts w:ascii="Times New Roman" w:hAnsi="Times New Roman" w:cs="Times New Roman"/>
          <w:sz w:val="20"/>
          <w:szCs w:val="20"/>
          <w:lang w:val="en-US"/>
        </w:rPr>
        <w:t>):e</w:t>
      </w:r>
      <w:proofErr w:type="gramEnd"/>
      <w:r w:rsidRPr="002F49CA">
        <w:rPr>
          <w:rFonts w:ascii="Times New Roman" w:hAnsi="Times New Roman" w:cs="Times New Roman"/>
          <w:sz w:val="20"/>
          <w:szCs w:val="20"/>
          <w:lang w:val="en-US"/>
        </w:rPr>
        <w:t xml:space="preserve">041. </w:t>
      </w:r>
      <w:hyperlink r:id="rId54" w:history="1">
        <w:r w:rsidRPr="002F49CA">
          <w:rPr>
            <w:rStyle w:val="Hyperlink"/>
            <w:rFonts w:ascii="Times New Roman" w:eastAsiaTheme="majorEastAsia" w:hAnsi="Times New Roman" w:cs="Times New Roman"/>
            <w:sz w:val="20"/>
            <w:szCs w:val="20"/>
            <w:lang w:val="en-US"/>
          </w:rPr>
          <w:t>https://doi.org/10.48130/tp-0024-0041</w:t>
        </w:r>
      </w:hyperlink>
      <w:r w:rsidRPr="002F49CA">
        <w:rPr>
          <w:rFonts w:ascii="Times New Roman" w:hAnsi="Times New Roman" w:cs="Times New Roman"/>
          <w:sz w:val="20"/>
          <w:szCs w:val="20"/>
          <w:lang w:val="en-US"/>
        </w:rPr>
        <w:t xml:space="preserve"> </w:t>
      </w:r>
    </w:p>
    <w:p w14:paraId="2E2D5AEF" w14:textId="77777777" w:rsidR="00142BBE" w:rsidRPr="002F49CA" w:rsidRDefault="00142BBE" w:rsidP="00142BBE">
      <w:pPr>
        <w:jc w:val="both"/>
        <w:rPr>
          <w:rFonts w:ascii="Times New Roman" w:hAnsi="Times New Roman" w:cs="Times New Roman"/>
          <w:sz w:val="20"/>
          <w:szCs w:val="20"/>
          <w:lang w:val="en-US"/>
        </w:rPr>
      </w:pPr>
      <w:proofErr w:type="spellStart"/>
      <w:r w:rsidRPr="002F49CA">
        <w:rPr>
          <w:rFonts w:ascii="Times New Roman" w:hAnsi="Times New Roman" w:cs="Times New Roman"/>
          <w:sz w:val="20"/>
          <w:szCs w:val="20"/>
          <w:lang w:val="en-US"/>
        </w:rPr>
        <w:t>Lichtenthaler</w:t>
      </w:r>
      <w:proofErr w:type="spellEnd"/>
      <w:r w:rsidRPr="002F49CA">
        <w:rPr>
          <w:rFonts w:ascii="Times New Roman" w:hAnsi="Times New Roman" w:cs="Times New Roman"/>
          <w:sz w:val="20"/>
          <w:szCs w:val="20"/>
          <w:lang w:val="en-US"/>
        </w:rPr>
        <w:t xml:space="preserve"> HK, Babani F (2021) Contents of photosynthetic pigments and ratios of chlorophyll a/b and chlorophylls to carotenoids (a+ b)</w:t>
      </w:r>
      <w:proofErr w:type="gramStart"/>
      <w:r w:rsidRPr="002F49CA">
        <w:rPr>
          <w:rFonts w:ascii="Times New Roman" w:hAnsi="Times New Roman" w:cs="Times New Roman"/>
          <w:sz w:val="20"/>
          <w:szCs w:val="20"/>
          <w:lang w:val="en-US"/>
        </w:rPr>
        <w:t>/(</w:t>
      </w:r>
      <w:proofErr w:type="gramEnd"/>
      <w:r w:rsidRPr="002F49CA">
        <w:rPr>
          <w:rFonts w:ascii="Times New Roman" w:hAnsi="Times New Roman" w:cs="Times New Roman"/>
          <w:sz w:val="20"/>
          <w:szCs w:val="20"/>
          <w:lang w:val="en-US"/>
        </w:rPr>
        <w:t>x+ c) in C4 plants as compared to C3 plants. </w:t>
      </w:r>
      <w:proofErr w:type="spellStart"/>
      <w:r w:rsidRPr="002F49CA">
        <w:rPr>
          <w:rFonts w:ascii="Times New Roman" w:hAnsi="Times New Roman" w:cs="Times New Roman"/>
          <w:sz w:val="20"/>
          <w:szCs w:val="20"/>
          <w:lang w:val="en-US"/>
        </w:rPr>
        <w:t>Photosynthetica</w:t>
      </w:r>
      <w:proofErr w:type="spellEnd"/>
      <w:r w:rsidRPr="002F49CA">
        <w:rPr>
          <w:rFonts w:ascii="Times New Roman" w:hAnsi="Times New Roman" w:cs="Times New Roman"/>
          <w:sz w:val="20"/>
          <w:szCs w:val="20"/>
          <w:lang w:val="en-US"/>
        </w:rPr>
        <w:t xml:space="preserve">, 60(1):3. </w:t>
      </w:r>
      <w:hyperlink r:id="rId55" w:history="1">
        <w:r w:rsidRPr="002F49CA">
          <w:rPr>
            <w:rStyle w:val="Hyperlink"/>
            <w:rFonts w:ascii="Times New Roman" w:eastAsiaTheme="majorEastAsia" w:hAnsi="Times New Roman" w:cs="Times New Roman"/>
            <w:sz w:val="20"/>
            <w:szCs w:val="20"/>
            <w:lang w:val="en-US"/>
          </w:rPr>
          <w:t>https://doi.org/10.32615/ps.2021.041</w:t>
        </w:r>
      </w:hyperlink>
      <w:r w:rsidRPr="002F49CA">
        <w:rPr>
          <w:rFonts w:ascii="Times New Roman" w:hAnsi="Times New Roman" w:cs="Times New Roman"/>
          <w:sz w:val="20"/>
          <w:szCs w:val="20"/>
          <w:lang w:val="en-US"/>
        </w:rPr>
        <w:t xml:space="preserve"> </w:t>
      </w:r>
    </w:p>
    <w:p w14:paraId="17827E6B" w14:textId="77777777" w:rsidR="00142BBE" w:rsidRPr="002F49CA" w:rsidRDefault="00142BBE" w:rsidP="00142BBE">
      <w:pPr>
        <w:jc w:val="both"/>
        <w:rPr>
          <w:rFonts w:ascii="Times New Roman" w:hAnsi="Times New Roman" w:cs="Times New Roman"/>
          <w:sz w:val="20"/>
          <w:szCs w:val="20"/>
          <w:shd w:val="clear" w:color="auto" w:fill="FFFFFF"/>
          <w:lang w:val="en-US"/>
        </w:rPr>
      </w:pPr>
      <w:proofErr w:type="spellStart"/>
      <w:r w:rsidRPr="002F49CA">
        <w:rPr>
          <w:rFonts w:ascii="Times New Roman" w:hAnsi="Times New Roman" w:cs="Times New Roman"/>
          <w:sz w:val="20"/>
          <w:szCs w:val="20"/>
          <w:shd w:val="clear" w:color="auto" w:fill="FFFFFF"/>
          <w:lang w:val="en-US"/>
        </w:rPr>
        <w:t>Lichtenthaler</w:t>
      </w:r>
      <w:proofErr w:type="spellEnd"/>
      <w:r w:rsidRPr="002F49CA">
        <w:rPr>
          <w:rFonts w:ascii="Times New Roman" w:hAnsi="Times New Roman" w:cs="Times New Roman"/>
          <w:sz w:val="20"/>
          <w:szCs w:val="20"/>
          <w:shd w:val="clear" w:color="auto" w:fill="FFFFFF"/>
          <w:lang w:val="en-US"/>
        </w:rPr>
        <w:t xml:space="preserve"> HK, Wellburn AR (1983) Determinations of total carotenoids and </w:t>
      </w:r>
      <w:proofErr w:type="spellStart"/>
      <w:r w:rsidRPr="002F49CA">
        <w:rPr>
          <w:rFonts w:ascii="Times New Roman" w:hAnsi="Times New Roman" w:cs="Times New Roman"/>
          <w:sz w:val="20"/>
          <w:szCs w:val="20"/>
          <w:shd w:val="clear" w:color="auto" w:fill="FFFFFF"/>
          <w:lang w:val="en-US"/>
        </w:rPr>
        <w:t>chlorophylla</w:t>
      </w:r>
      <w:proofErr w:type="spellEnd"/>
      <w:r w:rsidRPr="002F49CA">
        <w:rPr>
          <w:rFonts w:ascii="Times New Roman" w:hAnsi="Times New Roman" w:cs="Times New Roman"/>
          <w:sz w:val="20"/>
          <w:szCs w:val="20"/>
          <w:shd w:val="clear" w:color="auto" w:fill="FFFFFF"/>
          <w:lang w:val="en-US"/>
        </w:rPr>
        <w:t xml:space="preserve"> and b of leaf extracts in different solvents. Biochemical Society Transactions, 11(5):591-592. </w:t>
      </w:r>
      <w:hyperlink r:id="rId56" w:history="1">
        <w:r w:rsidRPr="002F49CA">
          <w:rPr>
            <w:rStyle w:val="Hyperlink"/>
            <w:rFonts w:ascii="Times New Roman" w:eastAsiaTheme="majorEastAsia" w:hAnsi="Times New Roman" w:cs="Times New Roman"/>
            <w:sz w:val="20"/>
            <w:szCs w:val="20"/>
            <w:shd w:val="clear" w:color="auto" w:fill="FFFFFF"/>
            <w:lang w:val="en-US"/>
          </w:rPr>
          <w:t>https://doi.org/10.1042/bst0110591</w:t>
        </w:r>
      </w:hyperlink>
      <w:r w:rsidRPr="002F49CA">
        <w:rPr>
          <w:rFonts w:ascii="Times New Roman" w:hAnsi="Times New Roman" w:cs="Times New Roman"/>
          <w:sz w:val="20"/>
          <w:szCs w:val="20"/>
          <w:shd w:val="clear" w:color="auto" w:fill="FFFFFF"/>
          <w:lang w:val="en-US"/>
        </w:rPr>
        <w:t xml:space="preserve"> </w:t>
      </w:r>
    </w:p>
    <w:p w14:paraId="05B6EFFA"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Lima DDC, Mendes NVB, </w:t>
      </w:r>
      <w:proofErr w:type="spellStart"/>
      <w:r w:rsidRPr="002F49CA">
        <w:rPr>
          <w:rFonts w:ascii="Times New Roman" w:hAnsi="Times New Roman" w:cs="Times New Roman"/>
          <w:sz w:val="20"/>
          <w:szCs w:val="20"/>
          <w:lang w:val="en-US"/>
        </w:rPr>
        <w:t>Diógenes</w:t>
      </w:r>
      <w:proofErr w:type="spellEnd"/>
      <w:r w:rsidRPr="002F49CA">
        <w:rPr>
          <w:rFonts w:ascii="Times New Roman" w:hAnsi="Times New Roman" w:cs="Times New Roman"/>
          <w:sz w:val="20"/>
          <w:szCs w:val="20"/>
          <w:lang w:val="en-US"/>
        </w:rPr>
        <w:t xml:space="preserve"> MFS, Corrêa MCDM, Natale W, Taniguchi CAK (2021) Initial growth and nutrient accumulation in pitaya plants at different phenological stages. Revista Caatinga, 34:720-727. </w:t>
      </w:r>
      <w:hyperlink r:id="rId57" w:history="1">
        <w:r w:rsidRPr="002F49CA">
          <w:rPr>
            <w:rStyle w:val="Hyperlink"/>
            <w:rFonts w:ascii="Times New Roman" w:eastAsiaTheme="majorEastAsia" w:hAnsi="Times New Roman" w:cs="Times New Roman"/>
            <w:sz w:val="20"/>
            <w:szCs w:val="20"/>
            <w:lang w:val="en-US"/>
          </w:rPr>
          <w:t>https://doi.org/10.1590/1983-21252021v34n324rc</w:t>
        </w:r>
      </w:hyperlink>
      <w:r w:rsidRPr="002F49CA">
        <w:rPr>
          <w:rFonts w:ascii="Times New Roman" w:hAnsi="Times New Roman" w:cs="Times New Roman"/>
          <w:sz w:val="20"/>
          <w:szCs w:val="20"/>
          <w:lang w:val="en-US"/>
        </w:rPr>
        <w:t xml:space="preserve"> </w:t>
      </w:r>
    </w:p>
    <w:p w14:paraId="48467971"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Liu J, Van </w:t>
      </w:r>
      <w:proofErr w:type="spellStart"/>
      <w:r w:rsidRPr="002F49CA">
        <w:rPr>
          <w:rFonts w:ascii="Times New Roman" w:hAnsi="Times New Roman" w:cs="Times New Roman"/>
          <w:sz w:val="20"/>
          <w:szCs w:val="20"/>
          <w:lang w:val="en-US"/>
        </w:rPr>
        <w:t>Iersel</w:t>
      </w:r>
      <w:proofErr w:type="spellEnd"/>
      <w:r w:rsidRPr="002F49CA">
        <w:rPr>
          <w:rFonts w:ascii="Times New Roman" w:hAnsi="Times New Roman" w:cs="Times New Roman"/>
          <w:sz w:val="20"/>
          <w:szCs w:val="20"/>
          <w:lang w:val="en-US"/>
        </w:rPr>
        <w:t xml:space="preserve"> MW (2021) Photosynthetic physiology of blue, green, and red light: Light intensity effects and underlying mechanisms. Frontiers in plant science, 12:619987. </w:t>
      </w:r>
      <w:hyperlink r:id="rId58" w:history="1">
        <w:r w:rsidRPr="002F49CA">
          <w:rPr>
            <w:rStyle w:val="Hyperlink"/>
            <w:rFonts w:ascii="Times New Roman" w:eastAsiaTheme="majorEastAsia" w:hAnsi="Times New Roman" w:cs="Times New Roman"/>
            <w:sz w:val="20"/>
            <w:szCs w:val="20"/>
            <w:lang w:val="en-US"/>
          </w:rPr>
          <w:t>https://doi.org/10.3389/fpls.2021.619987</w:t>
        </w:r>
      </w:hyperlink>
      <w:r w:rsidRPr="002F49CA">
        <w:rPr>
          <w:rFonts w:ascii="Times New Roman" w:hAnsi="Times New Roman" w:cs="Times New Roman"/>
          <w:sz w:val="20"/>
          <w:szCs w:val="20"/>
          <w:lang w:val="en-US"/>
        </w:rPr>
        <w:t xml:space="preserve"> </w:t>
      </w:r>
    </w:p>
    <w:p w14:paraId="6BBFC380"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Luz TCLA, Cardoso LD, Alves RBN, Matsumoto K (2015) Photomorphogenesis by led lighting on potato and Brazilian ginseng for medium-term </w:t>
      </w:r>
      <w:r w:rsidRPr="002F49CA">
        <w:rPr>
          <w:rFonts w:ascii="Times New Roman" w:hAnsi="Times New Roman" w:cs="Times New Roman"/>
          <w:i/>
          <w:iCs/>
          <w:sz w:val="20"/>
          <w:szCs w:val="20"/>
          <w:lang w:val="en-US"/>
        </w:rPr>
        <w:t>in vitro</w:t>
      </w:r>
      <w:r w:rsidRPr="002F49CA">
        <w:rPr>
          <w:rFonts w:ascii="Times New Roman" w:hAnsi="Times New Roman" w:cs="Times New Roman"/>
          <w:sz w:val="20"/>
          <w:szCs w:val="20"/>
          <w:lang w:val="en-US"/>
        </w:rPr>
        <w:t xml:space="preserve"> conservation. Acta </w:t>
      </w:r>
      <w:proofErr w:type="spellStart"/>
      <w:r w:rsidRPr="002F49CA">
        <w:rPr>
          <w:rFonts w:ascii="Times New Roman" w:hAnsi="Times New Roman" w:cs="Times New Roman"/>
          <w:sz w:val="20"/>
          <w:szCs w:val="20"/>
          <w:lang w:val="en-US"/>
        </w:rPr>
        <w:t>Hortic</w:t>
      </w:r>
      <w:proofErr w:type="spellEnd"/>
      <w:r w:rsidRPr="002F49CA">
        <w:rPr>
          <w:rFonts w:ascii="Times New Roman" w:hAnsi="Times New Roman" w:cs="Times New Roman"/>
          <w:sz w:val="20"/>
          <w:szCs w:val="20"/>
          <w:lang w:val="en-US"/>
        </w:rPr>
        <w:t xml:space="preserve"> 1113:513-517. </w:t>
      </w:r>
      <w:hyperlink r:id="rId59" w:history="1">
        <w:r w:rsidRPr="002F49CA">
          <w:rPr>
            <w:rStyle w:val="Hyperlink"/>
            <w:rFonts w:ascii="Times New Roman" w:eastAsiaTheme="majorEastAsia" w:hAnsi="Times New Roman" w:cs="Times New Roman"/>
            <w:sz w:val="20"/>
            <w:szCs w:val="20"/>
            <w:lang w:val="en-US"/>
          </w:rPr>
          <w:t>https://doi.org/10.17660/ActaHortic.2015.1083.67</w:t>
        </w:r>
      </w:hyperlink>
      <w:r w:rsidRPr="002F49CA">
        <w:rPr>
          <w:rFonts w:ascii="Times New Roman" w:hAnsi="Times New Roman" w:cs="Times New Roman"/>
          <w:sz w:val="20"/>
          <w:szCs w:val="20"/>
          <w:lang w:val="en-US"/>
        </w:rPr>
        <w:t xml:space="preserve"> </w:t>
      </w:r>
    </w:p>
    <w:p w14:paraId="65AF6216"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Mani M, Faisal M, Alatar AA, Shekhawat MS (2024) Silicon nanoparticle (s) induced morpho-anatomical traits and improved micropropagation of white fleshed dragon fruit [</w:t>
      </w:r>
      <w:r w:rsidRPr="002F49CA">
        <w:rPr>
          <w:rFonts w:ascii="Times New Roman" w:hAnsi="Times New Roman" w:cs="Times New Roman"/>
          <w:i/>
          <w:iCs/>
          <w:sz w:val="20"/>
          <w:szCs w:val="20"/>
          <w:lang w:val="en-US"/>
        </w:rPr>
        <w:t xml:space="preserve">Selenicereus undatus </w:t>
      </w:r>
      <w:r w:rsidRPr="002F49CA">
        <w:rPr>
          <w:rFonts w:ascii="Times New Roman" w:hAnsi="Times New Roman" w:cs="Times New Roman"/>
          <w:sz w:val="20"/>
          <w:szCs w:val="20"/>
          <w:lang w:val="en-US"/>
        </w:rPr>
        <w:t xml:space="preserve">(Haworth)]. Phosphorus, Sulfur, and Silicon and the Related Elements, 199(7-9):598-606. </w:t>
      </w:r>
      <w:hyperlink r:id="rId60" w:history="1">
        <w:r w:rsidRPr="002F49CA">
          <w:rPr>
            <w:rStyle w:val="Hyperlink"/>
            <w:rFonts w:ascii="Times New Roman" w:eastAsiaTheme="majorEastAsia" w:hAnsi="Times New Roman" w:cs="Times New Roman"/>
            <w:sz w:val="20"/>
            <w:szCs w:val="20"/>
            <w:lang w:val="en-US"/>
          </w:rPr>
          <w:t>https://doi.org/10.1080/10426507.2024.2408774</w:t>
        </w:r>
      </w:hyperlink>
      <w:r w:rsidRPr="002F49CA">
        <w:rPr>
          <w:rFonts w:ascii="Times New Roman" w:hAnsi="Times New Roman" w:cs="Times New Roman"/>
          <w:sz w:val="20"/>
          <w:szCs w:val="20"/>
          <w:lang w:val="en-US"/>
        </w:rPr>
        <w:t xml:space="preserve"> </w:t>
      </w:r>
    </w:p>
    <w:p w14:paraId="4639F8AE"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lastRenderedPageBreak/>
        <w:t xml:space="preserve">Manivannan A, Soundararajan P, Park YG, Jeong BR (2021) Physiological and proteomic insights into red and blue light-mediated enhancement of </w:t>
      </w:r>
      <w:r w:rsidRPr="002F49CA">
        <w:rPr>
          <w:rFonts w:ascii="Times New Roman" w:hAnsi="Times New Roman" w:cs="Times New Roman"/>
          <w:i/>
          <w:iCs/>
          <w:sz w:val="20"/>
          <w:szCs w:val="20"/>
          <w:lang w:val="en-US"/>
        </w:rPr>
        <w:t>in vitro</w:t>
      </w:r>
      <w:r w:rsidRPr="002F49CA">
        <w:rPr>
          <w:rFonts w:ascii="Times New Roman" w:hAnsi="Times New Roman" w:cs="Times New Roman"/>
          <w:sz w:val="20"/>
          <w:szCs w:val="20"/>
          <w:lang w:val="en-US"/>
        </w:rPr>
        <w:t xml:space="preserve"> growth in </w:t>
      </w:r>
      <w:r w:rsidRPr="002F49CA">
        <w:rPr>
          <w:rFonts w:ascii="Times New Roman" w:hAnsi="Times New Roman" w:cs="Times New Roman"/>
          <w:i/>
          <w:iCs/>
          <w:sz w:val="20"/>
          <w:szCs w:val="20"/>
          <w:lang w:val="en-US"/>
        </w:rPr>
        <w:t xml:space="preserve">Scrophularia </w:t>
      </w:r>
      <w:proofErr w:type="spellStart"/>
      <w:r w:rsidRPr="002F49CA">
        <w:rPr>
          <w:rFonts w:ascii="Times New Roman" w:hAnsi="Times New Roman" w:cs="Times New Roman"/>
          <w:i/>
          <w:iCs/>
          <w:sz w:val="20"/>
          <w:szCs w:val="20"/>
          <w:lang w:val="en-US"/>
        </w:rPr>
        <w:t>kakudensis</w:t>
      </w:r>
      <w:proofErr w:type="spellEnd"/>
      <w:r w:rsidRPr="002F49CA">
        <w:rPr>
          <w:rFonts w:ascii="Times New Roman" w:hAnsi="Times New Roman" w:cs="Times New Roman"/>
          <w:sz w:val="20"/>
          <w:szCs w:val="20"/>
          <w:lang w:val="en-US"/>
        </w:rPr>
        <w:t xml:space="preserve">—A potential medicinal plant. Frontiers in plant science, 11:607007. </w:t>
      </w:r>
      <w:hyperlink r:id="rId61" w:history="1">
        <w:r w:rsidRPr="002F49CA">
          <w:rPr>
            <w:rStyle w:val="Hyperlink"/>
            <w:rFonts w:ascii="Times New Roman" w:eastAsiaTheme="majorEastAsia" w:hAnsi="Times New Roman" w:cs="Times New Roman"/>
            <w:sz w:val="20"/>
            <w:szCs w:val="20"/>
            <w:lang w:val="en-US"/>
          </w:rPr>
          <w:t>https://doi.org/10.3389/fpls.2020.607007</w:t>
        </w:r>
      </w:hyperlink>
      <w:r w:rsidRPr="002F49CA">
        <w:rPr>
          <w:rFonts w:ascii="Times New Roman" w:hAnsi="Times New Roman" w:cs="Times New Roman"/>
          <w:sz w:val="20"/>
          <w:szCs w:val="20"/>
          <w:lang w:val="en-US"/>
        </w:rPr>
        <w:t xml:space="preserve"> </w:t>
      </w:r>
    </w:p>
    <w:p w14:paraId="36363E52"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Murashige T, Skoog F (1962) A revised medium for rapid growth and bio assays with tobacco tissue cultures. </w:t>
      </w:r>
      <w:proofErr w:type="spellStart"/>
      <w:r w:rsidRPr="002F49CA">
        <w:rPr>
          <w:rFonts w:ascii="Times New Roman" w:hAnsi="Times New Roman" w:cs="Times New Roman"/>
          <w:sz w:val="20"/>
          <w:szCs w:val="20"/>
          <w:lang w:val="en-US"/>
        </w:rPr>
        <w:t>Physiologia</w:t>
      </w:r>
      <w:proofErr w:type="spellEnd"/>
      <w:r w:rsidRPr="002F49CA">
        <w:rPr>
          <w:rFonts w:ascii="Times New Roman" w:hAnsi="Times New Roman" w:cs="Times New Roman"/>
          <w:sz w:val="20"/>
          <w:szCs w:val="20"/>
          <w:lang w:val="en-US"/>
        </w:rPr>
        <w:t xml:space="preserve"> plantarum, 15(3), 473-497. </w:t>
      </w:r>
      <w:hyperlink r:id="rId62" w:history="1">
        <w:r w:rsidRPr="002F49CA">
          <w:rPr>
            <w:rStyle w:val="Hyperlink"/>
            <w:rFonts w:ascii="Times New Roman" w:eastAsiaTheme="majorEastAsia" w:hAnsi="Times New Roman" w:cs="Times New Roman"/>
            <w:sz w:val="20"/>
            <w:szCs w:val="20"/>
            <w:lang w:val="en-US"/>
          </w:rPr>
          <w:t>https://doi.org/10.1111/j.1399-3054.1962.tb08052.x</w:t>
        </w:r>
      </w:hyperlink>
      <w:r w:rsidRPr="002F49CA">
        <w:rPr>
          <w:rFonts w:ascii="Times New Roman" w:hAnsi="Times New Roman" w:cs="Times New Roman"/>
          <w:sz w:val="20"/>
          <w:szCs w:val="20"/>
          <w:lang w:val="en-US"/>
        </w:rPr>
        <w:t xml:space="preserve"> </w:t>
      </w:r>
    </w:p>
    <w:p w14:paraId="0962DEDE"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Nadeem M, Abbasi BH, Younas M, Ahmad W, Zahir A, Hano C (2019) LED-enhanced biosynthesis of biologically active ingredients in callus cultures of </w:t>
      </w:r>
      <w:r w:rsidRPr="002F49CA">
        <w:rPr>
          <w:rFonts w:ascii="Times New Roman" w:hAnsi="Times New Roman" w:cs="Times New Roman"/>
          <w:i/>
          <w:iCs/>
          <w:sz w:val="20"/>
          <w:szCs w:val="20"/>
          <w:lang w:val="en-US"/>
        </w:rPr>
        <w:t xml:space="preserve">Ocimum </w:t>
      </w:r>
      <w:proofErr w:type="spellStart"/>
      <w:r w:rsidRPr="002F49CA">
        <w:rPr>
          <w:rFonts w:ascii="Times New Roman" w:hAnsi="Times New Roman" w:cs="Times New Roman"/>
          <w:i/>
          <w:iCs/>
          <w:sz w:val="20"/>
          <w:szCs w:val="20"/>
          <w:lang w:val="en-US"/>
        </w:rPr>
        <w:t>basilicum</w:t>
      </w:r>
      <w:proofErr w:type="spellEnd"/>
      <w:r w:rsidRPr="002F49CA">
        <w:rPr>
          <w:rFonts w:ascii="Times New Roman" w:hAnsi="Times New Roman" w:cs="Times New Roman"/>
          <w:sz w:val="20"/>
          <w:szCs w:val="20"/>
          <w:lang w:val="en-US"/>
        </w:rPr>
        <w:t xml:space="preserve">. Journal of Photochemistry and Photobiology B: Biology, 190:172-178. </w:t>
      </w:r>
      <w:hyperlink r:id="rId63" w:history="1">
        <w:r w:rsidRPr="002F49CA">
          <w:rPr>
            <w:rStyle w:val="Hyperlink"/>
            <w:rFonts w:ascii="Times New Roman" w:eastAsiaTheme="majorEastAsia" w:hAnsi="Times New Roman" w:cs="Times New Roman"/>
            <w:sz w:val="20"/>
            <w:szCs w:val="20"/>
            <w:lang w:val="en-US"/>
          </w:rPr>
          <w:t>https://doi.org/10.1016/j.jphotobiol.2018.09.011</w:t>
        </w:r>
      </w:hyperlink>
      <w:r w:rsidRPr="002F49CA">
        <w:rPr>
          <w:rFonts w:ascii="Times New Roman" w:hAnsi="Times New Roman" w:cs="Times New Roman"/>
          <w:sz w:val="20"/>
          <w:szCs w:val="20"/>
          <w:lang w:val="en-US"/>
        </w:rPr>
        <w:t xml:space="preserve"> </w:t>
      </w:r>
    </w:p>
    <w:p w14:paraId="4BEA257F" w14:textId="77777777" w:rsidR="00142BBE" w:rsidRPr="002F49CA" w:rsidRDefault="00142BBE" w:rsidP="00142BBE">
      <w:pPr>
        <w:jc w:val="both"/>
        <w:rPr>
          <w:rFonts w:ascii="Times New Roman" w:hAnsi="Times New Roman" w:cs="Times New Roman"/>
          <w:sz w:val="20"/>
          <w:szCs w:val="20"/>
          <w:lang w:val="en-US"/>
        </w:rPr>
      </w:pPr>
      <w:proofErr w:type="spellStart"/>
      <w:r w:rsidRPr="002F49CA">
        <w:rPr>
          <w:rFonts w:ascii="Times New Roman" w:hAnsi="Times New Roman" w:cs="Times New Roman"/>
          <w:sz w:val="20"/>
          <w:szCs w:val="20"/>
          <w:lang w:val="en-US"/>
        </w:rPr>
        <w:t>Nganko</w:t>
      </w:r>
      <w:proofErr w:type="spellEnd"/>
      <w:r w:rsidRPr="002F49CA">
        <w:rPr>
          <w:rFonts w:ascii="Times New Roman" w:hAnsi="Times New Roman" w:cs="Times New Roman"/>
          <w:sz w:val="20"/>
          <w:szCs w:val="20"/>
          <w:lang w:val="en-US"/>
        </w:rPr>
        <w:t xml:space="preserve"> JM, Koffi EPM, Kane M, </w:t>
      </w:r>
      <w:proofErr w:type="spellStart"/>
      <w:r w:rsidRPr="002F49CA">
        <w:rPr>
          <w:rFonts w:ascii="Times New Roman" w:hAnsi="Times New Roman" w:cs="Times New Roman"/>
          <w:sz w:val="20"/>
          <w:szCs w:val="20"/>
          <w:lang w:val="en-US"/>
        </w:rPr>
        <w:t>Gbaha</w:t>
      </w:r>
      <w:proofErr w:type="spellEnd"/>
      <w:r w:rsidRPr="002F49CA">
        <w:rPr>
          <w:rFonts w:ascii="Times New Roman" w:hAnsi="Times New Roman" w:cs="Times New Roman"/>
          <w:sz w:val="20"/>
          <w:szCs w:val="20"/>
          <w:lang w:val="en-US"/>
        </w:rPr>
        <w:t xml:space="preserve"> P, Yao KB (2024) Application of principal component analysis (PCA) to the study of the influence of the thermochemical treatment process of tropical wood sawdust on the calorific, mechanical, physicochemical and combustion properties of the resulting fuel briquettes. Biofuels, 15(10):1281-1294. </w:t>
      </w:r>
      <w:hyperlink r:id="rId64" w:history="1">
        <w:r w:rsidRPr="002F49CA">
          <w:rPr>
            <w:rStyle w:val="Hyperlink"/>
            <w:rFonts w:ascii="Times New Roman" w:eastAsiaTheme="majorEastAsia" w:hAnsi="Times New Roman" w:cs="Times New Roman"/>
            <w:sz w:val="20"/>
            <w:szCs w:val="20"/>
            <w:lang w:val="en-US"/>
          </w:rPr>
          <w:t>https://doi.org/10.1080/17597269.2024.2361981</w:t>
        </w:r>
      </w:hyperlink>
      <w:r w:rsidRPr="002F49CA">
        <w:rPr>
          <w:rFonts w:ascii="Times New Roman" w:hAnsi="Times New Roman" w:cs="Times New Roman"/>
          <w:sz w:val="20"/>
          <w:szCs w:val="20"/>
          <w:lang w:val="en-US"/>
        </w:rPr>
        <w:t xml:space="preserve"> </w:t>
      </w:r>
    </w:p>
    <w:p w14:paraId="4343FEC7"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Nhut DT, Takamura T, Watanabe H, Okamoto K, Tanaka M (2003) Responses of strawberry plantlets cultured </w:t>
      </w:r>
      <w:r w:rsidRPr="002F49CA">
        <w:rPr>
          <w:rFonts w:ascii="Times New Roman" w:hAnsi="Times New Roman" w:cs="Times New Roman"/>
          <w:i/>
          <w:iCs/>
          <w:sz w:val="20"/>
          <w:szCs w:val="20"/>
          <w:lang w:val="en-US"/>
        </w:rPr>
        <w:t>in vitro</w:t>
      </w:r>
      <w:r w:rsidRPr="002F49CA">
        <w:rPr>
          <w:rFonts w:ascii="Times New Roman" w:hAnsi="Times New Roman" w:cs="Times New Roman"/>
          <w:sz w:val="20"/>
          <w:szCs w:val="20"/>
          <w:lang w:val="en-US"/>
        </w:rPr>
        <w:t xml:space="preserve"> under superbright red and blue light-emitting diodes (LEDs). Plant Cell Tissue Organ Cult 73:43–52. </w:t>
      </w:r>
      <w:hyperlink r:id="rId65" w:history="1">
        <w:r w:rsidRPr="002F49CA">
          <w:rPr>
            <w:rStyle w:val="Hyperlink"/>
            <w:rFonts w:ascii="Times New Roman" w:eastAsiaTheme="majorEastAsia" w:hAnsi="Times New Roman" w:cs="Times New Roman"/>
            <w:sz w:val="20"/>
            <w:szCs w:val="20"/>
            <w:lang w:val="en-US"/>
          </w:rPr>
          <w:t>https://doi.org/10.1023/A:1022638508007</w:t>
        </w:r>
      </w:hyperlink>
      <w:r w:rsidRPr="002F49CA">
        <w:rPr>
          <w:rFonts w:ascii="Times New Roman" w:hAnsi="Times New Roman" w:cs="Times New Roman"/>
          <w:sz w:val="20"/>
          <w:szCs w:val="20"/>
          <w:lang w:val="en-US"/>
        </w:rPr>
        <w:t xml:space="preserve"> </w:t>
      </w:r>
    </w:p>
    <w:p w14:paraId="55224717" w14:textId="77777777" w:rsidR="00142BBE" w:rsidRPr="002F49CA" w:rsidRDefault="00142BBE" w:rsidP="00142BBE">
      <w:pPr>
        <w:jc w:val="both"/>
        <w:rPr>
          <w:rFonts w:ascii="Times New Roman" w:hAnsi="Times New Roman" w:cs="Times New Roman"/>
          <w:sz w:val="20"/>
          <w:szCs w:val="20"/>
          <w:lang w:val="en-US"/>
        </w:rPr>
      </w:pPr>
      <w:proofErr w:type="spellStart"/>
      <w:r w:rsidRPr="002F49CA">
        <w:rPr>
          <w:rFonts w:ascii="Times New Roman" w:hAnsi="Times New Roman" w:cs="Times New Roman"/>
          <w:sz w:val="20"/>
          <w:szCs w:val="20"/>
          <w:lang w:val="en-US"/>
        </w:rPr>
        <w:t>Nikalje</w:t>
      </w:r>
      <w:proofErr w:type="spellEnd"/>
      <w:r w:rsidRPr="002F49CA">
        <w:rPr>
          <w:rFonts w:ascii="Times New Roman" w:hAnsi="Times New Roman" w:cs="Times New Roman"/>
          <w:sz w:val="20"/>
          <w:szCs w:val="20"/>
          <w:lang w:val="en-US"/>
        </w:rPr>
        <w:t xml:space="preserve"> GC, Suprasanna P (2018) Coping with metal toxicity–cues from halophytes. Frontiers in Plant Science, 9:777. </w:t>
      </w:r>
      <w:hyperlink r:id="rId66" w:history="1">
        <w:r w:rsidRPr="002F49CA">
          <w:rPr>
            <w:rStyle w:val="Hyperlink"/>
            <w:rFonts w:ascii="Times New Roman" w:eastAsiaTheme="majorEastAsia" w:hAnsi="Times New Roman" w:cs="Times New Roman"/>
            <w:sz w:val="20"/>
            <w:szCs w:val="20"/>
            <w:lang w:val="en-US"/>
          </w:rPr>
          <w:t>https://doi.org/10.3389/fpls.2018.00777</w:t>
        </w:r>
      </w:hyperlink>
      <w:r w:rsidRPr="002F49CA">
        <w:rPr>
          <w:rFonts w:ascii="Times New Roman" w:hAnsi="Times New Roman" w:cs="Times New Roman"/>
          <w:sz w:val="20"/>
          <w:szCs w:val="20"/>
          <w:lang w:val="en-US"/>
        </w:rPr>
        <w:t xml:space="preserve"> </w:t>
      </w:r>
    </w:p>
    <w:p w14:paraId="1F0E20A3"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Ning X, Lin M, Huang G, Mao J, Gao Z, Wang X (2023) Research progress on iron absorption, transport, and molecular regulation strategy in plants. Frontiers in plant science, 14:1190768. </w:t>
      </w:r>
      <w:hyperlink r:id="rId67" w:history="1">
        <w:r w:rsidRPr="002F49CA">
          <w:rPr>
            <w:rStyle w:val="Hyperlink"/>
            <w:rFonts w:ascii="Times New Roman" w:eastAsiaTheme="majorEastAsia" w:hAnsi="Times New Roman" w:cs="Times New Roman"/>
            <w:sz w:val="20"/>
            <w:szCs w:val="20"/>
            <w:lang w:val="en-US"/>
          </w:rPr>
          <w:t>https://doi.org/10.3389/fpls.2023.1190768</w:t>
        </w:r>
      </w:hyperlink>
      <w:r w:rsidRPr="002F49CA">
        <w:rPr>
          <w:rFonts w:ascii="Times New Roman" w:hAnsi="Times New Roman" w:cs="Times New Roman"/>
          <w:sz w:val="20"/>
          <w:szCs w:val="20"/>
          <w:lang w:val="en-US"/>
        </w:rPr>
        <w:t xml:space="preserve"> </w:t>
      </w:r>
    </w:p>
    <w:p w14:paraId="2DFACB5B" w14:textId="77777777" w:rsidR="00142BBE" w:rsidRPr="002F49CA" w:rsidRDefault="00142BBE" w:rsidP="00142BBE">
      <w:pPr>
        <w:jc w:val="both"/>
        <w:rPr>
          <w:rFonts w:ascii="Times New Roman" w:hAnsi="Times New Roman" w:cs="Times New Roman"/>
          <w:sz w:val="20"/>
          <w:szCs w:val="20"/>
          <w:lang w:val="en-US"/>
        </w:rPr>
      </w:pPr>
      <w:proofErr w:type="spellStart"/>
      <w:r w:rsidRPr="002F49CA">
        <w:rPr>
          <w:rFonts w:ascii="Times New Roman" w:hAnsi="Times New Roman" w:cs="Times New Roman"/>
          <w:sz w:val="20"/>
          <w:szCs w:val="20"/>
          <w:lang w:val="en-US"/>
        </w:rPr>
        <w:t>Nishikito</w:t>
      </w:r>
      <w:proofErr w:type="spellEnd"/>
      <w:r w:rsidRPr="002F49CA">
        <w:rPr>
          <w:rFonts w:ascii="Times New Roman" w:hAnsi="Times New Roman" w:cs="Times New Roman"/>
          <w:sz w:val="20"/>
          <w:szCs w:val="20"/>
          <w:lang w:val="en-US"/>
        </w:rPr>
        <w:t xml:space="preserve"> DF, Borges ACA, Laurindo LF, </w:t>
      </w:r>
      <w:proofErr w:type="spellStart"/>
      <w:r w:rsidRPr="002F49CA">
        <w:rPr>
          <w:rFonts w:ascii="Times New Roman" w:hAnsi="Times New Roman" w:cs="Times New Roman"/>
          <w:sz w:val="20"/>
          <w:szCs w:val="20"/>
          <w:lang w:val="en-US"/>
        </w:rPr>
        <w:t>Otoboni</w:t>
      </w:r>
      <w:proofErr w:type="spellEnd"/>
      <w:r w:rsidRPr="002F49CA">
        <w:rPr>
          <w:rFonts w:ascii="Times New Roman" w:hAnsi="Times New Roman" w:cs="Times New Roman"/>
          <w:sz w:val="20"/>
          <w:szCs w:val="20"/>
          <w:lang w:val="en-US"/>
        </w:rPr>
        <w:t xml:space="preserve"> AMB, </w:t>
      </w:r>
      <w:proofErr w:type="spellStart"/>
      <w:r w:rsidRPr="002F49CA">
        <w:rPr>
          <w:rFonts w:ascii="Times New Roman" w:hAnsi="Times New Roman" w:cs="Times New Roman"/>
          <w:sz w:val="20"/>
          <w:szCs w:val="20"/>
          <w:lang w:val="en-US"/>
        </w:rPr>
        <w:t>Direito</w:t>
      </w:r>
      <w:proofErr w:type="spellEnd"/>
      <w:r w:rsidRPr="002F49CA">
        <w:rPr>
          <w:rFonts w:ascii="Times New Roman" w:hAnsi="Times New Roman" w:cs="Times New Roman"/>
          <w:sz w:val="20"/>
          <w:szCs w:val="20"/>
          <w:lang w:val="en-US"/>
        </w:rPr>
        <w:t xml:space="preserve"> R, Goulart RDA et al (2023) Anti-inflammatory, antioxidant, and other health effects of dragon fruit and potential delivery systems for its bioactive compounds. Pharmaceutics, 15(1):159. </w:t>
      </w:r>
      <w:hyperlink r:id="rId68" w:history="1">
        <w:r w:rsidRPr="002F49CA">
          <w:rPr>
            <w:rStyle w:val="Hyperlink"/>
            <w:rFonts w:ascii="Times New Roman" w:eastAsiaTheme="majorEastAsia" w:hAnsi="Times New Roman" w:cs="Times New Roman"/>
            <w:sz w:val="20"/>
            <w:szCs w:val="20"/>
            <w:lang w:val="en-US"/>
          </w:rPr>
          <w:t>https://doi.org/10.3390/pharmaceutics15010159</w:t>
        </w:r>
      </w:hyperlink>
      <w:r w:rsidRPr="002F49CA">
        <w:rPr>
          <w:rFonts w:ascii="Times New Roman" w:hAnsi="Times New Roman" w:cs="Times New Roman"/>
          <w:sz w:val="20"/>
          <w:szCs w:val="20"/>
          <w:lang w:val="en-US"/>
        </w:rPr>
        <w:t xml:space="preserve"> </w:t>
      </w:r>
    </w:p>
    <w:p w14:paraId="18973CE3"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Oo KT, Lynn ZM, Oo KZ, Htwe MY, Htet WT, Soe WW, Tun W (2023) </w:t>
      </w:r>
      <w:r w:rsidRPr="002F49CA">
        <w:rPr>
          <w:rFonts w:ascii="Times New Roman" w:hAnsi="Times New Roman" w:cs="Times New Roman"/>
          <w:i/>
          <w:iCs/>
          <w:sz w:val="20"/>
          <w:szCs w:val="20"/>
          <w:lang w:val="en-US"/>
        </w:rPr>
        <w:t>In vitro</w:t>
      </w:r>
      <w:r w:rsidRPr="002F49CA">
        <w:rPr>
          <w:rFonts w:ascii="Times New Roman" w:hAnsi="Times New Roman" w:cs="Times New Roman"/>
          <w:sz w:val="20"/>
          <w:szCs w:val="20"/>
          <w:lang w:val="en-US"/>
        </w:rPr>
        <w:t xml:space="preserve"> Propagation of Three Pitaya Varieties (</w:t>
      </w:r>
      <w:r w:rsidRPr="002F49CA">
        <w:rPr>
          <w:rFonts w:ascii="Times New Roman" w:hAnsi="Times New Roman" w:cs="Times New Roman"/>
          <w:i/>
          <w:iCs/>
          <w:sz w:val="20"/>
          <w:szCs w:val="20"/>
          <w:lang w:val="en-US"/>
        </w:rPr>
        <w:t>Hylocereus undatus</w:t>
      </w:r>
      <w:r w:rsidRPr="002F49CA">
        <w:rPr>
          <w:rFonts w:ascii="Times New Roman" w:hAnsi="Times New Roman" w:cs="Times New Roman"/>
          <w:sz w:val="20"/>
          <w:szCs w:val="20"/>
          <w:lang w:val="en-US"/>
        </w:rPr>
        <w:t xml:space="preserve">, </w:t>
      </w:r>
      <w:r w:rsidRPr="002F49CA">
        <w:rPr>
          <w:rFonts w:ascii="Times New Roman" w:hAnsi="Times New Roman" w:cs="Times New Roman"/>
          <w:i/>
          <w:iCs/>
          <w:sz w:val="20"/>
          <w:szCs w:val="20"/>
          <w:lang w:val="en-US"/>
        </w:rPr>
        <w:t xml:space="preserve">Hylocereus </w:t>
      </w:r>
      <w:proofErr w:type="spellStart"/>
      <w:r w:rsidRPr="002F49CA">
        <w:rPr>
          <w:rFonts w:ascii="Times New Roman" w:hAnsi="Times New Roman" w:cs="Times New Roman"/>
          <w:i/>
          <w:iCs/>
          <w:sz w:val="20"/>
          <w:szCs w:val="20"/>
          <w:lang w:val="en-US"/>
        </w:rPr>
        <w:t>polyrhizus</w:t>
      </w:r>
      <w:proofErr w:type="spellEnd"/>
      <w:r w:rsidRPr="002F49CA">
        <w:rPr>
          <w:rFonts w:ascii="Times New Roman" w:hAnsi="Times New Roman" w:cs="Times New Roman"/>
          <w:sz w:val="20"/>
          <w:szCs w:val="20"/>
          <w:lang w:val="en-US"/>
        </w:rPr>
        <w:t xml:space="preserve"> and </w:t>
      </w:r>
      <w:r w:rsidRPr="002F49CA">
        <w:rPr>
          <w:rFonts w:ascii="Times New Roman" w:hAnsi="Times New Roman" w:cs="Times New Roman"/>
          <w:i/>
          <w:iCs/>
          <w:sz w:val="20"/>
          <w:szCs w:val="20"/>
          <w:lang w:val="en-US"/>
        </w:rPr>
        <w:t xml:space="preserve">Hylocereus </w:t>
      </w:r>
      <w:proofErr w:type="spellStart"/>
      <w:r w:rsidRPr="002F49CA">
        <w:rPr>
          <w:rFonts w:ascii="Times New Roman" w:hAnsi="Times New Roman" w:cs="Times New Roman"/>
          <w:i/>
          <w:iCs/>
          <w:sz w:val="20"/>
          <w:szCs w:val="20"/>
          <w:lang w:val="en-US"/>
        </w:rPr>
        <w:t>megalanthus</w:t>
      </w:r>
      <w:proofErr w:type="spellEnd"/>
      <w:r w:rsidRPr="002F49CA">
        <w:rPr>
          <w:rFonts w:ascii="Times New Roman" w:hAnsi="Times New Roman" w:cs="Times New Roman"/>
          <w:sz w:val="20"/>
          <w:szCs w:val="20"/>
          <w:lang w:val="en-US"/>
        </w:rPr>
        <w:t xml:space="preserve">) with the Use of Different BAP Concentrations. Journal of Scientific and Innovative Research, 12(2):33-39. </w:t>
      </w:r>
    </w:p>
    <w:p w14:paraId="2388CFCB"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Paradiso R, Proietti S (2022) Light-quality manipulation to control plant growth and photomorphogenesis in greenhouse horticulture: The state of the art and the opportunities of modern LED systems. Journal of Plant Growth Regulation, 41(2):742-780. </w:t>
      </w:r>
      <w:hyperlink r:id="rId69" w:history="1">
        <w:r w:rsidRPr="002F49CA">
          <w:rPr>
            <w:rStyle w:val="Hyperlink"/>
            <w:rFonts w:ascii="Times New Roman" w:eastAsiaTheme="majorEastAsia" w:hAnsi="Times New Roman" w:cs="Times New Roman"/>
            <w:sz w:val="20"/>
            <w:szCs w:val="20"/>
            <w:lang w:val="en-US"/>
          </w:rPr>
          <w:t>https://doi.org/10.1007/s00344-021-10337-y</w:t>
        </w:r>
      </w:hyperlink>
      <w:r w:rsidRPr="002F49CA">
        <w:rPr>
          <w:rFonts w:ascii="Times New Roman" w:hAnsi="Times New Roman" w:cs="Times New Roman"/>
          <w:sz w:val="20"/>
          <w:szCs w:val="20"/>
          <w:lang w:val="en-US"/>
        </w:rPr>
        <w:t xml:space="preserve"> </w:t>
      </w:r>
    </w:p>
    <w:p w14:paraId="3DFAE84E" w14:textId="77777777" w:rsidR="00142BBE" w:rsidRPr="002F49CA" w:rsidRDefault="00142BBE" w:rsidP="00142BBE">
      <w:pPr>
        <w:jc w:val="both"/>
        <w:rPr>
          <w:rFonts w:ascii="Times New Roman" w:hAnsi="Times New Roman" w:cs="Times New Roman"/>
          <w:sz w:val="20"/>
          <w:szCs w:val="20"/>
          <w:lang w:val="en-US"/>
        </w:rPr>
      </w:pPr>
      <w:proofErr w:type="spellStart"/>
      <w:r w:rsidRPr="002F49CA">
        <w:rPr>
          <w:rFonts w:ascii="Times New Roman" w:hAnsi="Times New Roman" w:cs="Times New Roman"/>
          <w:sz w:val="20"/>
          <w:szCs w:val="20"/>
          <w:lang w:val="en-US"/>
        </w:rPr>
        <w:t>Paśko</w:t>
      </w:r>
      <w:proofErr w:type="spellEnd"/>
      <w:r w:rsidRPr="002F49CA">
        <w:rPr>
          <w:rFonts w:ascii="Times New Roman" w:hAnsi="Times New Roman" w:cs="Times New Roman"/>
          <w:sz w:val="20"/>
          <w:szCs w:val="20"/>
          <w:lang w:val="en-US"/>
        </w:rPr>
        <w:t xml:space="preserve"> P, Galanty A, </w:t>
      </w:r>
      <w:proofErr w:type="spellStart"/>
      <w:r w:rsidRPr="002F49CA">
        <w:rPr>
          <w:rFonts w:ascii="Times New Roman" w:hAnsi="Times New Roman" w:cs="Times New Roman"/>
          <w:sz w:val="20"/>
          <w:szCs w:val="20"/>
          <w:lang w:val="en-US"/>
        </w:rPr>
        <w:t>Zagrodzki</w:t>
      </w:r>
      <w:proofErr w:type="spellEnd"/>
      <w:r w:rsidRPr="002F49CA">
        <w:rPr>
          <w:rFonts w:ascii="Times New Roman" w:hAnsi="Times New Roman" w:cs="Times New Roman"/>
          <w:sz w:val="20"/>
          <w:szCs w:val="20"/>
          <w:lang w:val="en-US"/>
        </w:rPr>
        <w:t xml:space="preserve"> P, </w:t>
      </w:r>
      <w:proofErr w:type="spellStart"/>
      <w:r w:rsidRPr="002F49CA">
        <w:rPr>
          <w:rFonts w:ascii="Times New Roman" w:hAnsi="Times New Roman" w:cs="Times New Roman"/>
          <w:sz w:val="20"/>
          <w:szCs w:val="20"/>
          <w:lang w:val="en-US"/>
        </w:rPr>
        <w:t>Luksirikul</w:t>
      </w:r>
      <w:proofErr w:type="spellEnd"/>
      <w:r w:rsidRPr="002F49CA">
        <w:rPr>
          <w:rFonts w:ascii="Times New Roman" w:hAnsi="Times New Roman" w:cs="Times New Roman"/>
          <w:sz w:val="20"/>
          <w:szCs w:val="20"/>
          <w:lang w:val="en-US"/>
        </w:rPr>
        <w:t xml:space="preserve"> P, Barasch D, </w:t>
      </w:r>
      <w:proofErr w:type="spellStart"/>
      <w:r w:rsidRPr="002F49CA">
        <w:rPr>
          <w:rFonts w:ascii="Times New Roman" w:hAnsi="Times New Roman" w:cs="Times New Roman"/>
          <w:sz w:val="20"/>
          <w:szCs w:val="20"/>
          <w:lang w:val="en-US"/>
        </w:rPr>
        <w:t>Nemirovski</w:t>
      </w:r>
      <w:proofErr w:type="spellEnd"/>
      <w:r w:rsidRPr="002F49CA">
        <w:rPr>
          <w:rFonts w:ascii="Times New Roman" w:hAnsi="Times New Roman" w:cs="Times New Roman"/>
          <w:sz w:val="20"/>
          <w:szCs w:val="20"/>
          <w:lang w:val="en-US"/>
        </w:rPr>
        <w:t xml:space="preserve"> A, </w:t>
      </w:r>
      <w:proofErr w:type="spellStart"/>
      <w:r w:rsidRPr="002F49CA">
        <w:rPr>
          <w:rFonts w:ascii="Times New Roman" w:hAnsi="Times New Roman" w:cs="Times New Roman"/>
          <w:sz w:val="20"/>
          <w:szCs w:val="20"/>
          <w:lang w:val="en-US"/>
        </w:rPr>
        <w:t>Gorinstein</w:t>
      </w:r>
      <w:proofErr w:type="spellEnd"/>
      <w:r w:rsidRPr="002F49CA">
        <w:rPr>
          <w:rFonts w:ascii="Times New Roman" w:hAnsi="Times New Roman" w:cs="Times New Roman"/>
          <w:sz w:val="20"/>
          <w:szCs w:val="20"/>
          <w:lang w:val="en-US"/>
        </w:rPr>
        <w:t xml:space="preserve"> S (2021) Dragon fruits as a reservoir of natural polyphenolics with </w:t>
      </w:r>
      <w:proofErr w:type="spellStart"/>
      <w:r w:rsidRPr="002F49CA">
        <w:rPr>
          <w:rFonts w:ascii="Times New Roman" w:hAnsi="Times New Roman" w:cs="Times New Roman"/>
          <w:sz w:val="20"/>
          <w:szCs w:val="20"/>
          <w:lang w:val="en-US"/>
        </w:rPr>
        <w:t>chemopreventive</w:t>
      </w:r>
      <w:proofErr w:type="spellEnd"/>
      <w:r w:rsidRPr="002F49CA">
        <w:rPr>
          <w:rFonts w:ascii="Times New Roman" w:hAnsi="Times New Roman" w:cs="Times New Roman"/>
          <w:sz w:val="20"/>
          <w:szCs w:val="20"/>
          <w:lang w:val="en-US"/>
        </w:rPr>
        <w:t xml:space="preserve"> properties. Molecules, 26(8):2158. </w:t>
      </w:r>
      <w:hyperlink r:id="rId70" w:history="1">
        <w:r w:rsidRPr="002F49CA">
          <w:rPr>
            <w:rStyle w:val="Hyperlink"/>
            <w:rFonts w:ascii="Times New Roman" w:eastAsiaTheme="majorEastAsia" w:hAnsi="Times New Roman" w:cs="Times New Roman"/>
            <w:sz w:val="20"/>
            <w:szCs w:val="20"/>
            <w:lang w:val="en-US"/>
          </w:rPr>
          <w:t>https://doi.org/10.3390/molecules26082158</w:t>
        </w:r>
      </w:hyperlink>
    </w:p>
    <w:p w14:paraId="1374C00B" w14:textId="33CBDAE6" w:rsidR="00142BBE" w:rsidRPr="00C369A1"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 </w:t>
      </w:r>
      <w:proofErr w:type="spellStart"/>
      <w:r w:rsidRPr="002F49CA">
        <w:rPr>
          <w:rFonts w:ascii="Times New Roman" w:hAnsi="Times New Roman" w:cs="Times New Roman"/>
          <w:sz w:val="20"/>
          <w:szCs w:val="20"/>
          <w:lang w:val="en-US"/>
        </w:rPr>
        <w:t>Pauls</w:t>
      </w:r>
      <w:proofErr w:type="spellEnd"/>
      <w:r w:rsidRPr="002F49CA">
        <w:rPr>
          <w:rFonts w:ascii="Times New Roman" w:hAnsi="Times New Roman" w:cs="Times New Roman"/>
          <w:sz w:val="20"/>
          <w:szCs w:val="20"/>
          <w:lang w:val="en-US"/>
        </w:rPr>
        <w:t xml:space="preserve"> B, </w:t>
      </w:r>
      <w:proofErr w:type="spellStart"/>
      <w:r w:rsidRPr="002F49CA">
        <w:rPr>
          <w:rFonts w:ascii="Times New Roman" w:hAnsi="Times New Roman" w:cs="Times New Roman"/>
          <w:sz w:val="20"/>
          <w:szCs w:val="20"/>
          <w:lang w:val="en-US"/>
        </w:rPr>
        <w:t>Lautenschläger</w:t>
      </w:r>
      <w:proofErr w:type="spellEnd"/>
      <w:r w:rsidRPr="002F49CA">
        <w:rPr>
          <w:rFonts w:ascii="Times New Roman" w:hAnsi="Times New Roman" w:cs="Times New Roman"/>
          <w:sz w:val="20"/>
          <w:szCs w:val="20"/>
          <w:lang w:val="en-US"/>
        </w:rPr>
        <w:t xml:space="preserve"> T, </w:t>
      </w:r>
      <w:proofErr w:type="spellStart"/>
      <w:r w:rsidRPr="002F49CA">
        <w:rPr>
          <w:rFonts w:ascii="Times New Roman" w:hAnsi="Times New Roman" w:cs="Times New Roman"/>
          <w:sz w:val="20"/>
          <w:szCs w:val="20"/>
          <w:lang w:val="en-US"/>
        </w:rPr>
        <w:t>Neinhuis</w:t>
      </w:r>
      <w:proofErr w:type="spellEnd"/>
      <w:r w:rsidRPr="002F49CA">
        <w:rPr>
          <w:rFonts w:ascii="Times New Roman" w:hAnsi="Times New Roman" w:cs="Times New Roman"/>
          <w:sz w:val="20"/>
          <w:szCs w:val="20"/>
          <w:lang w:val="en-US"/>
        </w:rPr>
        <w:t xml:space="preserve"> C (2023) Anatomical and Biomechanical Properties of the Junction between Stem and Aerial Roots of </w:t>
      </w:r>
      <w:r w:rsidRPr="002F49CA">
        <w:rPr>
          <w:rFonts w:ascii="Times New Roman" w:hAnsi="Times New Roman" w:cs="Times New Roman"/>
          <w:i/>
          <w:iCs/>
          <w:sz w:val="20"/>
          <w:szCs w:val="20"/>
          <w:lang w:val="en-US"/>
        </w:rPr>
        <w:t>Selenicereus undatus</w:t>
      </w:r>
      <w:r w:rsidRPr="002F49CA">
        <w:rPr>
          <w:rFonts w:ascii="Times New Roman" w:hAnsi="Times New Roman" w:cs="Times New Roman"/>
          <w:sz w:val="20"/>
          <w:szCs w:val="20"/>
          <w:lang w:val="en-US"/>
        </w:rPr>
        <w:t>. </w:t>
      </w:r>
      <w:r w:rsidRPr="002F49CA">
        <w:rPr>
          <w:rFonts w:ascii="Times New Roman" w:hAnsi="Times New Roman" w:cs="Times New Roman"/>
          <w:sz w:val="20"/>
          <w:szCs w:val="20"/>
          <w:lang w:val="fr-FR"/>
        </w:rPr>
        <w:t xml:space="preserve">Plants, 12(13) :2544. </w:t>
      </w:r>
      <w:hyperlink r:id="rId71" w:history="1">
        <w:r w:rsidRPr="002F49CA">
          <w:rPr>
            <w:rStyle w:val="Hyperlink"/>
            <w:rFonts w:ascii="Times New Roman" w:eastAsiaTheme="majorEastAsia" w:hAnsi="Times New Roman" w:cs="Times New Roman"/>
            <w:sz w:val="20"/>
            <w:szCs w:val="20"/>
            <w:lang w:val="fr-FR"/>
          </w:rPr>
          <w:t>https://doi.org/10.3390/plants12132544</w:t>
        </w:r>
      </w:hyperlink>
      <w:r w:rsidRPr="002F49CA">
        <w:rPr>
          <w:rFonts w:ascii="Times New Roman" w:hAnsi="Times New Roman" w:cs="Times New Roman"/>
          <w:sz w:val="20"/>
          <w:szCs w:val="20"/>
          <w:lang w:val="fr-FR"/>
        </w:rPr>
        <w:t xml:space="preserve"> </w:t>
      </w:r>
    </w:p>
    <w:p w14:paraId="4C3D62DE"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fr-FR"/>
        </w:rPr>
        <w:t xml:space="preserve">Peng Y, Zhu H, Wang Y, Kang J, Hu L, Li L et al (2025). </w:t>
      </w:r>
      <w:r w:rsidRPr="002F49CA">
        <w:rPr>
          <w:rFonts w:ascii="Times New Roman" w:hAnsi="Times New Roman" w:cs="Times New Roman"/>
          <w:sz w:val="20"/>
          <w:szCs w:val="20"/>
          <w:lang w:val="en-US"/>
        </w:rPr>
        <w:t>Revisiting the role of light signaling in plant responses to salt stress. Horticulture Research, 12(1</w:t>
      </w:r>
      <w:proofErr w:type="gramStart"/>
      <w:r w:rsidRPr="002F49CA">
        <w:rPr>
          <w:rFonts w:ascii="Times New Roman" w:hAnsi="Times New Roman" w:cs="Times New Roman"/>
          <w:sz w:val="20"/>
          <w:szCs w:val="20"/>
          <w:lang w:val="en-US"/>
        </w:rPr>
        <w:t>):uhae</w:t>
      </w:r>
      <w:proofErr w:type="gramEnd"/>
      <w:r w:rsidRPr="002F49CA">
        <w:rPr>
          <w:rFonts w:ascii="Times New Roman" w:hAnsi="Times New Roman" w:cs="Times New Roman"/>
          <w:sz w:val="20"/>
          <w:szCs w:val="20"/>
          <w:lang w:val="en-US"/>
        </w:rPr>
        <w:t xml:space="preserve">262. </w:t>
      </w:r>
      <w:hyperlink r:id="rId72" w:history="1">
        <w:r w:rsidRPr="002F49CA">
          <w:rPr>
            <w:rStyle w:val="Hyperlink"/>
            <w:rFonts w:ascii="Times New Roman" w:eastAsiaTheme="majorEastAsia" w:hAnsi="Times New Roman" w:cs="Times New Roman"/>
            <w:sz w:val="20"/>
            <w:szCs w:val="20"/>
            <w:lang w:val="en-US"/>
          </w:rPr>
          <w:t>https://doi.org/10.1093/hr/uhae262</w:t>
        </w:r>
      </w:hyperlink>
      <w:r w:rsidRPr="002F49CA">
        <w:rPr>
          <w:rFonts w:ascii="Times New Roman" w:hAnsi="Times New Roman" w:cs="Times New Roman"/>
          <w:sz w:val="20"/>
          <w:szCs w:val="20"/>
          <w:lang w:val="en-US"/>
        </w:rPr>
        <w:t xml:space="preserve"> </w:t>
      </w:r>
    </w:p>
    <w:p w14:paraId="1CB2C9A3"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Pierik R, </w:t>
      </w:r>
      <w:proofErr w:type="spellStart"/>
      <w:r w:rsidRPr="002F49CA">
        <w:rPr>
          <w:rFonts w:ascii="Times New Roman" w:hAnsi="Times New Roman" w:cs="Times New Roman"/>
          <w:sz w:val="20"/>
          <w:szCs w:val="20"/>
          <w:lang w:val="en-US"/>
        </w:rPr>
        <w:t>Ballaré</w:t>
      </w:r>
      <w:proofErr w:type="spellEnd"/>
      <w:r w:rsidRPr="002F49CA">
        <w:rPr>
          <w:rFonts w:ascii="Times New Roman" w:hAnsi="Times New Roman" w:cs="Times New Roman"/>
          <w:sz w:val="20"/>
          <w:szCs w:val="20"/>
          <w:lang w:val="en-US"/>
        </w:rPr>
        <w:t xml:space="preserve"> CL (2021) Control of plant growth and defense by photoreceptors: from mechanisms to opportunities in agriculture. Molecular Plant, 14(1):61-76. </w:t>
      </w:r>
      <w:hyperlink r:id="rId73" w:history="1">
        <w:r w:rsidRPr="002F49CA">
          <w:rPr>
            <w:rStyle w:val="Hyperlink"/>
            <w:rFonts w:ascii="Times New Roman" w:eastAsiaTheme="majorEastAsia" w:hAnsi="Times New Roman" w:cs="Times New Roman"/>
            <w:sz w:val="20"/>
            <w:szCs w:val="20"/>
            <w:lang w:val="en-US"/>
          </w:rPr>
          <w:t>https://doi.org/10.1016/j.molp.2020.11.021</w:t>
        </w:r>
      </w:hyperlink>
      <w:r w:rsidRPr="002F49CA">
        <w:rPr>
          <w:rFonts w:ascii="Times New Roman" w:hAnsi="Times New Roman" w:cs="Times New Roman"/>
          <w:sz w:val="20"/>
          <w:szCs w:val="20"/>
          <w:lang w:val="en-US"/>
        </w:rPr>
        <w:t xml:space="preserve"> </w:t>
      </w:r>
    </w:p>
    <w:p w14:paraId="7BB7FFF9"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Pinho P, Jokinen K, Halonen L (2017) The influence of the LED light spectrum on the growth and nutrient uptake of hydroponically grown lettuce. Lighting Research &amp; Technology, 49(7):866-881. </w:t>
      </w:r>
      <w:hyperlink r:id="rId74" w:history="1">
        <w:r w:rsidRPr="002F49CA">
          <w:rPr>
            <w:rStyle w:val="Hyperlink"/>
            <w:rFonts w:ascii="Times New Roman" w:eastAsiaTheme="majorEastAsia" w:hAnsi="Times New Roman" w:cs="Times New Roman"/>
            <w:sz w:val="20"/>
            <w:szCs w:val="20"/>
            <w:lang w:val="en-US"/>
          </w:rPr>
          <w:t>https://doi.org/10.1177/1477153516642269</w:t>
        </w:r>
      </w:hyperlink>
      <w:r w:rsidRPr="002F49CA">
        <w:rPr>
          <w:rFonts w:ascii="Times New Roman" w:hAnsi="Times New Roman" w:cs="Times New Roman"/>
          <w:sz w:val="20"/>
          <w:szCs w:val="20"/>
          <w:lang w:val="en-US"/>
        </w:rPr>
        <w:t xml:space="preserve"> </w:t>
      </w:r>
    </w:p>
    <w:p w14:paraId="2FA8907C"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lastRenderedPageBreak/>
        <w:t>Ramezani M, Thompson D, Moreno M, Joshi V (2023) Biochemical repercussions of light spectra on nitrogen metabolism in spinach (</w:t>
      </w:r>
      <w:r w:rsidRPr="002F49CA">
        <w:rPr>
          <w:rFonts w:ascii="Times New Roman" w:hAnsi="Times New Roman" w:cs="Times New Roman"/>
          <w:i/>
          <w:iCs/>
          <w:sz w:val="20"/>
          <w:szCs w:val="20"/>
          <w:lang w:val="en-US"/>
        </w:rPr>
        <w:t>Spinacia oleracea</w:t>
      </w:r>
      <w:r w:rsidRPr="002F49CA">
        <w:rPr>
          <w:rFonts w:ascii="Times New Roman" w:hAnsi="Times New Roman" w:cs="Times New Roman"/>
          <w:sz w:val="20"/>
          <w:szCs w:val="20"/>
          <w:lang w:val="en-US"/>
        </w:rPr>
        <w:t xml:space="preserve">) under a controlled environment. Frontiers in Plant Science, 14:1283730. </w:t>
      </w:r>
      <w:hyperlink r:id="rId75" w:history="1">
        <w:r w:rsidRPr="002F49CA">
          <w:rPr>
            <w:rStyle w:val="Hyperlink"/>
            <w:rFonts w:ascii="Times New Roman" w:eastAsiaTheme="majorEastAsia" w:hAnsi="Times New Roman" w:cs="Times New Roman"/>
            <w:sz w:val="20"/>
            <w:szCs w:val="20"/>
            <w:lang w:val="en-US"/>
          </w:rPr>
          <w:t>https://doi.org/10.3389/fpls.2023.1283730</w:t>
        </w:r>
      </w:hyperlink>
      <w:r w:rsidRPr="002F49CA">
        <w:rPr>
          <w:rFonts w:ascii="Times New Roman" w:hAnsi="Times New Roman" w:cs="Times New Roman"/>
          <w:sz w:val="20"/>
          <w:szCs w:val="20"/>
          <w:lang w:val="en-US"/>
        </w:rPr>
        <w:t xml:space="preserve"> </w:t>
      </w:r>
    </w:p>
    <w:p w14:paraId="70BBBAE9" w14:textId="77777777" w:rsidR="00142BBE" w:rsidRPr="002F49CA" w:rsidRDefault="00142BBE" w:rsidP="00142BBE">
      <w:pPr>
        <w:jc w:val="both"/>
        <w:rPr>
          <w:rFonts w:ascii="Times New Roman" w:hAnsi="Times New Roman" w:cs="Times New Roman"/>
          <w:sz w:val="20"/>
          <w:szCs w:val="20"/>
          <w:lang w:val="en-US"/>
        </w:rPr>
      </w:pPr>
      <w:proofErr w:type="spellStart"/>
      <w:r w:rsidRPr="002F49CA">
        <w:rPr>
          <w:rFonts w:ascii="Times New Roman" w:hAnsi="Times New Roman" w:cs="Times New Roman"/>
          <w:sz w:val="20"/>
          <w:szCs w:val="20"/>
          <w:lang w:val="en-US"/>
        </w:rPr>
        <w:t>Raqiba</w:t>
      </w:r>
      <w:proofErr w:type="spellEnd"/>
      <w:r w:rsidRPr="002F49CA">
        <w:rPr>
          <w:rFonts w:ascii="Times New Roman" w:hAnsi="Times New Roman" w:cs="Times New Roman"/>
          <w:sz w:val="20"/>
          <w:szCs w:val="20"/>
          <w:lang w:val="en-US"/>
        </w:rPr>
        <w:t xml:space="preserve"> H, Sibi G (2019) Light emitting diode (LED) illumination for enhanced growth and cellular composition in three microalgae. HSOA Advances in Microbiology Research, </w:t>
      </w:r>
      <w:r w:rsidRPr="002F49CA">
        <w:rPr>
          <w:rFonts w:ascii="Times New Roman" w:hAnsi="Times New Roman" w:cs="Times New Roman"/>
          <w:b/>
          <w:bCs/>
          <w:sz w:val="20"/>
          <w:szCs w:val="20"/>
          <w:lang w:val="en-US"/>
        </w:rPr>
        <w:t>3</w:t>
      </w:r>
      <w:r w:rsidRPr="002F49CA">
        <w:rPr>
          <w:rFonts w:ascii="Times New Roman" w:hAnsi="Times New Roman" w:cs="Times New Roman"/>
          <w:sz w:val="20"/>
          <w:szCs w:val="20"/>
          <w:lang w:val="en-US"/>
        </w:rPr>
        <w:t xml:space="preserve">(1):1–7.  </w:t>
      </w:r>
    </w:p>
    <w:p w14:paraId="7AF417F9"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Ravichandran G, Lakshmanan DK, Murugesan S, Elangovan A, Rajasekaran NS, </w:t>
      </w:r>
      <w:proofErr w:type="spellStart"/>
      <w:r w:rsidRPr="002F49CA">
        <w:rPr>
          <w:rFonts w:ascii="Times New Roman" w:hAnsi="Times New Roman" w:cs="Times New Roman"/>
          <w:sz w:val="20"/>
          <w:szCs w:val="20"/>
          <w:lang w:val="en-US"/>
        </w:rPr>
        <w:t>Thilagar</w:t>
      </w:r>
      <w:proofErr w:type="spellEnd"/>
      <w:r w:rsidRPr="002F49CA">
        <w:rPr>
          <w:rFonts w:ascii="Times New Roman" w:hAnsi="Times New Roman" w:cs="Times New Roman"/>
          <w:sz w:val="20"/>
          <w:szCs w:val="20"/>
          <w:lang w:val="en-US"/>
        </w:rPr>
        <w:t xml:space="preserve"> S (2021) Attenuation of protein glycation by functional polyphenolics of dragon fruit (</w:t>
      </w:r>
      <w:r w:rsidRPr="002F49CA">
        <w:rPr>
          <w:rFonts w:ascii="Times New Roman" w:hAnsi="Times New Roman" w:cs="Times New Roman"/>
          <w:i/>
          <w:iCs/>
          <w:sz w:val="20"/>
          <w:szCs w:val="20"/>
          <w:lang w:val="en-US"/>
        </w:rPr>
        <w:t xml:space="preserve">Hylocereus </w:t>
      </w:r>
      <w:proofErr w:type="spellStart"/>
      <w:r w:rsidRPr="002F49CA">
        <w:rPr>
          <w:rFonts w:ascii="Times New Roman" w:hAnsi="Times New Roman" w:cs="Times New Roman"/>
          <w:i/>
          <w:iCs/>
          <w:sz w:val="20"/>
          <w:szCs w:val="20"/>
          <w:lang w:val="en-US"/>
        </w:rPr>
        <w:t>polyrhizus</w:t>
      </w:r>
      <w:proofErr w:type="spellEnd"/>
      <w:r w:rsidRPr="002F49CA">
        <w:rPr>
          <w:rFonts w:ascii="Times New Roman" w:hAnsi="Times New Roman" w:cs="Times New Roman"/>
          <w:sz w:val="20"/>
          <w:szCs w:val="20"/>
          <w:lang w:val="en-US"/>
        </w:rPr>
        <w:t xml:space="preserve">); an </w:t>
      </w:r>
      <w:r w:rsidRPr="002F49CA">
        <w:rPr>
          <w:rFonts w:ascii="Times New Roman" w:hAnsi="Times New Roman" w:cs="Times New Roman"/>
          <w:i/>
          <w:iCs/>
          <w:sz w:val="20"/>
          <w:szCs w:val="20"/>
          <w:lang w:val="en-US"/>
        </w:rPr>
        <w:t>in vitro</w:t>
      </w:r>
      <w:r w:rsidRPr="002F49CA">
        <w:rPr>
          <w:rFonts w:ascii="Times New Roman" w:hAnsi="Times New Roman" w:cs="Times New Roman"/>
          <w:sz w:val="20"/>
          <w:szCs w:val="20"/>
          <w:lang w:val="en-US"/>
        </w:rPr>
        <w:t xml:space="preserve"> and in silico evaluation. Food research international, 140:110081. </w:t>
      </w:r>
      <w:hyperlink r:id="rId76" w:history="1">
        <w:r w:rsidRPr="002F49CA">
          <w:rPr>
            <w:rStyle w:val="Hyperlink"/>
            <w:rFonts w:ascii="Times New Roman" w:eastAsiaTheme="majorEastAsia" w:hAnsi="Times New Roman" w:cs="Times New Roman"/>
            <w:sz w:val="20"/>
            <w:szCs w:val="20"/>
            <w:lang w:val="en-US"/>
          </w:rPr>
          <w:t>https://doi.org/10.1016/j.foodres.2020.110081</w:t>
        </w:r>
      </w:hyperlink>
      <w:r w:rsidRPr="002F49CA">
        <w:rPr>
          <w:rFonts w:ascii="Times New Roman" w:hAnsi="Times New Roman" w:cs="Times New Roman"/>
          <w:sz w:val="20"/>
          <w:szCs w:val="20"/>
          <w:lang w:val="en-US"/>
        </w:rPr>
        <w:t xml:space="preserve"> </w:t>
      </w:r>
    </w:p>
    <w:p w14:paraId="58452E4D" w14:textId="77777777" w:rsidR="00142BBE" w:rsidRPr="002F49CA" w:rsidRDefault="00142BBE" w:rsidP="00142BBE">
      <w:pPr>
        <w:jc w:val="both"/>
        <w:rPr>
          <w:rFonts w:ascii="Times New Roman" w:hAnsi="Times New Roman" w:cs="Times New Roman"/>
          <w:sz w:val="20"/>
          <w:szCs w:val="20"/>
          <w:lang w:val="en-US"/>
        </w:rPr>
      </w:pPr>
      <w:proofErr w:type="spellStart"/>
      <w:r w:rsidRPr="002F49CA">
        <w:rPr>
          <w:rFonts w:ascii="Times New Roman" w:hAnsi="Times New Roman" w:cs="Times New Roman"/>
          <w:sz w:val="20"/>
          <w:szCs w:val="20"/>
          <w:lang w:val="en-US"/>
        </w:rPr>
        <w:t>Samalova</w:t>
      </w:r>
      <w:proofErr w:type="spellEnd"/>
      <w:r w:rsidRPr="002F49CA">
        <w:rPr>
          <w:rFonts w:ascii="Times New Roman" w:hAnsi="Times New Roman" w:cs="Times New Roman"/>
          <w:sz w:val="20"/>
          <w:szCs w:val="20"/>
          <w:lang w:val="en-US"/>
        </w:rPr>
        <w:t xml:space="preserve"> M, </w:t>
      </w:r>
      <w:proofErr w:type="spellStart"/>
      <w:r w:rsidRPr="002F49CA">
        <w:rPr>
          <w:rFonts w:ascii="Times New Roman" w:hAnsi="Times New Roman" w:cs="Times New Roman"/>
          <w:sz w:val="20"/>
          <w:szCs w:val="20"/>
          <w:lang w:val="en-US"/>
        </w:rPr>
        <w:t>Melnikava</w:t>
      </w:r>
      <w:proofErr w:type="spellEnd"/>
      <w:r w:rsidRPr="002F49CA">
        <w:rPr>
          <w:rFonts w:ascii="Times New Roman" w:hAnsi="Times New Roman" w:cs="Times New Roman"/>
          <w:sz w:val="20"/>
          <w:szCs w:val="20"/>
          <w:lang w:val="en-US"/>
        </w:rPr>
        <w:t xml:space="preserve"> A, </w:t>
      </w:r>
      <w:proofErr w:type="spellStart"/>
      <w:r w:rsidRPr="002F49CA">
        <w:rPr>
          <w:rFonts w:ascii="Times New Roman" w:hAnsi="Times New Roman" w:cs="Times New Roman"/>
          <w:sz w:val="20"/>
          <w:szCs w:val="20"/>
          <w:lang w:val="en-US"/>
        </w:rPr>
        <w:t>Elsayad</w:t>
      </w:r>
      <w:proofErr w:type="spellEnd"/>
      <w:r w:rsidRPr="002F49CA">
        <w:rPr>
          <w:rFonts w:ascii="Times New Roman" w:hAnsi="Times New Roman" w:cs="Times New Roman"/>
          <w:sz w:val="20"/>
          <w:szCs w:val="20"/>
          <w:lang w:val="en-US"/>
        </w:rPr>
        <w:t xml:space="preserve"> K, </w:t>
      </w:r>
      <w:proofErr w:type="spellStart"/>
      <w:r w:rsidRPr="002F49CA">
        <w:rPr>
          <w:rFonts w:ascii="Times New Roman" w:hAnsi="Times New Roman" w:cs="Times New Roman"/>
          <w:sz w:val="20"/>
          <w:szCs w:val="20"/>
          <w:lang w:val="en-US"/>
        </w:rPr>
        <w:t>Peaucelle</w:t>
      </w:r>
      <w:proofErr w:type="spellEnd"/>
      <w:r w:rsidRPr="002F49CA">
        <w:rPr>
          <w:rFonts w:ascii="Times New Roman" w:hAnsi="Times New Roman" w:cs="Times New Roman"/>
          <w:sz w:val="20"/>
          <w:szCs w:val="20"/>
          <w:lang w:val="en-US"/>
        </w:rPr>
        <w:t xml:space="preserve">, A, </w:t>
      </w:r>
      <w:proofErr w:type="spellStart"/>
      <w:r w:rsidRPr="002F49CA">
        <w:rPr>
          <w:rFonts w:ascii="Times New Roman" w:hAnsi="Times New Roman" w:cs="Times New Roman"/>
          <w:sz w:val="20"/>
          <w:szCs w:val="20"/>
          <w:lang w:val="en-US"/>
        </w:rPr>
        <w:t>Gahurova</w:t>
      </w:r>
      <w:proofErr w:type="spellEnd"/>
      <w:r w:rsidRPr="002F49CA">
        <w:rPr>
          <w:rFonts w:ascii="Times New Roman" w:hAnsi="Times New Roman" w:cs="Times New Roman"/>
          <w:sz w:val="20"/>
          <w:szCs w:val="20"/>
          <w:lang w:val="en-US"/>
        </w:rPr>
        <w:t xml:space="preserve"> E, </w:t>
      </w:r>
      <w:proofErr w:type="spellStart"/>
      <w:r w:rsidRPr="002F49CA">
        <w:rPr>
          <w:rFonts w:ascii="Times New Roman" w:hAnsi="Times New Roman" w:cs="Times New Roman"/>
          <w:sz w:val="20"/>
          <w:szCs w:val="20"/>
          <w:lang w:val="en-US"/>
        </w:rPr>
        <w:t>Gumulec</w:t>
      </w:r>
      <w:proofErr w:type="spellEnd"/>
      <w:r w:rsidRPr="002F49CA">
        <w:rPr>
          <w:rFonts w:ascii="Times New Roman" w:hAnsi="Times New Roman" w:cs="Times New Roman"/>
          <w:sz w:val="20"/>
          <w:szCs w:val="20"/>
          <w:lang w:val="en-US"/>
        </w:rPr>
        <w:t xml:space="preserve"> J et al (2024) Hormone-regulated </w:t>
      </w:r>
      <w:proofErr w:type="spellStart"/>
      <w:r w:rsidRPr="002F49CA">
        <w:rPr>
          <w:rFonts w:ascii="Times New Roman" w:hAnsi="Times New Roman" w:cs="Times New Roman"/>
          <w:sz w:val="20"/>
          <w:szCs w:val="20"/>
          <w:lang w:val="en-US"/>
        </w:rPr>
        <w:t>expansins</w:t>
      </w:r>
      <w:proofErr w:type="spellEnd"/>
      <w:r w:rsidRPr="002F49CA">
        <w:rPr>
          <w:rFonts w:ascii="Times New Roman" w:hAnsi="Times New Roman" w:cs="Times New Roman"/>
          <w:sz w:val="20"/>
          <w:szCs w:val="20"/>
          <w:lang w:val="en-US"/>
        </w:rPr>
        <w:t xml:space="preserve">: expression, localization, and cell wall biomechanics in Arabidopsis root growth. Plant Physiology, 194(1):209-228. </w:t>
      </w:r>
      <w:hyperlink r:id="rId77" w:history="1">
        <w:r w:rsidRPr="002F49CA">
          <w:rPr>
            <w:rStyle w:val="Hyperlink"/>
            <w:rFonts w:ascii="Times New Roman" w:eastAsiaTheme="majorEastAsia" w:hAnsi="Times New Roman" w:cs="Times New Roman"/>
            <w:sz w:val="20"/>
            <w:szCs w:val="20"/>
            <w:lang w:val="en-US"/>
          </w:rPr>
          <w:t>https://doi.org/10.1093/plphys/kiad228</w:t>
        </w:r>
      </w:hyperlink>
      <w:r w:rsidRPr="002F49CA">
        <w:rPr>
          <w:rFonts w:ascii="Times New Roman" w:hAnsi="Times New Roman" w:cs="Times New Roman"/>
          <w:sz w:val="20"/>
          <w:szCs w:val="20"/>
          <w:lang w:val="en-US"/>
        </w:rPr>
        <w:t xml:space="preserve"> </w:t>
      </w:r>
    </w:p>
    <w:p w14:paraId="4617F127" w14:textId="77777777" w:rsidR="00142BBE" w:rsidRPr="002F49CA" w:rsidRDefault="00142BBE" w:rsidP="00142BBE">
      <w:pPr>
        <w:jc w:val="both"/>
        <w:rPr>
          <w:rFonts w:ascii="Times New Roman" w:hAnsi="Times New Roman" w:cs="Times New Roman"/>
          <w:sz w:val="20"/>
          <w:szCs w:val="20"/>
          <w:lang w:val="en-US"/>
        </w:rPr>
      </w:pPr>
      <w:proofErr w:type="spellStart"/>
      <w:r w:rsidRPr="002F49CA">
        <w:rPr>
          <w:rFonts w:ascii="Times New Roman" w:hAnsi="Times New Roman" w:cs="Times New Roman"/>
          <w:sz w:val="20"/>
          <w:szCs w:val="20"/>
          <w:lang w:val="en-US"/>
        </w:rPr>
        <w:t>Sarropoulou</w:t>
      </w:r>
      <w:proofErr w:type="spellEnd"/>
      <w:r w:rsidRPr="002F49CA">
        <w:rPr>
          <w:rFonts w:ascii="Times New Roman" w:hAnsi="Times New Roman" w:cs="Times New Roman"/>
          <w:sz w:val="20"/>
          <w:szCs w:val="20"/>
          <w:lang w:val="en-US"/>
        </w:rPr>
        <w:t xml:space="preserve"> V, </w:t>
      </w:r>
      <w:proofErr w:type="spellStart"/>
      <w:r w:rsidRPr="002F49CA">
        <w:rPr>
          <w:rFonts w:ascii="Times New Roman" w:hAnsi="Times New Roman" w:cs="Times New Roman"/>
          <w:sz w:val="20"/>
          <w:szCs w:val="20"/>
          <w:lang w:val="en-US"/>
        </w:rPr>
        <w:t>Sperdouli</w:t>
      </w:r>
      <w:proofErr w:type="spellEnd"/>
      <w:r w:rsidRPr="002F49CA">
        <w:rPr>
          <w:rFonts w:ascii="Times New Roman" w:hAnsi="Times New Roman" w:cs="Times New Roman"/>
          <w:sz w:val="20"/>
          <w:szCs w:val="20"/>
          <w:lang w:val="en-US"/>
        </w:rPr>
        <w:t xml:space="preserve"> I, </w:t>
      </w:r>
      <w:proofErr w:type="spellStart"/>
      <w:r w:rsidRPr="002F49CA">
        <w:rPr>
          <w:rFonts w:ascii="Times New Roman" w:hAnsi="Times New Roman" w:cs="Times New Roman"/>
          <w:sz w:val="20"/>
          <w:szCs w:val="20"/>
          <w:lang w:val="en-US"/>
        </w:rPr>
        <w:t>Adamakis</w:t>
      </w:r>
      <w:proofErr w:type="spellEnd"/>
      <w:r w:rsidRPr="002F49CA">
        <w:rPr>
          <w:rFonts w:ascii="Times New Roman" w:hAnsi="Times New Roman" w:cs="Times New Roman"/>
          <w:sz w:val="20"/>
          <w:szCs w:val="20"/>
          <w:lang w:val="en-US"/>
        </w:rPr>
        <w:t xml:space="preserve"> ID, Grigoriadou K (2023) The use of different LEDs wavelength and light intensities for </w:t>
      </w:r>
      <w:r w:rsidRPr="002F49CA">
        <w:rPr>
          <w:rFonts w:ascii="Times New Roman" w:hAnsi="Times New Roman" w:cs="Times New Roman"/>
          <w:i/>
          <w:iCs/>
          <w:sz w:val="20"/>
          <w:szCs w:val="20"/>
          <w:lang w:val="en-US"/>
        </w:rPr>
        <w:t>in vitro</w:t>
      </w:r>
      <w:r w:rsidRPr="002F49CA">
        <w:rPr>
          <w:rFonts w:ascii="Times New Roman" w:hAnsi="Times New Roman" w:cs="Times New Roman"/>
          <w:sz w:val="20"/>
          <w:szCs w:val="20"/>
          <w:lang w:val="en-US"/>
        </w:rPr>
        <w:t xml:space="preserve"> proliferation of cherry rootstock: Influence on photosynthesis and photomorphogenesis. Plant Cell, Tissue and Organ Culture (PCTOC), 152(2):317-330. </w:t>
      </w:r>
      <w:hyperlink r:id="rId78" w:history="1">
        <w:r w:rsidRPr="002F49CA">
          <w:rPr>
            <w:rStyle w:val="Hyperlink"/>
            <w:rFonts w:ascii="Times New Roman" w:eastAsiaTheme="majorEastAsia" w:hAnsi="Times New Roman" w:cs="Times New Roman"/>
            <w:sz w:val="20"/>
            <w:szCs w:val="20"/>
            <w:lang w:val="en-US"/>
          </w:rPr>
          <w:t>https://doi.org/10.1007/s11240-022-02408-z</w:t>
        </w:r>
      </w:hyperlink>
      <w:r w:rsidRPr="002F49CA">
        <w:rPr>
          <w:rFonts w:ascii="Times New Roman" w:hAnsi="Times New Roman" w:cs="Times New Roman"/>
          <w:sz w:val="20"/>
          <w:szCs w:val="20"/>
          <w:lang w:val="en-US"/>
        </w:rPr>
        <w:t xml:space="preserve"> </w:t>
      </w:r>
    </w:p>
    <w:p w14:paraId="3E0DE99A" w14:textId="77777777" w:rsidR="00142BBE" w:rsidRPr="002F49CA" w:rsidRDefault="00142BBE" w:rsidP="00142BBE">
      <w:pPr>
        <w:jc w:val="both"/>
        <w:rPr>
          <w:rFonts w:ascii="Times New Roman" w:hAnsi="Times New Roman" w:cs="Times New Roman"/>
          <w:sz w:val="20"/>
          <w:szCs w:val="20"/>
          <w:lang w:val="fr-FR"/>
        </w:rPr>
      </w:pPr>
      <w:r w:rsidRPr="002F49CA">
        <w:rPr>
          <w:rFonts w:ascii="Times New Roman" w:hAnsi="Times New Roman" w:cs="Times New Roman"/>
          <w:sz w:val="20"/>
          <w:szCs w:val="20"/>
        </w:rPr>
        <w:t>Scopel W, Barbosa JZ &amp; Vieira ML (2011) Extração de pigmentos foliares em plantas de canola. </w:t>
      </w:r>
      <w:proofErr w:type="spellStart"/>
      <w:r w:rsidRPr="002F49CA">
        <w:rPr>
          <w:rFonts w:ascii="Times New Roman" w:hAnsi="Times New Roman" w:cs="Times New Roman"/>
          <w:sz w:val="20"/>
          <w:szCs w:val="20"/>
          <w:lang w:val="fr-FR"/>
        </w:rPr>
        <w:t>Unoesc</w:t>
      </w:r>
      <w:proofErr w:type="spellEnd"/>
      <w:r w:rsidRPr="002F49CA">
        <w:rPr>
          <w:rFonts w:ascii="Times New Roman" w:hAnsi="Times New Roman" w:cs="Times New Roman"/>
          <w:sz w:val="20"/>
          <w:szCs w:val="20"/>
          <w:lang w:val="fr-FR"/>
        </w:rPr>
        <w:t xml:space="preserve"> &amp; </w:t>
      </w:r>
      <w:proofErr w:type="spellStart"/>
      <w:r w:rsidRPr="002F49CA">
        <w:rPr>
          <w:rFonts w:ascii="Times New Roman" w:hAnsi="Times New Roman" w:cs="Times New Roman"/>
          <w:sz w:val="20"/>
          <w:szCs w:val="20"/>
          <w:lang w:val="fr-FR"/>
        </w:rPr>
        <w:t>Ciência</w:t>
      </w:r>
      <w:proofErr w:type="spellEnd"/>
      <w:r w:rsidRPr="002F49CA">
        <w:rPr>
          <w:rFonts w:ascii="Times New Roman" w:hAnsi="Times New Roman" w:cs="Times New Roman"/>
          <w:sz w:val="20"/>
          <w:szCs w:val="20"/>
          <w:lang w:val="fr-FR"/>
        </w:rPr>
        <w:t>-ACET, 2(1</w:t>
      </w:r>
      <w:proofErr w:type="gramStart"/>
      <w:r w:rsidRPr="002F49CA">
        <w:rPr>
          <w:rFonts w:ascii="Times New Roman" w:hAnsi="Times New Roman" w:cs="Times New Roman"/>
          <w:sz w:val="20"/>
          <w:szCs w:val="20"/>
          <w:lang w:val="fr-FR"/>
        </w:rPr>
        <w:t>):</w:t>
      </w:r>
      <w:proofErr w:type="gramEnd"/>
      <w:r w:rsidRPr="002F49CA">
        <w:rPr>
          <w:rFonts w:ascii="Times New Roman" w:hAnsi="Times New Roman" w:cs="Times New Roman"/>
          <w:sz w:val="20"/>
          <w:szCs w:val="20"/>
          <w:lang w:val="fr-FR"/>
        </w:rPr>
        <w:t xml:space="preserve">87-94. </w:t>
      </w:r>
    </w:p>
    <w:p w14:paraId="229EABF3"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fr-FR"/>
        </w:rPr>
        <w:t xml:space="preserve">Shang W, Song Y, Zhang C, Shi L, Shen Y, Li X et al (2023). </w:t>
      </w:r>
      <w:r w:rsidRPr="002F49CA">
        <w:rPr>
          <w:rFonts w:ascii="Times New Roman" w:hAnsi="Times New Roman" w:cs="Times New Roman"/>
          <w:sz w:val="20"/>
          <w:szCs w:val="20"/>
          <w:lang w:val="en-US"/>
        </w:rPr>
        <w:t xml:space="preserve">Effects of light quality on growth, photosynthetic characteristics, and endogenous hormones in </w:t>
      </w:r>
      <w:r w:rsidRPr="002F49CA">
        <w:rPr>
          <w:rFonts w:ascii="Times New Roman" w:hAnsi="Times New Roman" w:cs="Times New Roman"/>
          <w:i/>
          <w:iCs/>
          <w:sz w:val="20"/>
          <w:szCs w:val="20"/>
          <w:lang w:val="en-US"/>
        </w:rPr>
        <w:t>in vitro</w:t>
      </w:r>
      <w:r w:rsidRPr="002F49CA">
        <w:rPr>
          <w:rFonts w:ascii="Times New Roman" w:hAnsi="Times New Roman" w:cs="Times New Roman"/>
          <w:sz w:val="20"/>
          <w:szCs w:val="20"/>
          <w:lang w:val="en-US"/>
        </w:rPr>
        <w:t xml:space="preserve">-cultured </w:t>
      </w:r>
      <w:r w:rsidRPr="002F49CA">
        <w:rPr>
          <w:rFonts w:ascii="Times New Roman" w:hAnsi="Times New Roman" w:cs="Times New Roman"/>
          <w:i/>
          <w:iCs/>
          <w:sz w:val="20"/>
          <w:szCs w:val="20"/>
          <w:lang w:val="en-US"/>
        </w:rPr>
        <w:t>Lilium</w:t>
      </w:r>
      <w:r w:rsidRPr="002F49CA">
        <w:rPr>
          <w:rFonts w:ascii="Times New Roman" w:hAnsi="Times New Roman" w:cs="Times New Roman"/>
          <w:sz w:val="20"/>
          <w:szCs w:val="20"/>
          <w:lang w:val="en-US"/>
        </w:rPr>
        <w:t xml:space="preserve"> plantlets. Horticulture, Environment, and Biotechnology, 64(1):65-81. </w:t>
      </w:r>
      <w:hyperlink r:id="rId79" w:history="1">
        <w:r w:rsidRPr="002F49CA">
          <w:rPr>
            <w:rStyle w:val="Hyperlink"/>
            <w:rFonts w:ascii="Times New Roman" w:eastAsiaTheme="majorEastAsia" w:hAnsi="Times New Roman" w:cs="Times New Roman"/>
            <w:sz w:val="20"/>
            <w:szCs w:val="20"/>
            <w:lang w:val="en-US"/>
          </w:rPr>
          <w:t>https://doi.org/10.1007/s13580-022-00468-w</w:t>
        </w:r>
      </w:hyperlink>
      <w:r w:rsidRPr="002F49CA">
        <w:rPr>
          <w:rFonts w:ascii="Times New Roman" w:hAnsi="Times New Roman" w:cs="Times New Roman"/>
          <w:sz w:val="20"/>
          <w:szCs w:val="20"/>
          <w:lang w:val="en-US"/>
        </w:rPr>
        <w:t xml:space="preserve"> </w:t>
      </w:r>
    </w:p>
    <w:p w14:paraId="3266D8A4"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Silva TD, Batista DS, Fortini EA, de Castro KM, Felipe SHS, Fernandes AM et al (2020) Blue and red light affects morphogenesis and 20-hydroxyecdisone content of </w:t>
      </w:r>
      <w:r w:rsidRPr="002F49CA">
        <w:rPr>
          <w:rFonts w:ascii="Times New Roman" w:hAnsi="Times New Roman" w:cs="Times New Roman"/>
          <w:i/>
          <w:iCs/>
          <w:sz w:val="20"/>
          <w:szCs w:val="20"/>
          <w:lang w:val="en-US"/>
        </w:rPr>
        <w:t>in vitro</w:t>
      </w:r>
      <w:r w:rsidRPr="002F49CA">
        <w:rPr>
          <w:rFonts w:ascii="Times New Roman" w:hAnsi="Times New Roman" w:cs="Times New Roman"/>
          <w:sz w:val="20"/>
          <w:szCs w:val="20"/>
          <w:lang w:val="en-US"/>
        </w:rPr>
        <w:t> </w:t>
      </w:r>
      <w:proofErr w:type="spellStart"/>
      <w:r w:rsidRPr="002F49CA">
        <w:rPr>
          <w:rFonts w:ascii="Times New Roman" w:hAnsi="Times New Roman" w:cs="Times New Roman"/>
          <w:i/>
          <w:iCs/>
          <w:sz w:val="20"/>
          <w:szCs w:val="20"/>
          <w:lang w:val="en-US"/>
        </w:rPr>
        <w:t>Pfaffia</w:t>
      </w:r>
      <w:proofErr w:type="spellEnd"/>
      <w:r w:rsidRPr="002F49CA">
        <w:rPr>
          <w:rFonts w:ascii="Times New Roman" w:hAnsi="Times New Roman" w:cs="Times New Roman"/>
          <w:i/>
          <w:iCs/>
          <w:sz w:val="20"/>
          <w:szCs w:val="20"/>
          <w:lang w:val="en-US"/>
        </w:rPr>
        <w:t xml:space="preserve"> glomerata</w:t>
      </w:r>
      <w:r w:rsidRPr="002F49CA">
        <w:rPr>
          <w:rFonts w:ascii="Times New Roman" w:hAnsi="Times New Roman" w:cs="Times New Roman"/>
          <w:sz w:val="20"/>
          <w:szCs w:val="20"/>
          <w:lang w:val="en-US"/>
        </w:rPr>
        <w:t xml:space="preserve"> accessions. J. </w:t>
      </w:r>
      <w:proofErr w:type="spellStart"/>
      <w:r w:rsidRPr="002F49CA">
        <w:rPr>
          <w:rFonts w:ascii="Times New Roman" w:hAnsi="Times New Roman" w:cs="Times New Roman"/>
          <w:sz w:val="20"/>
          <w:szCs w:val="20"/>
          <w:lang w:val="en-US"/>
        </w:rPr>
        <w:t>Photochem</w:t>
      </w:r>
      <w:proofErr w:type="spellEnd"/>
      <w:r w:rsidRPr="002F49CA">
        <w:rPr>
          <w:rFonts w:ascii="Times New Roman" w:hAnsi="Times New Roman" w:cs="Times New Roman"/>
          <w:sz w:val="20"/>
          <w:szCs w:val="20"/>
          <w:lang w:val="en-US"/>
        </w:rPr>
        <w:t xml:space="preserve">. </w:t>
      </w:r>
      <w:proofErr w:type="spellStart"/>
      <w:r w:rsidRPr="002F49CA">
        <w:rPr>
          <w:rFonts w:ascii="Times New Roman" w:hAnsi="Times New Roman" w:cs="Times New Roman"/>
          <w:sz w:val="20"/>
          <w:szCs w:val="20"/>
          <w:lang w:val="en-US"/>
        </w:rPr>
        <w:t>Photobiol</w:t>
      </w:r>
      <w:proofErr w:type="spellEnd"/>
      <w:r w:rsidRPr="002F49CA">
        <w:rPr>
          <w:rFonts w:ascii="Times New Roman" w:hAnsi="Times New Roman" w:cs="Times New Roman"/>
          <w:sz w:val="20"/>
          <w:szCs w:val="20"/>
          <w:lang w:val="en-US"/>
        </w:rPr>
        <w:t xml:space="preserve">. B Biol. 203:111761. </w:t>
      </w:r>
      <w:hyperlink r:id="rId80" w:history="1">
        <w:r w:rsidRPr="002F49CA">
          <w:rPr>
            <w:rStyle w:val="Hyperlink"/>
            <w:rFonts w:ascii="Times New Roman" w:eastAsiaTheme="majorEastAsia" w:hAnsi="Times New Roman" w:cs="Times New Roman"/>
            <w:sz w:val="20"/>
            <w:szCs w:val="20"/>
            <w:lang w:val="en-US"/>
          </w:rPr>
          <w:t>https://doi.org/10.1016/j.jphotobiol.2019.111761</w:t>
        </w:r>
      </w:hyperlink>
      <w:r w:rsidRPr="002F49CA">
        <w:rPr>
          <w:rFonts w:ascii="Times New Roman" w:hAnsi="Times New Roman" w:cs="Times New Roman"/>
          <w:sz w:val="20"/>
          <w:szCs w:val="20"/>
          <w:lang w:val="en-US"/>
        </w:rPr>
        <w:t xml:space="preserve"> </w:t>
      </w:r>
    </w:p>
    <w:p w14:paraId="2F12406C"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Soto Acosta ME, Perea M, Ruiz AI, Hilal M, Albornoz PL, Isla MI (2023) Adaptative strategies in </w:t>
      </w:r>
      <w:proofErr w:type="spellStart"/>
      <w:r w:rsidRPr="002F49CA">
        <w:rPr>
          <w:rFonts w:ascii="Times New Roman" w:hAnsi="Times New Roman" w:cs="Times New Roman"/>
          <w:i/>
          <w:iCs/>
          <w:sz w:val="20"/>
          <w:szCs w:val="20"/>
          <w:lang w:val="en-US"/>
        </w:rPr>
        <w:t>gymnocalycium</w:t>
      </w:r>
      <w:proofErr w:type="spellEnd"/>
      <w:r w:rsidRPr="002F49CA">
        <w:rPr>
          <w:rFonts w:ascii="Times New Roman" w:hAnsi="Times New Roman" w:cs="Times New Roman"/>
          <w:sz w:val="20"/>
          <w:szCs w:val="20"/>
          <w:lang w:val="en-US"/>
        </w:rPr>
        <w:t xml:space="preserve"> species (</w:t>
      </w:r>
      <w:proofErr w:type="spellStart"/>
      <w:r w:rsidRPr="002F49CA">
        <w:rPr>
          <w:rFonts w:ascii="Times New Roman" w:hAnsi="Times New Roman" w:cs="Times New Roman"/>
          <w:sz w:val="20"/>
          <w:szCs w:val="20"/>
          <w:lang w:val="en-US"/>
        </w:rPr>
        <w:t>cactaceae</w:t>
      </w:r>
      <w:proofErr w:type="spellEnd"/>
      <w:r w:rsidRPr="002F49CA">
        <w:rPr>
          <w:rFonts w:ascii="Times New Roman" w:hAnsi="Times New Roman" w:cs="Times New Roman"/>
          <w:sz w:val="20"/>
          <w:szCs w:val="20"/>
          <w:lang w:val="en-US"/>
        </w:rPr>
        <w:t xml:space="preserve">) and the presence of </w:t>
      </w:r>
      <w:proofErr w:type="spellStart"/>
      <w:r w:rsidRPr="002F49CA">
        <w:rPr>
          <w:rFonts w:ascii="Times New Roman" w:hAnsi="Times New Roman" w:cs="Times New Roman"/>
          <w:sz w:val="20"/>
          <w:szCs w:val="20"/>
          <w:lang w:val="en-US"/>
        </w:rPr>
        <w:t>ectomycorrhizae</w:t>
      </w:r>
      <w:proofErr w:type="spellEnd"/>
      <w:r w:rsidRPr="002F49CA">
        <w:rPr>
          <w:rFonts w:ascii="Times New Roman" w:hAnsi="Times New Roman" w:cs="Times New Roman"/>
          <w:sz w:val="20"/>
          <w:szCs w:val="20"/>
          <w:lang w:val="en-US"/>
        </w:rPr>
        <w:t xml:space="preserve"> associated with survival in arid environments. Plants, 12(15) :2774. </w:t>
      </w:r>
      <w:hyperlink r:id="rId81" w:history="1">
        <w:r w:rsidRPr="002F49CA">
          <w:rPr>
            <w:rStyle w:val="Hyperlink"/>
            <w:rFonts w:ascii="Times New Roman" w:eastAsiaTheme="majorEastAsia" w:hAnsi="Times New Roman" w:cs="Times New Roman"/>
            <w:sz w:val="20"/>
            <w:szCs w:val="20"/>
            <w:lang w:val="en-US"/>
          </w:rPr>
          <w:t>https://doi.org/10.3390/plants12152774</w:t>
        </w:r>
      </w:hyperlink>
      <w:r w:rsidRPr="002F49CA">
        <w:rPr>
          <w:rFonts w:ascii="Times New Roman" w:hAnsi="Times New Roman" w:cs="Times New Roman"/>
          <w:sz w:val="20"/>
          <w:szCs w:val="20"/>
          <w:lang w:val="en-US"/>
        </w:rPr>
        <w:t xml:space="preserve"> </w:t>
      </w:r>
    </w:p>
    <w:p w14:paraId="71164020"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Soufi HR, </w:t>
      </w:r>
      <w:proofErr w:type="spellStart"/>
      <w:r w:rsidRPr="002F49CA">
        <w:rPr>
          <w:rFonts w:ascii="Times New Roman" w:hAnsi="Times New Roman" w:cs="Times New Roman"/>
          <w:sz w:val="20"/>
          <w:szCs w:val="20"/>
          <w:lang w:val="en-US"/>
        </w:rPr>
        <w:t>Roosta</w:t>
      </w:r>
      <w:proofErr w:type="spellEnd"/>
      <w:r w:rsidRPr="002F49CA">
        <w:rPr>
          <w:rFonts w:ascii="Times New Roman" w:hAnsi="Times New Roman" w:cs="Times New Roman"/>
          <w:sz w:val="20"/>
          <w:szCs w:val="20"/>
          <w:lang w:val="en-US"/>
        </w:rPr>
        <w:t xml:space="preserve"> HR, Fatehi F, Ghorbanpour M (2023) Spectral composition of LED light differentially affects biomass, photosynthesis, nutrient profile, and foliar nitrate accumulation of lettuce grown under various replacement methods of nutrient solution. Food Science &amp; Nutrition, 11(12):8143-8162. </w:t>
      </w:r>
      <w:hyperlink r:id="rId82" w:history="1">
        <w:r w:rsidRPr="002F49CA">
          <w:rPr>
            <w:rStyle w:val="Hyperlink"/>
            <w:rFonts w:ascii="Times New Roman" w:eastAsiaTheme="majorEastAsia" w:hAnsi="Times New Roman" w:cs="Times New Roman"/>
            <w:sz w:val="20"/>
            <w:szCs w:val="20"/>
            <w:lang w:val="en-US"/>
          </w:rPr>
          <w:t>https://doi.org/10.1002/fsn3.3735</w:t>
        </w:r>
      </w:hyperlink>
      <w:r w:rsidRPr="002F49CA">
        <w:rPr>
          <w:rFonts w:ascii="Times New Roman" w:hAnsi="Times New Roman" w:cs="Times New Roman"/>
          <w:sz w:val="20"/>
          <w:szCs w:val="20"/>
          <w:lang w:val="en-US"/>
        </w:rPr>
        <w:t xml:space="preserve"> </w:t>
      </w:r>
    </w:p>
    <w:p w14:paraId="4A97D122" w14:textId="77777777" w:rsidR="008B0BE5"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Suman K, Rani AR, Reddy PV (2017) Response of dragon fruit (</w:t>
      </w:r>
      <w:r w:rsidRPr="002F49CA">
        <w:rPr>
          <w:rFonts w:ascii="Times New Roman" w:hAnsi="Times New Roman" w:cs="Times New Roman"/>
          <w:i/>
          <w:iCs/>
          <w:sz w:val="20"/>
          <w:szCs w:val="20"/>
          <w:lang w:val="en-US"/>
        </w:rPr>
        <w:t>Hylocereus undatus</w:t>
      </w:r>
      <w:r w:rsidRPr="002F49CA">
        <w:rPr>
          <w:rFonts w:ascii="Times New Roman" w:hAnsi="Times New Roman" w:cs="Times New Roman"/>
          <w:sz w:val="20"/>
          <w:szCs w:val="20"/>
          <w:lang w:val="en-US"/>
        </w:rPr>
        <w:t xml:space="preserve">) explants on MS media with growth regulators under </w:t>
      </w:r>
      <w:r w:rsidRPr="002F49CA">
        <w:rPr>
          <w:rFonts w:ascii="Times New Roman" w:hAnsi="Times New Roman" w:cs="Times New Roman"/>
          <w:i/>
          <w:iCs/>
          <w:sz w:val="20"/>
          <w:szCs w:val="20"/>
          <w:lang w:val="en-US"/>
        </w:rPr>
        <w:t>in vitro</w:t>
      </w:r>
      <w:r w:rsidRPr="002F49CA">
        <w:rPr>
          <w:rFonts w:ascii="Times New Roman" w:hAnsi="Times New Roman" w:cs="Times New Roman"/>
          <w:sz w:val="20"/>
          <w:szCs w:val="20"/>
          <w:lang w:val="en-US"/>
        </w:rPr>
        <w:t xml:space="preserve"> for mass multiplication. Agric. Update 12 (TECHSEAR-9), 12:1-8.  </w:t>
      </w:r>
      <w:hyperlink r:id="rId83" w:history="1">
        <w:r w:rsidRPr="002F49CA">
          <w:rPr>
            <w:rStyle w:val="Hyperlink"/>
            <w:rFonts w:ascii="Times New Roman" w:eastAsiaTheme="majorEastAsia" w:hAnsi="Times New Roman" w:cs="Times New Roman"/>
            <w:sz w:val="20"/>
            <w:szCs w:val="20"/>
            <w:lang w:val="en-US"/>
          </w:rPr>
          <w:t>https://10.15740/HAS/AU/12.TECHSEAR(9)2017/000-000</w:t>
        </w:r>
      </w:hyperlink>
      <w:r w:rsidRPr="002F49CA">
        <w:rPr>
          <w:rFonts w:ascii="Times New Roman" w:hAnsi="Times New Roman" w:cs="Times New Roman"/>
          <w:sz w:val="20"/>
          <w:szCs w:val="20"/>
          <w:lang w:val="en-US"/>
        </w:rPr>
        <w:t xml:space="preserve"> </w:t>
      </w:r>
    </w:p>
    <w:p w14:paraId="100BCCED" w14:textId="3015ACED"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Sumi MJ, Jahan N, </w:t>
      </w:r>
      <w:proofErr w:type="spellStart"/>
      <w:r w:rsidRPr="002F49CA">
        <w:rPr>
          <w:rFonts w:ascii="Times New Roman" w:hAnsi="Times New Roman" w:cs="Times New Roman"/>
          <w:sz w:val="20"/>
          <w:szCs w:val="20"/>
          <w:lang w:val="en-US"/>
        </w:rPr>
        <w:t>Thamid</w:t>
      </w:r>
      <w:proofErr w:type="spellEnd"/>
      <w:r w:rsidRPr="002F49CA">
        <w:rPr>
          <w:rFonts w:ascii="Times New Roman" w:hAnsi="Times New Roman" w:cs="Times New Roman"/>
          <w:sz w:val="20"/>
          <w:szCs w:val="20"/>
          <w:lang w:val="en-US"/>
        </w:rPr>
        <w:t xml:space="preserve"> SS, Tarik MEI, </w:t>
      </w:r>
      <w:proofErr w:type="spellStart"/>
      <w:r w:rsidRPr="002F49CA">
        <w:rPr>
          <w:rFonts w:ascii="Times New Roman" w:hAnsi="Times New Roman" w:cs="Times New Roman"/>
          <w:sz w:val="20"/>
          <w:szCs w:val="20"/>
          <w:lang w:val="en-US"/>
        </w:rPr>
        <w:t>Hassannejad</w:t>
      </w:r>
      <w:proofErr w:type="spellEnd"/>
      <w:r w:rsidRPr="002F49CA">
        <w:rPr>
          <w:rFonts w:ascii="Times New Roman" w:hAnsi="Times New Roman" w:cs="Times New Roman"/>
          <w:sz w:val="20"/>
          <w:szCs w:val="20"/>
          <w:lang w:val="en-US"/>
        </w:rPr>
        <w:t xml:space="preserve"> S, Rahimi M, Imran S (2025) LED light effect on growth, pigments, and antioxidants of lettuce (</w:t>
      </w:r>
      <w:r w:rsidRPr="002F49CA">
        <w:rPr>
          <w:rFonts w:ascii="Times New Roman" w:hAnsi="Times New Roman" w:cs="Times New Roman"/>
          <w:i/>
          <w:iCs/>
          <w:sz w:val="20"/>
          <w:szCs w:val="20"/>
          <w:lang w:val="en-US"/>
        </w:rPr>
        <w:t>Lactuca sativa</w:t>
      </w:r>
      <w:r w:rsidRPr="002F49CA">
        <w:rPr>
          <w:rFonts w:ascii="Times New Roman" w:hAnsi="Times New Roman" w:cs="Times New Roman"/>
          <w:sz w:val="20"/>
          <w:szCs w:val="20"/>
          <w:lang w:val="en-US"/>
        </w:rPr>
        <w:t xml:space="preserve"> L.) baby greens. BMC Plant Biology, 25(1):582. </w:t>
      </w:r>
      <w:hyperlink r:id="rId84" w:history="1">
        <w:r w:rsidRPr="002F49CA">
          <w:rPr>
            <w:rStyle w:val="Hyperlink"/>
            <w:rFonts w:ascii="Times New Roman" w:eastAsiaTheme="majorEastAsia" w:hAnsi="Times New Roman" w:cs="Times New Roman"/>
            <w:sz w:val="20"/>
            <w:szCs w:val="20"/>
            <w:lang w:val="en-US"/>
          </w:rPr>
          <w:t>https://doi.org/10.1186/s12870-025-06621-8</w:t>
        </w:r>
      </w:hyperlink>
      <w:r w:rsidRPr="002F49CA">
        <w:rPr>
          <w:rFonts w:ascii="Times New Roman" w:hAnsi="Times New Roman" w:cs="Times New Roman"/>
          <w:sz w:val="20"/>
          <w:szCs w:val="20"/>
          <w:lang w:val="en-US"/>
        </w:rPr>
        <w:t xml:space="preserve"> </w:t>
      </w:r>
    </w:p>
    <w:p w14:paraId="2959416D"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Tian Z, Wang JW, Li J, Han B (2021) Designing future crops: challenges and strategies for sustainable agriculture. The Plant Journal, 105(5):1165-1178. </w:t>
      </w:r>
      <w:hyperlink r:id="rId85" w:history="1">
        <w:r w:rsidRPr="002F49CA">
          <w:rPr>
            <w:rStyle w:val="Hyperlink"/>
            <w:rFonts w:ascii="Times New Roman" w:eastAsiaTheme="majorEastAsia" w:hAnsi="Times New Roman" w:cs="Times New Roman"/>
            <w:sz w:val="20"/>
            <w:szCs w:val="20"/>
            <w:lang w:val="en-US"/>
          </w:rPr>
          <w:t>https://doi.org/10.1111/tpj.15107</w:t>
        </w:r>
      </w:hyperlink>
      <w:r w:rsidRPr="002F49CA">
        <w:rPr>
          <w:rFonts w:ascii="Times New Roman" w:hAnsi="Times New Roman" w:cs="Times New Roman"/>
          <w:sz w:val="20"/>
          <w:szCs w:val="20"/>
          <w:lang w:val="en-US"/>
        </w:rPr>
        <w:t xml:space="preserve"> </w:t>
      </w:r>
    </w:p>
    <w:p w14:paraId="220DF587"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Vershinina Y, Reshetnikova E, </w:t>
      </w:r>
      <w:proofErr w:type="spellStart"/>
      <w:r w:rsidRPr="002F49CA">
        <w:rPr>
          <w:rFonts w:ascii="Times New Roman" w:hAnsi="Times New Roman" w:cs="Times New Roman"/>
          <w:sz w:val="20"/>
          <w:szCs w:val="20"/>
          <w:lang w:val="en-US"/>
        </w:rPr>
        <w:t>Lv</w:t>
      </w:r>
      <w:proofErr w:type="spellEnd"/>
      <w:r w:rsidRPr="002F49CA">
        <w:rPr>
          <w:rFonts w:ascii="Times New Roman" w:hAnsi="Times New Roman" w:cs="Times New Roman"/>
          <w:sz w:val="20"/>
          <w:szCs w:val="20"/>
          <w:lang w:val="en-US"/>
        </w:rPr>
        <w:t xml:space="preserve"> S, Kolesnik I, </w:t>
      </w:r>
      <w:proofErr w:type="spellStart"/>
      <w:r w:rsidRPr="002F49CA">
        <w:rPr>
          <w:rFonts w:ascii="Times New Roman" w:hAnsi="Times New Roman" w:cs="Times New Roman"/>
          <w:sz w:val="20"/>
          <w:szCs w:val="20"/>
          <w:lang w:val="en-US"/>
        </w:rPr>
        <w:t>Kapitanova</w:t>
      </w:r>
      <w:proofErr w:type="spellEnd"/>
      <w:r w:rsidRPr="002F49CA">
        <w:rPr>
          <w:rFonts w:ascii="Times New Roman" w:hAnsi="Times New Roman" w:cs="Times New Roman"/>
          <w:sz w:val="20"/>
          <w:szCs w:val="20"/>
          <w:lang w:val="en-US"/>
        </w:rPr>
        <w:t xml:space="preserve"> O, Veselova I (2025) Raman and IR spectroscopy as a promising approach to rapid and non-destructive monitoring of chlorogenic acid in protein matrices. Frontiers in Chemistry, 13:1543663. </w:t>
      </w:r>
      <w:hyperlink r:id="rId86" w:history="1">
        <w:r w:rsidRPr="002F49CA">
          <w:rPr>
            <w:rStyle w:val="Hyperlink"/>
            <w:rFonts w:ascii="Times New Roman" w:eastAsiaTheme="majorEastAsia" w:hAnsi="Times New Roman" w:cs="Times New Roman"/>
            <w:sz w:val="20"/>
            <w:szCs w:val="20"/>
            <w:lang w:val="en-US"/>
          </w:rPr>
          <w:t>https://doi.org/10.3389/fchem.2025.1543663</w:t>
        </w:r>
      </w:hyperlink>
      <w:r w:rsidRPr="002F49CA">
        <w:rPr>
          <w:rFonts w:ascii="Times New Roman" w:hAnsi="Times New Roman" w:cs="Times New Roman"/>
          <w:sz w:val="20"/>
          <w:szCs w:val="20"/>
          <w:lang w:val="en-US"/>
        </w:rPr>
        <w:t xml:space="preserve"> </w:t>
      </w:r>
    </w:p>
    <w:p w14:paraId="344C38EC"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lastRenderedPageBreak/>
        <w:t xml:space="preserve">Wawrosch C, </w:t>
      </w:r>
      <w:proofErr w:type="spellStart"/>
      <w:r w:rsidRPr="002F49CA">
        <w:rPr>
          <w:rFonts w:ascii="Times New Roman" w:hAnsi="Times New Roman" w:cs="Times New Roman"/>
          <w:sz w:val="20"/>
          <w:szCs w:val="20"/>
          <w:lang w:val="en-US"/>
        </w:rPr>
        <w:t>Zotchev</w:t>
      </w:r>
      <w:proofErr w:type="spellEnd"/>
      <w:r w:rsidRPr="002F49CA">
        <w:rPr>
          <w:rFonts w:ascii="Times New Roman" w:hAnsi="Times New Roman" w:cs="Times New Roman"/>
          <w:sz w:val="20"/>
          <w:szCs w:val="20"/>
          <w:lang w:val="en-US"/>
        </w:rPr>
        <w:t xml:space="preserve"> SB (2021) Production of bioactive plant secondary metabolites through </w:t>
      </w:r>
      <w:r w:rsidRPr="002F49CA">
        <w:rPr>
          <w:rFonts w:ascii="Times New Roman" w:hAnsi="Times New Roman" w:cs="Times New Roman"/>
          <w:i/>
          <w:iCs/>
          <w:sz w:val="20"/>
          <w:szCs w:val="20"/>
          <w:lang w:val="en-US"/>
        </w:rPr>
        <w:t>in vitro</w:t>
      </w:r>
      <w:r w:rsidRPr="002F49CA">
        <w:rPr>
          <w:rFonts w:ascii="Times New Roman" w:hAnsi="Times New Roman" w:cs="Times New Roman"/>
          <w:sz w:val="20"/>
          <w:szCs w:val="20"/>
          <w:lang w:val="en-US"/>
        </w:rPr>
        <w:t xml:space="preserve"> technologies—status and outlook. Applied Microbiology and Biotechnology, 105(18):6649-6668. </w:t>
      </w:r>
      <w:hyperlink r:id="rId87" w:history="1">
        <w:r w:rsidRPr="002F49CA">
          <w:rPr>
            <w:rStyle w:val="Hyperlink"/>
            <w:rFonts w:ascii="Times New Roman" w:eastAsiaTheme="majorEastAsia" w:hAnsi="Times New Roman" w:cs="Times New Roman"/>
            <w:sz w:val="20"/>
            <w:szCs w:val="20"/>
            <w:lang w:val="en-US"/>
          </w:rPr>
          <w:t>https://doi.org/10.1007/s00253-021-11539-w</w:t>
        </w:r>
      </w:hyperlink>
      <w:r w:rsidRPr="002F49CA">
        <w:rPr>
          <w:rFonts w:ascii="Times New Roman" w:hAnsi="Times New Roman" w:cs="Times New Roman"/>
          <w:sz w:val="20"/>
          <w:szCs w:val="20"/>
          <w:lang w:val="en-US"/>
        </w:rPr>
        <w:t xml:space="preserve"> </w:t>
      </w:r>
    </w:p>
    <w:p w14:paraId="3F997C3E"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Wu BS, Mansoori M, Schwalb M, Islam S, Naznin MT, Addo PW et al (2024). Light emitting diode effect of red, blue, and amber light on photosynthesis and plant growth parameters. Journal of Photochemistry and Photobiology B: Biology, 256:112939. </w:t>
      </w:r>
      <w:hyperlink r:id="rId88" w:history="1">
        <w:r w:rsidRPr="002F49CA">
          <w:rPr>
            <w:rStyle w:val="Hyperlink"/>
            <w:rFonts w:ascii="Times New Roman" w:eastAsiaTheme="majorEastAsia" w:hAnsi="Times New Roman" w:cs="Times New Roman"/>
            <w:sz w:val="20"/>
            <w:szCs w:val="20"/>
            <w:lang w:val="en-US"/>
          </w:rPr>
          <w:t>https://doi.org/10.1016/j.jphotobiol.2024.112939</w:t>
        </w:r>
      </w:hyperlink>
      <w:r w:rsidRPr="002F49CA">
        <w:rPr>
          <w:rFonts w:ascii="Times New Roman" w:hAnsi="Times New Roman" w:cs="Times New Roman"/>
          <w:sz w:val="20"/>
          <w:szCs w:val="20"/>
          <w:lang w:val="en-US"/>
        </w:rPr>
        <w:t xml:space="preserve"> </w:t>
      </w:r>
    </w:p>
    <w:p w14:paraId="7C3397FE"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fr-FR"/>
        </w:rPr>
        <w:t xml:space="preserve">Wu X, Zhang X, Wang Y, Wu C, Sun Y, Zhang Y et al (2024). </w:t>
      </w:r>
      <w:r w:rsidRPr="002F49CA">
        <w:rPr>
          <w:rFonts w:ascii="Times New Roman" w:hAnsi="Times New Roman" w:cs="Times New Roman"/>
          <w:sz w:val="20"/>
          <w:szCs w:val="20"/>
          <w:lang w:val="en-US"/>
        </w:rPr>
        <w:t xml:space="preserve">Additional far-red light promotes adventitious rooting of double-root-cutting grafted watermelon seedlings. Horticultural Plant Journal, 10(6):1424-1436. </w:t>
      </w:r>
      <w:hyperlink r:id="rId89" w:history="1">
        <w:r w:rsidRPr="002F49CA">
          <w:rPr>
            <w:rStyle w:val="Hyperlink"/>
            <w:rFonts w:ascii="Times New Roman" w:eastAsiaTheme="majorEastAsia" w:hAnsi="Times New Roman" w:cs="Times New Roman"/>
            <w:sz w:val="20"/>
            <w:szCs w:val="20"/>
            <w:lang w:val="en-US"/>
          </w:rPr>
          <w:t>https://doi.org/10.1016/j.hpj.2022.11.012</w:t>
        </w:r>
      </w:hyperlink>
      <w:r w:rsidRPr="002F49CA">
        <w:rPr>
          <w:rFonts w:ascii="Times New Roman" w:hAnsi="Times New Roman" w:cs="Times New Roman"/>
          <w:sz w:val="20"/>
          <w:szCs w:val="20"/>
          <w:lang w:val="en-US"/>
        </w:rPr>
        <w:t xml:space="preserve"> </w:t>
      </w:r>
    </w:p>
    <w:p w14:paraId="55087911"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Xie H, Zeng J, Feng W, Gao W, Lai Z, Liu S (2025) Differential Expression of Amaranth </w:t>
      </w:r>
      <w:proofErr w:type="spellStart"/>
      <w:r w:rsidRPr="002F49CA">
        <w:rPr>
          <w:rFonts w:ascii="Times New Roman" w:hAnsi="Times New Roman" w:cs="Times New Roman"/>
          <w:sz w:val="20"/>
          <w:szCs w:val="20"/>
          <w:lang w:val="en-US"/>
        </w:rPr>
        <w:t>AtrDODA</w:t>
      </w:r>
      <w:proofErr w:type="spellEnd"/>
      <w:r w:rsidRPr="002F49CA">
        <w:rPr>
          <w:rFonts w:ascii="Times New Roman" w:hAnsi="Times New Roman" w:cs="Times New Roman"/>
          <w:sz w:val="20"/>
          <w:szCs w:val="20"/>
          <w:lang w:val="en-US"/>
        </w:rPr>
        <w:t xml:space="preserve"> Gene Family Members in </w:t>
      </w:r>
      <w:proofErr w:type="spellStart"/>
      <w:r w:rsidRPr="002F49CA">
        <w:rPr>
          <w:rFonts w:ascii="Times New Roman" w:hAnsi="Times New Roman" w:cs="Times New Roman"/>
          <w:sz w:val="20"/>
          <w:szCs w:val="20"/>
          <w:lang w:val="en-US"/>
        </w:rPr>
        <w:t>Betalain</w:t>
      </w:r>
      <w:proofErr w:type="spellEnd"/>
      <w:r w:rsidRPr="002F49CA">
        <w:rPr>
          <w:rFonts w:ascii="Times New Roman" w:hAnsi="Times New Roman" w:cs="Times New Roman"/>
          <w:sz w:val="20"/>
          <w:szCs w:val="20"/>
          <w:lang w:val="en-US"/>
        </w:rPr>
        <w:t xml:space="preserve"> Synthesis and Functional Analysis of AtrDODA1-1 Promoter. Plants, 14(3):454. </w:t>
      </w:r>
      <w:hyperlink r:id="rId90" w:history="1">
        <w:r w:rsidRPr="002F49CA">
          <w:rPr>
            <w:rStyle w:val="Hyperlink"/>
            <w:rFonts w:ascii="Times New Roman" w:eastAsiaTheme="majorEastAsia" w:hAnsi="Times New Roman" w:cs="Times New Roman"/>
            <w:sz w:val="20"/>
            <w:szCs w:val="20"/>
            <w:lang w:val="en-US"/>
          </w:rPr>
          <w:t>https://doi.org/10.3390/plants14030454</w:t>
        </w:r>
      </w:hyperlink>
      <w:r w:rsidRPr="002F49CA">
        <w:rPr>
          <w:rFonts w:ascii="Times New Roman" w:hAnsi="Times New Roman" w:cs="Times New Roman"/>
          <w:sz w:val="20"/>
          <w:szCs w:val="20"/>
          <w:lang w:val="en-US"/>
        </w:rPr>
        <w:t xml:space="preserve"> </w:t>
      </w:r>
    </w:p>
    <w:p w14:paraId="05BF8EE1"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Yang ZY, Zheng XW, Jiang WH, Chen GZ, Liang QZ, Xu GZ, &amp; Yi RH (2024) </w:t>
      </w:r>
      <w:r w:rsidRPr="002F49CA">
        <w:rPr>
          <w:rFonts w:ascii="Times New Roman" w:hAnsi="Times New Roman" w:cs="Times New Roman"/>
          <w:i/>
          <w:iCs/>
          <w:sz w:val="20"/>
          <w:szCs w:val="20"/>
          <w:lang w:val="en-US"/>
        </w:rPr>
        <w:t>Selenicereus undatus</w:t>
      </w:r>
      <w:r w:rsidRPr="002F49CA">
        <w:rPr>
          <w:rFonts w:ascii="Times New Roman" w:hAnsi="Times New Roman" w:cs="Times New Roman"/>
          <w:sz w:val="20"/>
          <w:szCs w:val="20"/>
          <w:lang w:val="en-US"/>
        </w:rPr>
        <w:t xml:space="preserve"> (Dragon Fruit) Phytochemicals for Managing Three Human Pathogenic Bacteria: An </w:t>
      </w:r>
      <w:r w:rsidRPr="002F49CA">
        <w:rPr>
          <w:rFonts w:ascii="Times New Roman" w:hAnsi="Times New Roman" w:cs="Times New Roman"/>
          <w:i/>
          <w:iCs/>
          <w:sz w:val="20"/>
          <w:szCs w:val="20"/>
          <w:lang w:val="en-US"/>
        </w:rPr>
        <w:t>In Vitro</w:t>
      </w:r>
      <w:r w:rsidRPr="002F49CA">
        <w:rPr>
          <w:rFonts w:ascii="Times New Roman" w:hAnsi="Times New Roman" w:cs="Times New Roman"/>
          <w:sz w:val="20"/>
          <w:szCs w:val="20"/>
          <w:lang w:val="en-US"/>
        </w:rPr>
        <w:t xml:space="preserve"> and In Silico Approach. Metabolites, 14(11):577. </w:t>
      </w:r>
      <w:hyperlink r:id="rId91" w:history="1">
        <w:r w:rsidRPr="002F49CA">
          <w:rPr>
            <w:rStyle w:val="Hyperlink"/>
            <w:rFonts w:ascii="Times New Roman" w:eastAsiaTheme="majorEastAsia" w:hAnsi="Times New Roman" w:cs="Times New Roman"/>
            <w:sz w:val="20"/>
            <w:szCs w:val="20"/>
            <w:lang w:val="en-US"/>
          </w:rPr>
          <w:t>https://doi.org/10.3390/metabo14110577</w:t>
        </w:r>
      </w:hyperlink>
      <w:r w:rsidRPr="002F49CA">
        <w:rPr>
          <w:rFonts w:ascii="Times New Roman" w:hAnsi="Times New Roman" w:cs="Times New Roman"/>
          <w:sz w:val="20"/>
          <w:szCs w:val="20"/>
          <w:lang w:val="en-US"/>
        </w:rPr>
        <w:t xml:space="preserve"> </w:t>
      </w:r>
    </w:p>
    <w:p w14:paraId="3E026452"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Yang Z, Liu B, Su J, Liao J, Lin C, Oka Y (2017) Cryptochromes orchestrate transcription regulation of diverse blue light responses in plants. Photochemistry and Photobiology, 93(1):112-127. </w:t>
      </w:r>
      <w:hyperlink r:id="rId92" w:history="1">
        <w:r w:rsidRPr="002F49CA">
          <w:rPr>
            <w:rStyle w:val="Hyperlink"/>
            <w:rFonts w:ascii="Times New Roman" w:eastAsiaTheme="majorEastAsia" w:hAnsi="Times New Roman" w:cs="Times New Roman"/>
            <w:sz w:val="20"/>
            <w:szCs w:val="20"/>
            <w:lang w:val="en-US"/>
          </w:rPr>
          <w:t>https://doi.org/10.1111/php.12663</w:t>
        </w:r>
      </w:hyperlink>
      <w:r w:rsidRPr="002F49CA">
        <w:rPr>
          <w:rFonts w:ascii="Times New Roman" w:hAnsi="Times New Roman" w:cs="Times New Roman"/>
          <w:sz w:val="20"/>
          <w:szCs w:val="20"/>
          <w:lang w:val="en-US"/>
        </w:rPr>
        <w:t xml:space="preserve"> </w:t>
      </w:r>
    </w:p>
    <w:p w14:paraId="3C24E492" w14:textId="77777777" w:rsidR="00142BBE" w:rsidRPr="002F49CA" w:rsidRDefault="00142BBE" w:rsidP="00142BBE">
      <w:pPr>
        <w:jc w:val="both"/>
        <w:rPr>
          <w:rFonts w:ascii="Times New Roman" w:hAnsi="Times New Roman" w:cs="Times New Roman"/>
          <w:sz w:val="20"/>
          <w:szCs w:val="20"/>
          <w:lang w:val="en-US"/>
        </w:rPr>
      </w:pPr>
      <w:proofErr w:type="spellStart"/>
      <w:r w:rsidRPr="002F49CA">
        <w:rPr>
          <w:rFonts w:ascii="Times New Roman" w:hAnsi="Times New Roman" w:cs="Times New Roman"/>
          <w:sz w:val="20"/>
          <w:szCs w:val="20"/>
          <w:lang w:val="en-US"/>
        </w:rPr>
        <w:t>Yaoyuan</w:t>
      </w:r>
      <w:proofErr w:type="spellEnd"/>
      <w:r w:rsidRPr="002F49CA">
        <w:rPr>
          <w:rFonts w:ascii="Times New Roman" w:hAnsi="Times New Roman" w:cs="Times New Roman"/>
          <w:sz w:val="20"/>
          <w:szCs w:val="20"/>
          <w:lang w:val="en-US"/>
        </w:rPr>
        <w:t xml:space="preserve"> Z, Lau NS, Subramaniam S (2025) Illuminating the harvest: the regulatory effects of LEDs on pigment accumulation in various food crops. Physiology and Molecular Biology of Plants, 1-16. </w:t>
      </w:r>
      <w:hyperlink r:id="rId93" w:history="1">
        <w:r w:rsidRPr="002F49CA">
          <w:rPr>
            <w:rStyle w:val="Hyperlink"/>
            <w:rFonts w:ascii="Times New Roman" w:eastAsiaTheme="majorEastAsia" w:hAnsi="Times New Roman" w:cs="Times New Roman"/>
            <w:sz w:val="20"/>
            <w:szCs w:val="20"/>
            <w:lang w:val="en-US"/>
          </w:rPr>
          <w:t>https://doi.org/10.1007/s12298-025-01596-0</w:t>
        </w:r>
      </w:hyperlink>
      <w:r w:rsidRPr="002F49CA">
        <w:rPr>
          <w:rFonts w:ascii="Times New Roman" w:hAnsi="Times New Roman" w:cs="Times New Roman"/>
          <w:sz w:val="20"/>
          <w:szCs w:val="20"/>
          <w:lang w:val="en-US"/>
        </w:rPr>
        <w:t xml:space="preserve"> </w:t>
      </w:r>
    </w:p>
    <w:p w14:paraId="2C7184EB"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Yasmin A, Sumi MJ, Akter K, Rabbi RHM, </w:t>
      </w:r>
      <w:proofErr w:type="spellStart"/>
      <w:r w:rsidRPr="002F49CA">
        <w:rPr>
          <w:rFonts w:ascii="Times New Roman" w:hAnsi="Times New Roman" w:cs="Times New Roman"/>
          <w:sz w:val="20"/>
          <w:szCs w:val="20"/>
          <w:lang w:val="en-US"/>
        </w:rPr>
        <w:t>Almoallim</w:t>
      </w:r>
      <w:proofErr w:type="spellEnd"/>
      <w:r w:rsidRPr="002F49CA">
        <w:rPr>
          <w:rFonts w:ascii="Times New Roman" w:hAnsi="Times New Roman" w:cs="Times New Roman"/>
          <w:sz w:val="20"/>
          <w:szCs w:val="20"/>
          <w:lang w:val="en-US"/>
        </w:rPr>
        <w:t xml:space="preserve"> HS, Ansari MJ, Hossain A, Imran S (2024) Comparative analysis of nutrient composition and antioxidant activity in three dragon fruit cultivars. </w:t>
      </w:r>
      <w:proofErr w:type="spellStart"/>
      <w:r w:rsidRPr="002F49CA">
        <w:rPr>
          <w:rFonts w:ascii="Times New Roman" w:hAnsi="Times New Roman" w:cs="Times New Roman"/>
          <w:i/>
          <w:iCs/>
          <w:sz w:val="20"/>
          <w:szCs w:val="20"/>
          <w:lang w:val="en-US"/>
        </w:rPr>
        <w:t>PeerJ</w:t>
      </w:r>
      <w:proofErr w:type="spellEnd"/>
      <w:r w:rsidRPr="002F49CA">
        <w:rPr>
          <w:rFonts w:ascii="Times New Roman" w:hAnsi="Times New Roman" w:cs="Times New Roman"/>
          <w:sz w:val="20"/>
          <w:szCs w:val="20"/>
          <w:lang w:val="en-US"/>
        </w:rPr>
        <w:t> </w:t>
      </w:r>
      <w:proofErr w:type="gramStart"/>
      <w:r w:rsidRPr="002F49CA">
        <w:rPr>
          <w:rFonts w:ascii="Times New Roman" w:hAnsi="Times New Roman" w:cs="Times New Roman"/>
          <w:sz w:val="20"/>
          <w:szCs w:val="20"/>
          <w:lang w:val="en-US"/>
        </w:rPr>
        <w:t>12:e</w:t>
      </w:r>
      <w:proofErr w:type="gramEnd"/>
      <w:r w:rsidRPr="002F49CA">
        <w:rPr>
          <w:rFonts w:ascii="Times New Roman" w:hAnsi="Times New Roman" w:cs="Times New Roman"/>
          <w:sz w:val="20"/>
          <w:szCs w:val="20"/>
          <w:lang w:val="en-US"/>
        </w:rPr>
        <w:t>17719 </w:t>
      </w:r>
      <w:hyperlink r:id="rId94" w:history="1">
        <w:r w:rsidRPr="002F49CA">
          <w:rPr>
            <w:rStyle w:val="Hyperlink"/>
            <w:rFonts w:ascii="Times New Roman" w:eastAsiaTheme="majorEastAsia" w:hAnsi="Times New Roman" w:cs="Times New Roman"/>
            <w:sz w:val="20"/>
            <w:szCs w:val="20"/>
            <w:lang w:val="en-US"/>
          </w:rPr>
          <w:t>https://doi.org/10.7717/peerj.17719</w:t>
        </w:r>
      </w:hyperlink>
      <w:r w:rsidRPr="002F49CA">
        <w:rPr>
          <w:rFonts w:ascii="Times New Roman" w:hAnsi="Times New Roman" w:cs="Times New Roman"/>
          <w:sz w:val="20"/>
          <w:szCs w:val="20"/>
          <w:lang w:val="en-US"/>
        </w:rPr>
        <w:t xml:space="preserve"> </w:t>
      </w:r>
    </w:p>
    <w:p w14:paraId="1A04E43F"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Yeh N, Chung JP (2009) High-brightness LEDs—Energy efficient lighting sources and their potential in indoor plant cultivation. Renewable and Sustainable Energy Reviews, 13(8):2175-2180. </w:t>
      </w:r>
      <w:hyperlink r:id="rId95" w:history="1">
        <w:r w:rsidRPr="002F49CA">
          <w:rPr>
            <w:rStyle w:val="Hyperlink"/>
            <w:rFonts w:ascii="Times New Roman" w:eastAsiaTheme="majorEastAsia" w:hAnsi="Times New Roman" w:cs="Times New Roman"/>
            <w:sz w:val="20"/>
            <w:szCs w:val="20"/>
            <w:lang w:val="en-US"/>
          </w:rPr>
          <w:t>https://doi.org/10.1016/j.rser.2009.01.027</w:t>
        </w:r>
      </w:hyperlink>
      <w:r w:rsidRPr="002F49CA">
        <w:rPr>
          <w:rFonts w:ascii="Times New Roman" w:hAnsi="Times New Roman" w:cs="Times New Roman"/>
          <w:sz w:val="20"/>
          <w:szCs w:val="20"/>
          <w:lang w:val="en-US"/>
        </w:rPr>
        <w:t xml:space="preserve"> </w:t>
      </w:r>
    </w:p>
    <w:p w14:paraId="60E28261"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Yun F, Liu H, Deng Y, Hou X, Liao W (2023) The role of light-regulated auxin signaling in root development. International Journal of Molecular Sciences, 24(6):5253.  </w:t>
      </w:r>
      <w:hyperlink r:id="rId96" w:history="1">
        <w:r w:rsidRPr="002F49CA">
          <w:rPr>
            <w:rStyle w:val="Hyperlink"/>
            <w:rFonts w:ascii="Times New Roman" w:eastAsiaTheme="majorEastAsia" w:hAnsi="Times New Roman" w:cs="Times New Roman"/>
            <w:sz w:val="20"/>
            <w:szCs w:val="20"/>
            <w:lang w:val="en-US"/>
          </w:rPr>
          <w:t>https://doi.org/10.3390/ijms24065253</w:t>
        </w:r>
      </w:hyperlink>
      <w:r w:rsidRPr="002F49CA">
        <w:rPr>
          <w:rFonts w:ascii="Times New Roman" w:hAnsi="Times New Roman" w:cs="Times New Roman"/>
          <w:sz w:val="20"/>
          <w:szCs w:val="20"/>
          <w:lang w:val="en-US"/>
        </w:rPr>
        <w:t xml:space="preserve"> </w:t>
      </w:r>
    </w:p>
    <w:p w14:paraId="50D41F6D" w14:textId="77777777" w:rsidR="00142BBE" w:rsidRPr="002F49CA"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Zheng L, Van Labeke MC (2017) Long-term effects of red-and blue-light emitting diodes on leaf anatomy and photosynthetic efficiency of three ornamental pot plants. Frontiers in plant science, 8:917. </w:t>
      </w:r>
      <w:hyperlink r:id="rId97" w:history="1">
        <w:r w:rsidRPr="002F49CA">
          <w:rPr>
            <w:rStyle w:val="Hyperlink"/>
            <w:rFonts w:ascii="Times New Roman" w:eastAsiaTheme="majorEastAsia" w:hAnsi="Times New Roman" w:cs="Times New Roman"/>
            <w:sz w:val="20"/>
            <w:szCs w:val="20"/>
            <w:lang w:val="en-US"/>
          </w:rPr>
          <w:t>https://doi.org/10.3389/fpls.2017.00917</w:t>
        </w:r>
      </w:hyperlink>
      <w:r w:rsidRPr="002F49CA">
        <w:rPr>
          <w:rFonts w:ascii="Times New Roman" w:hAnsi="Times New Roman" w:cs="Times New Roman"/>
          <w:sz w:val="20"/>
          <w:szCs w:val="20"/>
          <w:lang w:val="en-US"/>
        </w:rPr>
        <w:t xml:space="preserve"> </w:t>
      </w:r>
    </w:p>
    <w:p w14:paraId="3076B872" w14:textId="6DAE5D80" w:rsidR="001059B9" w:rsidRPr="008E7A74" w:rsidRDefault="00142BBE" w:rsidP="00142BBE">
      <w:pPr>
        <w:jc w:val="both"/>
        <w:rPr>
          <w:rFonts w:ascii="Times New Roman" w:hAnsi="Times New Roman" w:cs="Times New Roman"/>
          <w:sz w:val="20"/>
          <w:szCs w:val="20"/>
          <w:lang w:val="en-US"/>
        </w:rPr>
      </w:pPr>
      <w:r w:rsidRPr="002F49CA">
        <w:rPr>
          <w:rFonts w:ascii="Times New Roman" w:hAnsi="Times New Roman" w:cs="Times New Roman"/>
          <w:sz w:val="20"/>
          <w:szCs w:val="20"/>
          <w:lang w:val="en-US"/>
        </w:rPr>
        <w:t xml:space="preserve">Zhu X, Wu C, Hui J (2025) Effect of Light Intensity on Anthocyanin Synthesis Assessed Using Leaves of </w:t>
      </w:r>
      <w:r w:rsidRPr="002F49CA">
        <w:rPr>
          <w:rFonts w:ascii="Times New Roman" w:hAnsi="Times New Roman" w:cs="Times New Roman"/>
          <w:i/>
          <w:iCs/>
          <w:sz w:val="20"/>
          <w:szCs w:val="20"/>
          <w:lang w:val="en-US"/>
        </w:rPr>
        <w:t xml:space="preserve">Aglaonema </w:t>
      </w:r>
      <w:proofErr w:type="spellStart"/>
      <w:r w:rsidRPr="002F49CA">
        <w:rPr>
          <w:rFonts w:ascii="Times New Roman" w:hAnsi="Times New Roman" w:cs="Times New Roman"/>
          <w:i/>
          <w:iCs/>
          <w:sz w:val="20"/>
          <w:szCs w:val="20"/>
          <w:lang w:val="en-US"/>
        </w:rPr>
        <w:t>commutatum</w:t>
      </w:r>
      <w:proofErr w:type="spellEnd"/>
      <w:r w:rsidRPr="002F49CA">
        <w:rPr>
          <w:rFonts w:ascii="Times New Roman" w:hAnsi="Times New Roman" w:cs="Times New Roman"/>
          <w:sz w:val="20"/>
          <w:szCs w:val="20"/>
          <w:lang w:val="en-US"/>
        </w:rPr>
        <w:t>. </w:t>
      </w:r>
      <w:r w:rsidRPr="008B0BE5">
        <w:rPr>
          <w:rFonts w:ascii="Times New Roman" w:hAnsi="Times New Roman" w:cs="Times New Roman"/>
          <w:sz w:val="20"/>
          <w:szCs w:val="20"/>
          <w:lang w:val="en-US"/>
        </w:rPr>
        <w:t xml:space="preserve">Genes, 16(4):375. </w:t>
      </w:r>
      <w:hyperlink r:id="rId98" w:history="1">
        <w:r w:rsidRPr="008B0BE5">
          <w:rPr>
            <w:rStyle w:val="Hyperlink"/>
            <w:rFonts w:ascii="Times New Roman" w:eastAsiaTheme="majorEastAsia" w:hAnsi="Times New Roman" w:cs="Times New Roman"/>
            <w:sz w:val="20"/>
            <w:szCs w:val="20"/>
            <w:lang w:val="en-US"/>
          </w:rPr>
          <w:t>https://doi.org/10.3390/genes16040375</w:t>
        </w:r>
      </w:hyperlink>
      <w:r w:rsidRPr="008B0BE5">
        <w:rPr>
          <w:rFonts w:ascii="Times New Roman" w:hAnsi="Times New Roman" w:cs="Times New Roman"/>
          <w:sz w:val="20"/>
          <w:szCs w:val="20"/>
          <w:lang w:val="en-US"/>
        </w:rPr>
        <w:t xml:space="preserve"> </w:t>
      </w:r>
    </w:p>
    <w:sectPr w:rsidR="001059B9" w:rsidRPr="008E7A74" w:rsidSect="00BC0BA3">
      <w:footerReference w:type="default" r:id="rId99"/>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7836A" w14:textId="77777777" w:rsidR="00847B4B" w:rsidRDefault="00847B4B" w:rsidP="00C57DDB">
      <w:pPr>
        <w:spacing w:after="0" w:line="240" w:lineRule="auto"/>
      </w:pPr>
      <w:r>
        <w:separator/>
      </w:r>
    </w:p>
  </w:endnote>
  <w:endnote w:type="continuationSeparator" w:id="0">
    <w:p w14:paraId="55460340" w14:textId="77777777" w:rsidR="00847B4B" w:rsidRDefault="00847B4B" w:rsidP="00C57D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imbus Roman No9 L">
    <w:charset w:val="00"/>
    <w:family w:val="auto"/>
    <w:pitch w:val="default"/>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2143880457"/>
      <w:docPartObj>
        <w:docPartGallery w:val="Page Numbers (Bottom of Page)"/>
        <w:docPartUnique/>
      </w:docPartObj>
    </w:sdtPr>
    <w:sdtEndPr>
      <w:rPr>
        <w:noProof/>
      </w:rPr>
    </w:sdtEndPr>
    <w:sdtContent>
      <w:p w14:paraId="7D653FE1" w14:textId="78D0A46A" w:rsidR="00C57DDB" w:rsidRPr="008E7A74" w:rsidRDefault="00C57DDB">
        <w:pPr>
          <w:pStyle w:val="Footer"/>
          <w:jc w:val="right"/>
          <w:rPr>
            <w:rFonts w:ascii="Times New Roman" w:hAnsi="Times New Roman" w:cs="Times New Roman"/>
            <w:sz w:val="20"/>
            <w:szCs w:val="20"/>
          </w:rPr>
        </w:pPr>
        <w:r w:rsidRPr="008E7A74">
          <w:rPr>
            <w:rFonts w:ascii="Times New Roman" w:hAnsi="Times New Roman" w:cs="Times New Roman"/>
            <w:sz w:val="20"/>
            <w:szCs w:val="20"/>
          </w:rPr>
          <w:fldChar w:fldCharType="begin"/>
        </w:r>
        <w:r w:rsidRPr="008E7A74">
          <w:rPr>
            <w:rFonts w:ascii="Times New Roman" w:hAnsi="Times New Roman" w:cs="Times New Roman"/>
            <w:sz w:val="20"/>
            <w:szCs w:val="20"/>
          </w:rPr>
          <w:instrText xml:space="preserve"> PAGE   \* MERGEFORMAT </w:instrText>
        </w:r>
        <w:r w:rsidRPr="008E7A74">
          <w:rPr>
            <w:rFonts w:ascii="Times New Roman" w:hAnsi="Times New Roman" w:cs="Times New Roman"/>
            <w:sz w:val="20"/>
            <w:szCs w:val="20"/>
          </w:rPr>
          <w:fldChar w:fldCharType="separate"/>
        </w:r>
        <w:r w:rsidRPr="008E7A74">
          <w:rPr>
            <w:rFonts w:ascii="Times New Roman" w:hAnsi="Times New Roman" w:cs="Times New Roman"/>
            <w:noProof/>
            <w:sz w:val="20"/>
            <w:szCs w:val="20"/>
          </w:rPr>
          <w:t>2</w:t>
        </w:r>
        <w:r w:rsidRPr="008E7A74">
          <w:rPr>
            <w:rFonts w:ascii="Times New Roman" w:hAnsi="Times New Roman" w:cs="Times New Roman"/>
            <w:noProof/>
            <w:sz w:val="20"/>
            <w:szCs w:val="20"/>
          </w:rPr>
          <w:fldChar w:fldCharType="end"/>
        </w:r>
      </w:p>
    </w:sdtContent>
  </w:sdt>
  <w:p w14:paraId="6D5EFF58" w14:textId="77777777" w:rsidR="00C57DDB" w:rsidRPr="008E7A74" w:rsidRDefault="00C57DDB">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112CC" w14:textId="77777777" w:rsidR="00847B4B" w:rsidRDefault="00847B4B" w:rsidP="00C57DDB">
      <w:pPr>
        <w:spacing w:after="0" w:line="240" w:lineRule="auto"/>
      </w:pPr>
      <w:r>
        <w:separator/>
      </w:r>
    </w:p>
  </w:footnote>
  <w:footnote w:type="continuationSeparator" w:id="0">
    <w:p w14:paraId="1B4D273A" w14:textId="77777777" w:rsidR="00847B4B" w:rsidRDefault="00847B4B" w:rsidP="00C57DD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A16"/>
    <w:rsid w:val="00000449"/>
    <w:rsid w:val="00000528"/>
    <w:rsid w:val="000027EC"/>
    <w:rsid w:val="00002D64"/>
    <w:rsid w:val="000037CB"/>
    <w:rsid w:val="00003EB2"/>
    <w:rsid w:val="000041CE"/>
    <w:rsid w:val="000065CE"/>
    <w:rsid w:val="0000737C"/>
    <w:rsid w:val="00010BE0"/>
    <w:rsid w:val="00010EC8"/>
    <w:rsid w:val="00012A15"/>
    <w:rsid w:val="00014E5C"/>
    <w:rsid w:val="0001526C"/>
    <w:rsid w:val="00015F63"/>
    <w:rsid w:val="000174F5"/>
    <w:rsid w:val="00017788"/>
    <w:rsid w:val="00020633"/>
    <w:rsid w:val="000209C3"/>
    <w:rsid w:val="000215B6"/>
    <w:rsid w:val="000218A4"/>
    <w:rsid w:val="0002212B"/>
    <w:rsid w:val="000259BC"/>
    <w:rsid w:val="00025CE3"/>
    <w:rsid w:val="00025FD3"/>
    <w:rsid w:val="00026717"/>
    <w:rsid w:val="0003094E"/>
    <w:rsid w:val="00030E3A"/>
    <w:rsid w:val="00031008"/>
    <w:rsid w:val="000320E8"/>
    <w:rsid w:val="000329B2"/>
    <w:rsid w:val="00032DAA"/>
    <w:rsid w:val="0003301C"/>
    <w:rsid w:val="00033A8D"/>
    <w:rsid w:val="000351E7"/>
    <w:rsid w:val="00035763"/>
    <w:rsid w:val="00036DDF"/>
    <w:rsid w:val="00037AEC"/>
    <w:rsid w:val="00037E18"/>
    <w:rsid w:val="00043AB7"/>
    <w:rsid w:val="00043E7E"/>
    <w:rsid w:val="00044A1D"/>
    <w:rsid w:val="00045FD2"/>
    <w:rsid w:val="000464B2"/>
    <w:rsid w:val="00047A26"/>
    <w:rsid w:val="00047D11"/>
    <w:rsid w:val="00050369"/>
    <w:rsid w:val="00051AE9"/>
    <w:rsid w:val="000534C6"/>
    <w:rsid w:val="000537C8"/>
    <w:rsid w:val="00053C2F"/>
    <w:rsid w:val="000542A6"/>
    <w:rsid w:val="0005472C"/>
    <w:rsid w:val="00054C75"/>
    <w:rsid w:val="00054E7A"/>
    <w:rsid w:val="0005589F"/>
    <w:rsid w:val="00055C9F"/>
    <w:rsid w:val="00056073"/>
    <w:rsid w:val="00056B2E"/>
    <w:rsid w:val="000603E8"/>
    <w:rsid w:val="00061166"/>
    <w:rsid w:val="00061677"/>
    <w:rsid w:val="000621C5"/>
    <w:rsid w:val="000635D7"/>
    <w:rsid w:val="0006500C"/>
    <w:rsid w:val="0006535F"/>
    <w:rsid w:val="00065650"/>
    <w:rsid w:val="000656CE"/>
    <w:rsid w:val="000672AA"/>
    <w:rsid w:val="00067FBC"/>
    <w:rsid w:val="0007121D"/>
    <w:rsid w:val="0007138C"/>
    <w:rsid w:val="000723C5"/>
    <w:rsid w:val="0007306D"/>
    <w:rsid w:val="00073978"/>
    <w:rsid w:val="00074668"/>
    <w:rsid w:val="000746B8"/>
    <w:rsid w:val="0007551F"/>
    <w:rsid w:val="00077E99"/>
    <w:rsid w:val="00080ABA"/>
    <w:rsid w:val="00080C7A"/>
    <w:rsid w:val="00083832"/>
    <w:rsid w:val="000850DD"/>
    <w:rsid w:val="000862DE"/>
    <w:rsid w:val="00086A4A"/>
    <w:rsid w:val="00086DB8"/>
    <w:rsid w:val="00091526"/>
    <w:rsid w:val="0009262E"/>
    <w:rsid w:val="000949B0"/>
    <w:rsid w:val="00094A19"/>
    <w:rsid w:val="00095C82"/>
    <w:rsid w:val="00095FAF"/>
    <w:rsid w:val="000A01AC"/>
    <w:rsid w:val="000A0F4C"/>
    <w:rsid w:val="000A16C1"/>
    <w:rsid w:val="000A232C"/>
    <w:rsid w:val="000A2B39"/>
    <w:rsid w:val="000A2F24"/>
    <w:rsid w:val="000A39A2"/>
    <w:rsid w:val="000A5934"/>
    <w:rsid w:val="000A66CE"/>
    <w:rsid w:val="000A7372"/>
    <w:rsid w:val="000B052E"/>
    <w:rsid w:val="000B0C40"/>
    <w:rsid w:val="000B14A9"/>
    <w:rsid w:val="000B16F1"/>
    <w:rsid w:val="000B17D8"/>
    <w:rsid w:val="000B1800"/>
    <w:rsid w:val="000B2CAE"/>
    <w:rsid w:val="000B4B22"/>
    <w:rsid w:val="000B5645"/>
    <w:rsid w:val="000B7275"/>
    <w:rsid w:val="000C0531"/>
    <w:rsid w:val="000C1BF2"/>
    <w:rsid w:val="000C1CA2"/>
    <w:rsid w:val="000C353A"/>
    <w:rsid w:val="000C3979"/>
    <w:rsid w:val="000C3E2E"/>
    <w:rsid w:val="000C537B"/>
    <w:rsid w:val="000C592E"/>
    <w:rsid w:val="000C670C"/>
    <w:rsid w:val="000C789C"/>
    <w:rsid w:val="000D0730"/>
    <w:rsid w:val="000D10EA"/>
    <w:rsid w:val="000D17E8"/>
    <w:rsid w:val="000D22A8"/>
    <w:rsid w:val="000D2589"/>
    <w:rsid w:val="000D462B"/>
    <w:rsid w:val="000D4C35"/>
    <w:rsid w:val="000D5805"/>
    <w:rsid w:val="000D6D0D"/>
    <w:rsid w:val="000D792C"/>
    <w:rsid w:val="000D7A95"/>
    <w:rsid w:val="000E04F3"/>
    <w:rsid w:val="000E0AE7"/>
    <w:rsid w:val="000E0F69"/>
    <w:rsid w:val="000E16C3"/>
    <w:rsid w:val="000E1919"/>
    <w:rsid w:val="000E1F72"/>
    <w:rsid w:val="000E2DA8"/>
    <w:rsid w:val="000E46F1"/>
    <w:rsid w:val="000F4E66"/>
    <w:rsid w:val="000F5797"/>
    <w:rsid w:val="000F5F9B"/>
    <w:rsid w:val="00100092"/>
    <w:rsid w:val="001002E8"/>
    <w:rsid w:val="00101062"/>
    <w:rsid w:val="00101087"/>
    <w:rsid w:val="0010127C"/>
    <w:rsid w:val="001016B7"/>
    <w:rsid w:val="001021A4"/>
    <w:rsid w:val="0010335F"/>
    <w:rsid w:val="001059B9"/>
    <w:rsid w:val="00105C18"/>
    <w:rsid w:val="0010627A"/>
    <w:rsid w:val="001107FC"/>
    <w:rsid w:val="00111541"/>
    <w:rsid w:val="00111AD8"/>
    <w:rsid w:val="00112107"/>
    <w:rsid w:val="0011238B"/>
    <w:rsid w:val="00112CE7"/>
    <w:rsid w:val="00113428"/>
    <w:rsid w:val="001135CB"/>
    <w:rsid w:val="00113C9D"/>
    <w:rsid w:val="00113DD4"/>
    <w:rsid w:val="00116F5D"/>
    <w:rsid w:val="00117C6E"/>
    <w:rsid w:val="0012094C"/>
    <w:rsid w:val="00120CE6"/>
    <w:rsid w:val="00121386"/>
    <w:rsid w:val="0012154B"/>
    <w:rsid w:val="001219D0"/>
    <w:rsid w:val="00121BBF"/>
    <w:rsid w:val="00122BAD"/>
    <w:rsid w:val="0012313F"/>
    <w:rsid w:val="0012477B"/>
    <w:rsid w:val="001247DB"/>
    <w:rsid w:val="0012521F"/>
    <w:rsid w:val="00127D80"/>
    <w:rsid w:val="00130201"/>
    <w:rsid w:val="00130525"/>
    <w:rsid w:val="00130A39"/>
    <w:rsid w:val="00130E79"/>
    <w:rsid w:val="00131409"/>
    <w:rsid w:val="001343F7"/>
    <w:rsid w:val="00135200"/>
    <w:rsid w:val="0013587A"/>
    <w:rsid w:val="001358AF"/>
    <w:rsid w:val="00135BC7"/>
    <w:rsid w:val="00135F29"/>
    <w:rsid w:val="001405C2"/>
    <w:rsid w:val="001414A5"/>
    <w:rsid w:val="00142BBE"/>
    <w:rsid w:val="001436CF"/>
    <w:rsid w:val="001436F7"/>
    <w:rsid w:val="00145166"/>
    <w:rsid w:val="0014528D"/>
    <w:rsid w:val="00145A7A"/>
    <w:rsid w:val="0014626C"/>
    <w:rsid w:val="0014676F"/>
    <w:rsid w:val="00146B8D"/>
    <w:rsid w:val="00150643"/>
    <w:rsid w:val="00151DA4"/>
    <w:rsid w:val="00154044"/>
    <w:rsid w:val="0015724B"/>
    <w:rsid w:val="001579E2"/>
    <w:rsid w:val="00157A64"/>
    <w:rsid w:val="0016011F"/>
    <w:rsid w:val="00161124"/>
    <w:rsid w:val="0016149B"/>
    <w:rsid w:val="00162761"/>
    <w:rsid w:val="00162C67"/>
    <w:rsid w:val="00162CEB"/>
    <w:rsid w:val="00162D68"/>
    <w:rsid w:val="00164E06"/>
    <w:rsid w:val="00166774"/>
    <w:rsid w:val="00166B57"/>
    <w:rsid w:val="001672F9"/>
    <w:rsid w:val="001675DF"/>
    <w:rsid w:val="0017078F"/>
    <w:rsid w:val="001733FE"/>
    <w:rsid w:val="001734C1"/>
    <w:rsid w:val="001747DB"/>
    <w:rsid w:val="001748BF"/>
    <w:rsid w:val="00175399"/>
    <w:rsid w:val="00177AAC"/>
    <w:rsid w:val="0018028A"/>
    <w:rsid w:val="00180867"/>
    <w:rsid w:val="00180D61"/>
    <w:rsid w:val="00180DA5"/>
    <w:rsid w:val="001812B7"/>
    <w:rsid w:val="00181C0A"/>
    <w:rsid w:val="00182BF8"/>
    <w:rsid w:val="001839BB"/>
    <w:rsid w:val="001849DE"/>
    <w:rsid w:val="00185436"/>
    <w:rsid w:val="00185465"/>
    <w:rsid w:val="00186071"/>
    <w:rsid w:val="0019014C"/>
    <w:rsid w:val="00190815"/>
    <w:rsid w:val="00190A62"/>
    <w:rsid w:val="0019204C"/>
    <w:rsid w:val="0019253D"/>
    <w:rsid w:val="00192AB1"/>
    <w:rsid w:val="00193D6F"/>
    <w:rsid w:val="00195860"/>
    <w:rsid w:val="00195E18"/>
    <w:rsid w:val="0019666F"/>
    <w:rsid w:val="00196B84"/>
    <w:rsid w:val="001A0672"/>
    <w:rsid w:val="001A0AC6"/>
    <w:rsid w:val="001A1FA4"/>
    <w:rsid w:val="001A2155"/>
    <w:rsid w:val="001A287B"/>
    <w:rsid w:val="001A34E8"/>
    <w:rsid w:val="001A3A0D"/>
    <w:rsid w:val="001A3B35"/>
    <w:rsid w:val="001A4ACF"/>
    <w:rsid w:val="001A4E72"/>
    <w:rsid w:val="001A6A72"/>
    <w:rsid w:val="001A72EF"/>
    <w:rsid w:val="001A7AE8"/>
    <w:rsid w:val="001B052D"/>
    <w:rsid w:val="001B0542"/>
    <w:rsid w:val="001B06F0"/>
    <w:rsid w:val="001B1A52"/>
    <w:rsid w:val="001B1BE2"/>
    <w:rsid w:val="001B2452"/>
    <w:rsid w:val="001B25E0"/>
    <w:rsid w:val="001B28DF"/>
    <w:rsid w:val="001B37E0"/>
    <w:rsid w:val="001B45B6"/>
    <w:rsid w:val="001B4E94"/>
    <w:rsid w:val="001B5172"/>
    <w:rsid w:val="001B53B7"/>
    <w:rsid w:val="001B6410"/>
    <w:rsid w:val="001B778C"/>
    <w:rsid w:val="001C23E0"/>
    <w:rsid w:val="001C2C2A"/>
    <w:rsid w:val="001C2D89"/>
    <w:rsid w:val="001C35D8"/>
    <w:rsid w:val="001C3B72"/>
    <w:rsid w:val="001C3C41"/>
    <w:rsid w:val="001C409C"/>
    <w:rsid w:val="001C40CC"/>
    <w:rsid w:val="001C490D"/>
    <w:rsid w:val="001C4D8F"/>
    <w:rsid w:val="001C589B"/>
    <w:rsid w:val="001C5C21"/>
    <w:rsid w:val="001C6014"/>
    <w:rsid w:val="001C69AD"/>
    <w:rsid w:val="001C712E"/>
    <w:rsid w:val="001C7339"/>
    <w:rsid w:val="001C77E6"/>
    <w:rsid w:val="001D121B"/>
    <w:rsid w:val="001D2636"/>
    <w:rsid w:val="001D3DE5"/>
    <w:rsid w:val="001D4D3D"/>
    <w:rsid w:val="001D4FA1"/>
    <w:rsid w:val="001D5266"/>
    <w:rsid w:val="001D57BB"/>
    <w:rsid w:val="001D5E50"/>
    <w:rsid w:val="001D6945"/>
    <w:rsid w:val="001D6B3B"/>
    <w:rsid w:val="001D74AD"/>
    <w:rsid w:val="001E00F4"/>
    <w:rsid w:val="001E032A"/>
    <w:rsid w:val="001E09FB"/>
    <w:rsid w:val="001E0EE6"/>
    <w:rsid w:val="001E10BF"/>
    <w:rsid w:val="001E17EF"/>
    <w:rsid w:val="001E1B91"/>
    <w:rsid w:val="001E216E"/>
    <w:rsid w:val="001E273B"/>
    <w:rsid w:val="001E2D14"/>
    <w:rsid w:val="001E3154"/>
    <w:rsid w:val="001E342E"/>
    <w:rsid w:val="001E35E1"/>
    <w:rsid w:val="001E35F9"/>
    <w:rsid w:val="001E3A16"/>
    <w:rsid w:val="001E4559"/>
    <w:rsid w:val="001E483C"/>
    <w:rsid w:val="001E4BF2"/>
    <w:rsid w:val="001E5332"/>
    <w:rsid w:val="001E5FC6"/>
    <w:rsid w:val="001E690A"/>
    <w:rsid w:val="001E6E17"/>
    <w:rsid w:val="001E7BA2"/>
    <w:rsid w:val="001F08B5"/>
    <w:rsid w:val="001F0A08"/>
    <w:rsid w:val="001F1289"/>
    <w:rsid w:val="001F197B"/>
    <w:rsid w:val="001F269F"/>
    <w:rsid w:val="001F329C"/>
    <w:rsid w:val="001F34F6"/>
    <w:rsid w:val="001F3B02"/>
    <w:rsid w:val="001F4D07"/>
    <w:rsid w:val="001F4DFF"/>
    <w:rsid w:val="001F5FD8"/>
    <w:rsid w:val="001F6618"/>
    <w:rsid w:val="001F6D73"/>
    <w:rsid w:val="001F7693"/>
    <w:rsid w:val="001F7739"/>
    <w:rsid w:val="00201003"/>
    <w:rsid w:val="002014BF"/>
    <w:rsid w:val="00201C34"/>
    <w:rsid w:val="00201FF0"/>
    <w:rsid w:val="00202688"/>
    <w:rsid w:val="00203A1D"/>
    <w:rsid w:val="00203A28"/>
    <w:rsid w:val="00203CF5"/>
    <w:rsid w:val="002040CD"/>
    <w:rsid w:val="0020448B"/>
    <w:rsid w:val="002047A4"/>
    <w:rsid w:val="0020518A"/>
    <w:rsid w:val="002059E5"/>
    <w:rsid w:val="00205ED9"/>
    <w:rsid w:val="002068A3"/>
    <w:rsid w:val="0021097D"/>
    <w:rsid w:val="00211529"/>
    <w:rsid w:val="00211982"/>
    <w:rsid w:val="00213109"/>
    <w:rsid w:val="002132CC"/>
    <w:rsid w:val="00213C02"/>
    <w:rsid w:val="00214082"/>
    <w:rsid w:val="002164A5"/>
    <w:rsid w:val="002167EB"/>
    <w:rsid w:val="00217B21"/>
    <w:rsid w:val="002201BB"/>
    <w:rsid w:val="00220BF9"/>
    <w:rsid w:val="00220DD9"/>
    <w:rsid w:val="00223256"/>
    <w:rsid w:val="00223511"/>
    <w:rsid w:val="00224CD8"/>
    <w:rsid w:val="00224F55"/>
    <w:rsid w:val="00225320"/>
    <w:rsid w:val="0022651E"/>
    <w:rsid w:val="00227403"/>
    <w:rsid w:val="002274A2"/>
    <w:rsid w:val="0023025A"/>
    <w:rsid w:val="00230B61"/>
    <w:rsid w:val="00230E9E"/>
    <w:rsid w:val="0023131B"/>
    <w:rsid w:val="00231517"/>
    <w:rsid w:val="002315B2"/>
    <w:rsid w:val="002329D0"/>
    <w:rsid w:val="00232E96"/>
    <w:rsid w:val="00232F55"/>
    <w:rsid w:val="00233B6D"/>
    <w:rsid w:val="002358AF"/>
    <w:rsid w:val="002403EC"/>
    <w:rsid w:val="0024190F"/>
    <w:rsid w:val="002428AD"/>
    <w:rsid w:val="00243A9F"/>
    <w:rsid w:val="00243E7E"/>
    <w:rsid w:val="00244B8E"/>
    <w:rsid w:val="00244EDD"/>
    <w:rsid w:val="002450B0"/>
    <w:rsid w:val="002452B7"/>
    <w:rsid w:val="00245339"/>
    <w:rsid w:val="0024555A"/>
    <w:rsid w:val="00247012"/>
    <w:rsid w:val="0024739E"/>
    <w:rsid w:val="002479D6"/>
    <w:rsid w:val="00250229"/>
    <w:rsid w:val="00250257"/>
    <w:rsid w:val="00250385"/>
    <w:rsid w:val="00250CA0"/>
    <w:rsid w:val="0025176F"/>
    <w:rsid w:val="00252402"/>
    <w:rsid w:val="00257141"/>
    <w:rsid w:val="0025730C"/>
    <w:rsid w:val="00257A77"/>
    <w:rsid w:val="00261214"/>
    <w:rsid w:val="0026179E"/>
    <w:rsid w:val="00261A53"/>
    <w:rsid w:val="00263AAF"/>
    <w:rsid w:val="00263BDE"/>
    <w:rsid w:val="00264748"/>
    <w:rsid w:val="002650A4"/>
    <w:rsid w:val="00266743"/>
    <w:rsid w:val="0026733C"/>
    <w:rsid w:val="00267535"/>
    <w:rsid w:val="0026785D"/>
    <w:rsid w:val="00267E0C"/>
    <w:rsid w:val="00270424"/>
    <w:rsid w:val="0027069D"/>
    <w:rsid w:val="00271058"/>
    <w:rsid w:val="002728D4"/>
    <w:rsid w:val="0027503F"/>
    <w:rsid w:val="002759D2"/>
    <w:rsid w:val="00276CB2"/>
    <w:rsid w:val="00277767"/>
    <w:rsid w:val="00280822"/>
    <w:rsid w:val="002814FD"/>
    <w:rsid w:val="0028165B"/>
    <w:rsid w:val="00281852"/>
    <w:rsid w:val="00281C41"/>
    <w:rsid w:val="00282C56"/>
    <w:rsid w:val="00286268"/>
    <w:rsid w:val="00286CF2"/>
    <w:rsid w:val="00287174"/>
    <w:rsid w:val="0028773F"/>
    <w:rsid w:val="002903D6"/>
    <w:rsid w:val="00290C3D"/>
    <w:rsid w:val="002917CC"/>
    <w:rsid w:val="00292E31"/>
    <w:rsid w:val="002934C0"/>
    <w:rsid w:val="00293AF0"/>
    <w:rsid w:val="0029449F"/>
    <w:rsid w:val="00294D79"/>
    <w:rsid w:val="00295ECC"/>
    <w:rsid w:val="002A0455"/>
    <w:rsid w:val="002A05BA"/>
    <w:rsid w:val="002A114E"/>
    <w:rsid w:val="002A3536"/>
    <w:rsid w:val="002A3568"/>
    <w:rsid w:val="002A3600"/>
    <w:rsid w:val="002A4120"/>
    <w:rsid w:val="002A422B"/>
    <w:rsid w:val="002A427F"/>
    <w:rsid w:val="002A4669"/>
    <w:rsid w:val="002A4F99"/>
    <w:rsid w:val="002A511A"/>
    <w:rsid w:val="002A6234"/>
    <w:rsid w:val="002A662C"/>
    <w:rsid w:val="002A67BE"/>
    <w:rsid w:val="002A6D03"/>
    <w:rsid w:val="002B03CE"/>
    <w:rsid w:val="002B133D"/>
    <w:rsid w:val="002B29DF"/>
    <w:rsid w:val="002B2AC7"/>
    <w:rsid w:val="002B2BD3"/>
    <w:rsid w:val="002B3635"/>
    <w:rsid w:val="002B4435"/>
    <w:rsid w:val="002B4707"/>
    <w:rsid w:val="002B4F48"/>
    <w:rsid w:val="002B66C6"/>
    <w:rsid w:val="002B7161"/>
    <w:rsid w:val="002B77EF"/>
    <w:rsid w:val="002C1391"/>
    <w:rsid w:val="002C1BBD"/>
    <w:rsid w:val="002C3D16"/>
    <w:rsid w:val="002C3E58"/>
    <w:rsid w:val="002C4573"/>
    <w:rsid w:val="002C47D4"/>
    <w:rsid w:val="002C4C68"/>
    <w:rsid w:val="002C6909"/>
    <w:rsid w:val="002D02A1"/>
    <w:rsid w:val="002D04B3"/>
    <w:rsid w:val="002D0C2C"/>
    <w:rsid w:val="002D137E"/>
    <w:rsid w:val="002D1ADF"/>
    <w:rsid w:val="002D2926"/>
    <w:rsid w:val="002D44BE"/>
    <w:rsid w:val="002D48D1"/>
    <w:rsid w:val="002D5AA7"/>
    <w:rsid w:val="002D69DB"/>
    <w:rsid w:val="002D7925"/>
    <w:rsid w:val="002D7D5C"/>
    <w:rsid w:val="002E112B"/>
    <w:rsid w:val="002E19AC"/>
    <w:rsid w:val="002E1C39"/>
    <w:rsid w:val="002E2469"/>
    <w:rsid w:val="002E2CE1"/>
    <w:rsid w:val="002E3FAA"/>
    <w:rsid w:val="002E4266"/>
    <w:rsid w:val="002E440A"/>
    <w:rsid w:val="002E55C5"/>
    <w:rsid w:val="002E657C"/>
    <w:rsid w:val="002E6A9E"/>
    <w:rsid w:val="002E6E44"/>
    <w:rsid w:val="002E7D7B"/>
    <w:rsid w:val="002F037F"/>
    <w:rsid w:val="002F08DA"/>
    <w:rsid w:val="002F1AE3"/>
    <w:rsid w:val="002F1C46"/>
    <w:rsid w:val="002F2046"/>
    <w:rsid w:val="002F2A92"/>
    <w:rsid w:val="002F2AA2"/>
    <w:rsid w:val="002F2EEF"/>
    <w:rsid w:val="002F4C8B"/>
    <w:rsid w:val="002F4F36"/>
    <w:rsid w:val="002F5A69"/>
    <w:rsid w:val="002F63F9"/>
    <w:rsid w:val="002F7460"/>
    <w:rsid w:val="002F75A4"/>
    <w:rsid w:val="002F7724"/>
    <w:rsid w:val="002F7F08"/>
    <w:rsid w:val="00300DCA"/>
    <w:rsid w:val="00303752"/>
    <w:rsid w:val="00303B2A"/>
    <w:rsid w:val="003044AD"/>
    <w:rsid w:val="00304753"/>
    <w:rsid w:val="0030532C"/>
    <w:rsid w:val="003066FD"/>
    <w:rsid w:val="00306F07"/>
    <w:rsid w:val="003102C6"/>
    <w:rsid w:val="00310627"/>
    <w:rsid w:val="0031076D"/>
    <w:rsid w:val="003110BB"/>
    <w:rsid w:val="00312EA3"/>
    <w:rsid w:val="00315F28"/>
    <w:rsid w:val="00316188"/>
    <w:rsid w:val="00316464"/>
    <w:rsid w:val="003172A2"/>
    <w:rsid w:val="003207F9"/>
    <w:rsid w:val="00320947"/>
    <w:rsid w:val="00320C7C"/>
    <w:rsid w:val="003214F0"/>
    <w:rsid w:val="0032159B"/>
    <w:rsid w:val="003222E9"/>
    <w:rsid w:val="003222F3"/>
    <w:rsid w:val="0032319B"/>
    <w:rsid w:val="00323330"/>
    <w:rsid w:val="0032368D"/>
    <w:rsid w:val="00323C1A"/>
    <w:rsid w:val="00324391"/>
    <w:rsid w:val="003252E4"/>
    <w:rsid w:val="00325945"/>
    <w:rsid w:val="00326169"/>
    <w:rsid w:val="003269FB"/>
    <w:rsid w:val="0032763A"/>
    <w:rsid w:val="003313C0"/>
    <w:rsid w:val="00331495"/>
    <w:rsid w:val="00331BEE"/>
    <w:rsid w:val="00331F7F"/>
    <w:rsid w:val="00332A7E"/>
    <w:rsid w:val="00333F4B"/>
    <w:rsid w:val="003345BD"/>
    <w:rsid w:val="00341024"/>
    <w:rsid w:val="0034298B"/>
    <w:rsid w:val="003431FC"/>
    <w:rsid w:val="003446B3"/>
    <w:rsid w:val="0034529A"/>
    <w:rsid w:val="00347329"/>
    <w:rsid w:val="00347564"/>
    <w:rsid w:val="00347765"/>
    <w:rsid w:val="003479E7"/>
    <w:rsid w:val="003504FE"/>
    <w:rsid w:val="003507EB"/>
    <w:rsid w:val="00351243"/>
    <w:rsid w:val="0035204C"/>
    <w:rsid w:val="003527F5"/>
    <w:rsid w:val="00352A16"/>
    <w:rsid w:val="00353606"/>
    <w:rsid w:val="00353A7F"/>
    <w:rsid w:val="003540C8"/>
    <w:rsid w:val="00354135"/>
    <w:rsid w:val="003552A5"/>
    <w:rsid w:val="00355953"/>
    <w:rsid w:val="00355A2B"/>
    <w:rsid w:val="00357405"/>
    <w:rsid w:val="00357ED8"/>
    <w:rsid w:val="003647CC"/>
    <w:rsid w:val="00364DB8"/>
    <w:rsid w:val="00365B67"/>
    <w:rsid w:val="00366265"/>
    <w:rsid w:val="00366D03"/>
    <w:rsid w:val="00366F5F"/>
    <w:rsid w:val="00370429"/>
    <w:rsid w:val="00370857"/>
    <w:rsid w:val="00372486"/>
    <w:rsid w:val="0037250B"/>
    <w:rsid w:val="00372A82"/>
    <w:rsid w:val="00372ADC"/>
    <w:rsid w:val="00372F65"/>
    <w:rsid w:val="0037320A"/>
    <w:rsid w:val="0037327F"/>
    <w:rsid w:val="003738AF"/>
    <w:rsid w:val="00373ECB"/>
    <w:rsid w:val="00374359"/>
    <w:rsid w:val="00374675"/>
    <w:rsid w:val="003749E0"/>
    <w:rsid w:val="00374B6D"/>
    <w:rsid w:val="00375149"/>
    <w:rsid w:val="003756C2"/>
    <w:rsid w:val="00375703"/>
    <w:rsid w:val="00375761"/>
    <w:rsid w:val="00376387"/>
    <w:rsid w:val="00376ACD"/>
    <w:rsid w:val="00376B42"/>
    <w:rsid w:val="0037715C"/>
    <w:rsid w:val="0037780F"/>
    <w:rsid w:val="00380A67"/>
    <w:rsid w:val="003810CC"/>
    <w:rsid w:val="00381AC8"/>
    <w:rsid w:val="0038285D"/>
    <w:rsid w:val="00382C32"/>
    <w:rsid w:val="0038328C"/>
    <w:rsid w:val="00384713"/>
    <w:rsid w:val="003859DA"/>
    <w:rsid w:val="003864D8"/>
    <w:rsid w:val="00387100"/>
    <w:rsid w:val="00387451"/>
    <w:rsid w:val="00387953"/>
    <w:rsid w:val="00387C46"/>
    <w:rsid w:val="003900AF"/>
    <w:rsid w:val="0039146B"/>
    <w:rsid w:val="003916FE"/>
    <w:rsid w:val="00392460"/>
    <w:rsid w:val="00392C4F"/>
    <w:rsid w:val="00392CF0"/>
    <w:rsid w:val="00392E53"/>
    <w:rsid w:val="00393406"/>
    <w:rsid w:val="00393487"/>
    <w:rsid w:val="00393722"/>
    <w:rsid w:val="00394505"/>
    <w:rsid w:val="00394874"/>
    <w:rsid w:val="00394A55"/>
    <w:rsid w:val="00395369"/>
    <w:rsid w:val="00395A57"/>
    <w:rsid w:val="00396CB4"/>
    <w:rsid w:val="00397000"/>
    <w:rsid w:val="00397894"/>
    <w:rsid w:val="003A104E"/>
    <w:rsid w:val="003A10A7"/>
    <w:rsid w:val="003A177A"/>
    <w:rsid w:val="003A18BC"/>
    <w:rsid w:val="003A1D6E"/>
    <w:rsid w:val="003A298E"/>
    <w:rsid w:val="003A2BA8"/>
    <w:rsid w:val="003A4016"/>
    <w:rsid w:val="003A526A"/>
    <w:rsid w:val="003A6BA2"/>
    <w:rsid w:val="003A6F6F"/>
    <w:rsid w:val="003A765E"/>
    <w:rsid w:val="003A7DDB"/>
    <w:rsid w:val="003A7E2C"/>
    <w:rsid w:val="003B036F"/>
    <w:rsid w:val="003B073C"/>
    <w:rsid w:val="003B1445"/>
    <w:rsid w:val="003B29A5"/>
    <w:rsid w:val="003B2A22"/>
    <w:rsid w:val="003B3401"/>
    <w:rsid w:val="003B3526"/>
    <w:rsid w:val="003B379A"/>
    <w:rsid w:val="003B37FD"/>
    <w:rsid w:val="003B3852"/>
    <w:rsid w:val="003B559B"/>
    <w:rsid w:val="003B572E"/>
    <w:rsid w:val="003B6F78"/>
    <w:rsid w:val="003B6F9C"/>
    <w:rsid w:val="003B70EA"/>
    <w:rsid w:val="003B7C89"/>
    <w:rsid w:val="003C2321"/>
    <w:rsid w:val="003C3567"/>
    <w:rsid w:val="003C35B2"/>
    <w:rsid w:val="003C364E"/>
    <w:rsid w:val="003C3918"/>
    <w:rsid w:val="003C444E"/>
    <w:rsid w:val="003C47F7"/>
    <w:rsid w:val="003C6999"/>
    <w:rsid w:val="003C6D51"/>
    <w:rsid w:val="003C72E5"/>
    <w:rsid w:val="003C74A9"/>
    <w:rsid w:val="003C7C47"/>
    <w:rsid w:val="003D0EE8"/>
    <w:rsid w:val="003D220A"/>
    <w:rsid w:val="003D23C0"/>
    <w:rsid w:val="003D340B"/>
    <w:rsid w:val="003D535B"/>
    <w:rsid w:val="003D62A8"/>
    <w:rsid w:val="003D6315"/>
    <w:rsid w:val="003D647F"/>
    <w:rsid w:val="003E07D2"/>
    <w:rsid w:val="003E086C"/>
    <w:rsid w:val="003E0C18"/>
    <w:rsid w:val="003E1BC1"/>
    <w:rsid w:val="003E301D"/>
    <w:rsid w:val="003E3693"/>
    <w:rsid w:val="003E3792"/>
    <w:rsid w:val="003E3CC4"/>
    <w:rsid w:val="003E3E43"/>
    <w:rsid w:val="003E4818"/>
    <w:rsid w:val="003E56E4"/>
    <w:rsid w:val="003E66CD"/>
    <w:rsid w:val="003E71A5"/>
    <w:rsid w:val="003E71B3"/>
    <w:rsid w:val="003E7C99"/>
    <w:rsid w:val="003E7FC4"/>
    <w:rsid w:val="003F0633"/>
    <w:rsid w:val="003F06E1"/>
    <w:rsid w:val="003F0DE8"/>
    <w:rsid w:val="003F1115"/>
    <w:rsid w:val="003F14DA"/>
    <w:rsid w:val="003F456B"/>
    <w:rsid w:val="003F4CFE"/>
    <w:rsid w:val="003F4D60"/>
    <w:rsid w:val="003F5BF4"/>
    <w:rsid w:val="003F6374"/>
    <w:rsid w:val="003F6B9E"/>
    <w:rsid w:val="003F6EEE"/>
    <w:rsid w:val="003F6FBC"/>
    <w:rsid w:val="003F70C9"/>
    <w:rsid w:val="003F74EA"/>
    <w:rsid w:val="003F7B39"/>
    <w:rsid w:val="004007AE"/>
    <w:rsid w:val="00401E37"/>
    <w:rsid w:val="0040287A"/>
    <w:rsid w:val="00402BD5"/>
    <w:rsid w:val="00403099"/>
    <w:rsid w:val="00403334"/>
    <w:rsid w:val="00404D58"/>
    <w:rsid w:val="004061C7"/>
    <w:rsid w:val="004065C6"/>
    <w:rsid w:val="00406C26"/>
    <w:rsid w:val="004079F6"/>
    <w:rsid w:val="00407A27"/>
    <w:rsid w:val="00407DFC"/>
    <w:rsid w:val="00410FC4"/>
    <w:rsid w:val="00411F29"/>
    <w:rsid w:val="00412425"/>
    <w:rsid w:val="00412476"/>
    <w:rsid w:val="00412631"/>
    <w:rsid w:val="004132DE"/>
    <w:rsid w:val="004140ED"/>
    <w:rsid w:val="00414297"/>
    <w:rsid w:val="00414E30"/>
    <w:rsid w:val="0041767F"/>
    <w:rsid w:val="00417B93"/>
    <w:rsid w:val="0042241D"/>
    <w:rsid w:val="00422718"/>
    <w:rsid w:val="004228C9"/>
    <w:rsid w:val="00422958"/>
    <w:rsid w:val="0042318A"/>
    <w:rsid w:val="004235C8"/>
    <w:rsid w:val="00423748"/>
    <w:rsid w:val="00424DA5"/>
    <w:rsid w:val="0042509E"/>
    <w:rsid w:val="00425207"/>
    <w:rsid w:val="00425F28"/>
    <w:rsid w:val="00426269"/>
    <w:rsid w:val="00426A97"/>
    <w:rsid w:val="0042717B"/>
    <w:rsid w:val="0042782A"/>
    <w:rsid w:val="00432730"/>
    <w:rsid w:val="00432CC7"/>
    <w:rsid w:val="0043329E"/>
    <w:rsid w:val="004337E5"/>
    <w:rsid w:val="0043422F"/>
    <w:rsid w:val="004353B3"/>
    <w:rsid w:val="0043751A"/>
    <w:rsid w:val="004376EF"/>
    <w:rsid w:val="0043771A"/>
    <w:rsid w:val="0044016D"/>
    <w:rsid w:val="0044119D"/>
    <w:rsid w:val="00441267"/>
    <w:rsid w:val="00441F2F"/>
    <w:rsid w:val="00442507"/>
    <w:rsid w:val="00442D7C"/>
    <w:rsid w:val="00444A97"/>
    <w:rsid w:val="004458B9"/>
    <w:rsid w:val="00447AD4"/>
    <w:rsid w:val="004515CD"/>
    <w:rsid w:val="00451F1D"/>
    <w:rsid w:val="00452029"/>
    <w:rsid w:val="0045317A"/>
    <w:rsid w:val="00453437"/>
    <w:rsid w:val="00454BB9"/>
    <w:rsid w:val="0045505F"/>
    <w:rsid w:val="004565A3"/>
    <w:rsid w:val="00457ADD"/>
    <w:rsid w:val="00460AF0"/>
    <w:rsid w:val="00465EEC"/>
    <w:rsid w:val="0046663E"/>
    <w:rsid w:val="00467162"/>
    <w:rsid w:val="004715F9"/>
    <w:rsid w:val="00471DDF"/>
    <w:rsid w:val="004731A3"/>
    <w:rsid w:val="00474687"/>
    <w:rsid w:val="00475951"/>
    <w:rsid w:val="00476414"/>
    <w:rsid w:val="004771C6"/>
    <w:rsid w:val="004774CE"/>
    <w:rsid w:val="0048053C"/>
    <w:rsid w:val="00480F84"/>
    <w:rsid w:val="00481281"/>
    <w:rsid w:val="0048440C"/>
    <w:rsid w:val="00485D9A"/>
    <w:rsid w:val="00486596"/>
    <w:rsid w:val="0048670C"/>
    <w:rsid w:val="00486FAC"/>
    <w:rsid w:val="004872D4"/>
    <w:rsid w:val="0048750D"/>
    <w:rsid w:val="004943FA"/>
    <w:rsid w:val="0049536D"/>
    <w:rsid w:val="00496051"/>
    <w:rsid w:val="00496602"/>
    <w:rsid w:val="00497179"/>
    <w:rsid w:val="00497ACB"/>
    <w:rsid w:val="004A0311"/>
    <w:rsid w:val="004A0B03"/>
    <w:rsid w:val="004A10F7"/>
    <w:rsid w:val="004A1A60"/>
    <w:rsid w:val="004A292F"/>
    <w:rsid w:val="004A2A76"/>
    <w:rsid w:val="004A3BC0"/>
    <w:rsid w:val="004A49BA"/>
    <w:rsid w:val="004A4B1C"/>
    <w:rsid w:val="004A4D6C"/>
    <w:rsid w:val="004A4E44"/>
    <w:rsid w:val="004A4EBE"/>
    <w:rsid w:val="004A58D4"/>
    <w:rsid w:val="004A7B99"/>
    <w:rsid w:val="004B01FC"/>
    <w:rsid w:val="004B46B0"/>
    <w:rsid w:val="004B4FE6"/>
    <w:rsid w:val="004B58E6"/>
    <w:rsid w:val="004B6848"/>
    <w:rsid w:val="004B7FA4"/>
    <w:rsid w:val="004C0098"/>
    <w:rsid w:val="004C068B"/>
    <w:rsid w:val="004C0A36"/>
    <w:rsid w:val="004C0C8B"/>
    <w:rsid w:val="004C17B4"/>
    <w:rsid w:val="004C1DF3"/>
    <w:rsid w:val="004C31CA"/>
    <w:rsid w:val="004C7134"/>
    <w:rsid w:val="004D180E"/>
    <w:rsid w:val="004D20EB"/>
    <w:rsid w:val="004D35C4"/>
    <w:rsid w:val="004D3D8C"/>
    <w:rsid w:val="004D633B"/>
    <w:rsid w:val="004D673A"/>
    <w:rsid w:val="004D6F2E"/>
    <w:rsid w:val="004D7751"/>
    <w:rsid w:val="004D77A9"/>
    <w:rsid w:val="004D7C51"/>
    <w:rsid w:val="004E0B97"/>
    <w:rsid w:val="004E0F7C"/>
    <w:rsid w:val="004E0FE5"/>
    <w:rsid w:val="004E1C57"/>
    <w:rsid w:val="004E24DE"/>
    <w:rsid w:val="004E364A"/>
    <w:rsid w:val="004E3DA1"/>
    <w:rsid w:val="004E4995"/>
    <w:rsid w:val="004E4CDB"/>
    <w:rsid w:val="004E4DDF"/>
    <w:rsid w:val="004E5F0C"/>
    <w:rsid w:val="004E66C2"/>
    <w:rsid w:val="004E6AF6"/>
    <w:rsid w:val="004F09D8"/>
    <w:rsid w:val="004F0A89"/>
    <w:rsid w:val="004F19CF"/>
    <w:rsid w:val="004F1BF8"/>
    <w:rsid w:val="004F2247"/>
    <w:rsid w:val="004F45D5"/>
    <w:rsid w:val="004F4B12"/>
    <w:rsid w:val="004F6592"/>
    <w:rsid w:val="00500426"/>
    <w:rsid w:val="005018BC"/>
    <w:rsid w:val="005025F9"/>
    <w:rsid w:val="0050276A"/>
    <w:rsid w:val="00503DBC"/>
    <w:rsid w:val="00504557"/>
    <w:rsid w:val="0050490F"/>
    <w:rsid w:val="0050630C"/>
    <w:rsid w:val="005069EA"/>
    <w:rsid w:val="0050726A"/>
    <w:rsid w:val="00507A9C"/>
    <w:rsid w:val="0051044F"/>
    <w:rsid w:val="0051080E"/>
    <w:rsid w:val="00511B54"/>
    <w:rsid w:val="00511D7D"/>
    <w:rsid w:val="005124F5"/>
    <w:rsid w:val="00512CDD"/>
    <w:rsid w:val="00512E1B"/>
    <w:rsid w:val="00513568"/>
    <w:rsid w:val="00514143"/>
    <w:rsid w:val="005141E5"/>
    <w:rsid w:val="00514A6A"/>
    <w:rsid w:val="00514E4D"/>
    <w:rsid w:val="00515CD5"/>
    <w:rsid w:val="00516324"/>
    <w:rsid w:val="00516C00"/>
    <w:rsid w:val="00516F21"/>
    <w:rsid w:val="0052174A"/>
    <w:rsid w:val="00521EB3"/>
    <w:rsid w:val="00522D9F"/>
    <w:rsid w:val="00523764"/>
    <w:rsid w:val="00524E0B"/>
    <w:rsid w:val="00525AEC"/>
    <w:rsid w:val="00525DC1"/>
    <w:rsid w:val="0052692A"/>
    <w:rsid w:val="005271B4"/>
    <w:rsid w:val="00527887"/>
    <w:rsid w:val="005279D9"/>
    <w:rsid w:val="005301B9"/>
    <w:rsid w:val="00530B18"/>
    <w:rsid w:val="005314A2"/>
    <w:rsid w:val="0053235C"/>
    <w:rsid w:val="00532D6C"/>
    <w:rsid w:val="00532EAE"/>
    <w:rsid w:val="00535517"/>
    <w:rsid w:val="0053599F"/>
    <w:rsid w:val="005361F9"/>
    <w:rsid w:val="00541635"/>
    <w:rsid w:val="005417CE"/>
    <w:rsid w:val="0054262A"/>
    <w:rsid w:val="00543ACB"/>
    <w:rsid w:val="00544043"/>
    <w:rsid w:val="00544454"/>
    <w:rsid w:val="005469AE"/>
    <w:rsid w:val="00546C4C"/>
    <w:rsid w:val="00546CA0"/>
    <w:rsid w:val="00546D23"/>
    <w:rsid w:val="0054706F"/>
    <w:rsid w:val="00547F3A"/>
    <w:rsid w:val="005534C2"/>
    <w:rsid w:val="00553695"/>
    <w:rsid w:val="00553BFC"/>
    <w:rsid w:val="00553DA9"/>
    <w:rsid w:val="0055416C"/>
    <w:rsid w:val="005547BB"/>
    <w:rsid w:val="00554820"/>
    <w:rsid w:val="005548B4"/>
    <w:rsid w:val="0055529F"/>
    <w:rsid w:val="00555487"/>
    <w:rsid w:val="00555B1C"/>
    <w:rsid w:val="00555B9C"/>
    <w:rsid w:val="00555FAC"/>
    <w:rsid w:val="00557036"/>
    <w:rsid w:val="00560A21"/>
    <w:rsid w:val="00560DD5"/>
    <w:rsid w:val="00561361"/>
    <w:rsid w:val="00561E98"/>
    <w:rsid w:val="00562773"/>
    <w:rsid w:val="00563F0D"/>
    <w:rsid w:val="00563F76"/>
    <w:rsid w:val="005649AA"/>
    <w:rsid w:val="005655B7"/>
    <w:rsid w:val="005656EC"/>
    <w:rsid w:val="00566042"/>
    <w:rsid w:val="005675F6"/>
    <w:rsid w:val="0056771B"/>
    <w:rsid w:val="00567C87"/>
    <w:rsid w:val="00571BB5"/>
    <w:rsid w:val="00572D59"/>
    <w:rsid w:val="005739F8"/>
    <w:rsid w:val="00574BC2"/>
    <w:rsid w:val="0057549F"/>
    <w:rsid w:val="0057568E"/>
    <w:rsid w:val="00575E74"/>
    <w:rsid w:val="00576816"/>
    <w:rsid w:val="005776E3"/>
    <w:rsid w:val="00577A1E"/>
    <w:rsid w:val="00577E46"/>
    <w:rsid w:val="0058041D"/>
    <w:rsid w:val="00582684"/>
    <w:rsid w:val="00584C2A"/>
    <w:rsid w:val="00584E06"/>
    <w:rsid w:val="00584EAD"/>
    <w:rsid w:val="00586BF1"/>
    <w:rsid w:val="0058723E"/>
    <w:rsid w:val="0059088B"/>
    <w:rsid w:val="0059098B"/>
    <w:rsid w:val="00590CBC"/>
    <w:rsid w:val="005925CF"/>
    <w:rsid w:val="005929AD"/>
    <w:rsid w:val="00593F0E"/>
    <w:rsid w:val="00595509"/>
    <w:rsid w:val="00595511"/>
    <w:rsid w:val="0059662C"/>
    <w:rsid w:val="00597753"/>
    <w:rsid w:val="005A04E3"/>
    <w:rsid w:val="005A0B87"/>
    <w:rsid w:val="005A0F2F"/>
    <w:rsid w:val="005A2195"/>
    <w:rsid w:val="005A356A"/>
    <w:rsid w:val="005A372F"/>
    <w:rsid w:val="005A56CD"/>
    <w:rsid w:val="005A5D09"/>
    <w:rsid w:val="005A7AE4"/>
    <w:rsid w:val="005B083B"/>
    <w:rsid w:val="005B0CF6"/>
    <w:rsid w:val="005B0F4A"/>
    <w:rsid w:val="005B1045"/>
    <w:rsid w:val="005B2C81"/>
    <w:rsid w:val="005B33ED"/>
    <w:rsid w:val="005B3C3E"/>
    <w:rsid w:val="005B5011"/>
    <w:rsid w:val="005B6A9F"/>
    <w:rsid w:val="005B6C8A"/>
    <w:rsid w:val="005B6D75"/>
    <w:rsid w:val="005B6F5B"/>
    <w:rsid w:val="005B784A"/>
    <w:rsid w:val="005B7AF5"/>
    <w:rsid w:val="005B7EB7"/>
    <w:rsid w:val="005C061B"/>
    <w:rsid w:val="005C0C08"/>
    <w:rsid w:val="005C0E49"/>
    <w:rsid w:val="005C10FA"/>
    <w:rsid w:val="005C1A3E"/>
    <w:rsid w:val="005C3701"/>
    <w:rsid w:val="005C3B30"/>
    <w:rsid w:val="005C4BB5"/>
    <w:rsid w:val="005C5255"/>
    <w:rsid w:val="005C550D"/>
    <w:rsid w:val="005C6358"/>
    <w:rsid w:val="005C640C"/>
    <w:rsid w:val="005C752C"/>
    <w:rsid w:val="005C7969"/>
    <w:rsid w:val="005D0096"/>
    <w:rsid w:val="005D0D60"/>
    <w:rsid w:val="005D1F99"/>
    <w:rsid w:val="005D450B"/>
    <w:rsid w:val="005D466C"/>
    <w:rsid w:val="005D4708"/>
    <w:rsid w:val="005D4A09"/>
    <w:rsid w:val="005D4B7B"/>
    <w:rsid w:val="005D57DF"/>
    <w:rsid w:val="005D5B2F"/>
    <w:rsid w:val="005D5CB3"/>
    <w:rsid w:val="005D6188"/>
    <w:rsid w:val="005D65FF"/>
    <w:rsid w:val="005E00B5"/>
    <w:rsid w:val="005E062B"/>
    <w:rsid w:val="005E18DA"/>
    <w:rsid w:val="005E2BB2"/>
    <w:rsid w:val="005E4EA1"/>
    <w:rsid w:val="005E5E03"/>
    <w:rsid w:val="005E61AC"/>
    <w:rsid w:val="005E6424"/>
    <w:rsid w:val="005F1103"/>
    <w:rsid w:val="005F1901"/>
    <w:rsid w:val="005F2C65"/>
    <w:rsid w:val="005F2DE9"/>
    <w:rsid w:val="005F38EE"/>
    <w:rsid w:val="005F3E34"/>
    <w:rsid w:val="005F4F24"/>
    <w:rsid w:val="005F4FB3"/>
    <w:rsid w:val="005F51FB"/>
    <w:rsid w:val="005F6010"/>
    <w:rsid w:val="006002FE"/>
    <w:rsid w:val="00601265"/>
    <w:rsid w:val="0060182C"/>
    <w:rsid w:val="00602FDF"/>
    <w:rsid w:val="00604E24"/>
    <w:rsid w:val="006051A9"/>
    <w:rsid w:val="00607FB1"/>
    <w:rsid w:val="00610082"/>
    <w:rsid w:val="006136DB"/>
    <w:rsid w:val="0061393D"/>
    <w:rsid w:val="00613958"/>
    <w:rsid w:val="00613AA8"/>
    <w:rsid w:val="006156D8"/>
    <w:rsid w:val="006162C1"/>
    <w:rsid w:val="0061634C"/>
    <w:rsid w:val="006174CE"/>
    <w:rsid w:val="006178C6"/>
    <w:rsid w:val="00621448"/>
    <w:rsid w:val="006214BC"/>
    <w:rsid w:val="0062210A"/>
    <w:rsid w:val="00622C7E"/>
    <w:rsid w:val="00623923"/>
    <w:rsid w:val="00623BBF"/>
    <w:rsid w:val="00623D1F"/>
    <w:rsid w:val="00623FDF"/>
    <w:rsid w:val="00624BF2"/>
    <w:rsid w:val="00624E01"/>
    <w:rsid w:val="00627B2C"/>
    <w:rsid w:val="00630830"/>
    <w:rsid w:val="006340F8"/>
    <w:rsid w:val="00634C22"/>
    <w:rsid w:val="00635107"/>
    <w:rsid w:val="00635188"/>
    <w:rsid w:val="00637435"/>
    <w:rsid w:val="006414B8"/>
    <w:rsid w:val="0064199B"/>
    <w:rsid w:val="00641E87"/>
    <w:rsid w:val="00642D62"/>
    <w:rsid w:val="00643613"/>
    <w:rsid w:val="00644833"/>
    <w:rsid w:val="00644BA6"/>
    <w:rsid w:val="0064602F"/>
    <w:rsid w:val="0064654D"/>
    <w:rsid w:val="006465CE"/>
    <w:rsid w:val="006467DD"/>
    <w:rsid w:val="006477CD"/>
    <w:rsid w:val="00650155"/>
    <w:rsid w:val="00650BE9"/>
    <w:rsid w:val="006517AE"/>
    <w:rsid w:val="006540C3"/>
    <w:rsid w:val="00657673"/>
    <w:rsid w:val="006601E7"/>
    <w:rsid w:val="00661D1A"/>
    <w:rsid w:val="00661ED2"/>
    <w:rsid w:val="00662D55"/>
    <w:rsid w:val="00662E5B"/>
    <w:rsid w:val="006642BF"/>
    <w:rsid w:val="00665ACD"/>
    <w:rsid w:val="00665B67"/>
    <w:rsid w:val="00665BE4"/>
    <w:rsid w:val="006678A4"/>
    <w:rsid w:val="00670E4F"/>
    <w:rsid w:val="00671A17"/>
    <w:rsid w:val="006732CD"/>
    <w:rsid w:val="00673881"/>
    <w:rsid w:val="00675AFE"/>
    <w:rsid w:val="00676346"/>
    <w:rsid w:val="006778D9"/>
    <w:rsid w:val="00680330"/>
    <w:rsid w:val="006803E2"/>
    <w:rsid w:val="00680B7D"/>
    <w:rsid w:val="00681CF1"/>
    <w:rsid w:val="0068340B"/>
    <w:rsid w:val="00683607"/>
    <w:rsid w:val="0068361B"/>
    <w:rsid w:val="006846DA"/>
    <w:rsid w:val="006860E9"/>
    <w:rsid w:val="00686219"/>
    <w:rsid w:val="0068626A"/>
    <w:rsid w:val="0068721C"/>
    <w:rsid w:val="0069083A"/>
    <w:rsid w:val="00692228"/>
    <w:rsid w:val="00692EE2"/>
    <w:rsid w:val="0069382F"/>
    <w:rsid w:val="00694CE1"/>
    <w:rsid w:val="00696B91"/>
    <w:rsid w:val="00697FB2"/>
    <w:rsid w:val="006A13B2"/>
    <w:rsid w:val="006A13F9"/>
    <w:rsid w:val="006A1606"/>
    <w:rsid w:val="006A1711"/>
    <w:rsid w:val="006A1E0A"/>
    <w:rsid w:val="006A1E19"/>
    <w:rsid w:val="006A1F40"/>
    <w:rsid w:val="006A697E"/>
    <w:rsid w:val="006A700F"/>
    <w:rsid w:val="006A719A"/>
    <w:rsid w:val="006B0121"/>
    <w:rsid w:val="006B0A91"/>
    <w:rsid w:val="006B0D13"/>
    <w:rsid w:val="006B1342"/>
    <w:rsid w:val="006B14D9"/>
    <w:rsid w:val="006B1F18"/>
    <w:rsid w:val="006B2166"/>
    <w:rsid w:val="006B22F2"/>
    <w:rsid w:val="006B3871"/>
    <w:rsid w:val="006B4E1F"/>
    <w:rsid w:val="006B5556"/>
    <w:rsid w:val="006B593D"/>
    <w:rsid w:val="006B73F8"/>
    <w:rsid w:val="006B75FA"/>
    <w:rsid w:val="006C2BC3"/>
    <w:rsid w:val="006C3136"/>
    <w:rsid w:val="006C5C2F"/>
    <w:rsid w:val="006C6CF7"/>
    <w:rsid w:val="006D17CE"/>
    <w:rsid w:val="006D28E6"/>
    <w:rsid w:val="006D390C"/>
    <w:rsid w:val="006D3939"/>
    <w:rsid w:val="006D6013"/>
    <w:rsid w:val="006D7082"/>
    <w:rsid w:val="006D726D"/>
    <w:rsid w:val="006D72A8"/>
    <w:rsid w:val="006D7FB2"/>
    <w:rsid w:val="006E0696"/>
    <w:rsid w:val="006E0759"/>
    <w:rsid w:val="006E0B23"/>
    <w:rsid w:val="006E0D67"/>
    <w:rsid w:val="006E0FF2"/>
    <w:rsid w:val="006E1BC9"/>
    <w:rsid w:val="006E1E3B"/>
    <w:rsid w:val="006E28C3"/>
    <w:rsid w:val="006E29DF"/>
    <w:rsid w:val="006E303D"/>
    <w:rsid w:val="006E40CF"/>
    <w:rsid w:val="006E54C9"/>
    <w:rsid w:val="006E5C85"/>
    <w:rsid w:val="006E65FD"/>
    <w:rsid w:val="006E6B41"/>
    <w:rsid w:val="006E6F93"/>
    <w:rsid w:val="006E75D8"/>
    <w:rsid w:val="006E78A0"/>
    <w:rsid w:val="006F1021"/>
    <w:rsid w:val="006F1E61"/>
    <w:rsid w:val="006F1FB6"/>
    <w:rsid w:val="006F21F7"/>
    <w:rsid w:val="006F2BAC"/>
    <w:rsid w:val="006F3574"/>
    <w:rsid w:val="006F3945"/>
    <w:rsid w:val="006F5A07"/>
    <w:rsid w:val="006F6F35"/>
    <w:rsid w:val="006F7115"/>
    <w:rsid w:val="00702AE5"/>
    <w:rsid w:val="0070345A"/>
    <w:rsid w:val="0070549F"/>
    <w:rsid w:val="007057CD"/>
    <w:rsid w:val="00705B38"/>
    <w:rsid w:val="007060DF"/>
    <w:rsid w:val="00707E9A"/>
    <w:rsid w:val="00710AEC"/>
    <w:rsid w:val="00712836"/>
    <w:rsid w:val="007134B9"/>
    <w:rsid w:val="0071459B"/>
    <w:rsid w:val="007169EC"/>
    <w:rsid w:val="00717575"/>
    <w:rsid w:val="00717B50"/>
    <w:rsid w:val="007200B2"/>
    <w:rsid w:val="0072076E"/>
    <w:rsid w:val="0072182C"/>
    <w:rsid w:val="007218CB"/>
    <w:rsid w:val="007223A6"/>
    <w:rsid w:val="00722504"/>
    <w:rsid w:val="00722AB7"/>
    <w:rsid w:val="00723153"/>
    <w:rsid w:val="0072434F"/>
    <w:rsid w:val="0072452E"/>
    <w:rsid w:val="007268DD"/>
    <w:rsid w:val="00730069"/>
    <w:rsid w:val="0073199C"/>
    <w:rsid w:val="0073263C"/>
    <w:rsid w:val="00734458"/>
    <w:rsid w:val="007347F0"/>
    <w:rsid w:val="007351B2"/>
    <w:rsid w:val="00736E5B"/>
    <w:rsid w:val="00736E7C"/>
    <w:rsid w:val="007370C8"/>
    <w:rsid w:val="00741360"/>
    <w:rsid w:val="0074229E"/>
    <w:rsid w:val="00743100"/>
    <w:rsid w:val="007432A2"/>
    <w:rsid w:val="00744014"/>
    <w:rsid w:val="00744A8F"/>
    <w:rsid w:val="007452EF"/>
    <w:rsid w:val="00745F1D"/>
    <w:rsid w:val="007467F4"/>
    <w:rsid w:val="007508E0"/>
    <w:rsid w:val="00750F7A"/>
    <w:rsid w:val="007526E3"/>
    <w:rsid w:val="00753388"/>
    <w:rsid w:val="00753F9B"/>
    <w:rsid w:val="00756071"/>
    <w:rsid w:val="00756F9E"/>
    <w:rsid w:val="007610A7"/>
    <w:rsid w:val="00761465"/>
    <w:rsid w:val="0076174E"/>
    <w:rsid w:val="00761A78"/>
    <w:rsid w:val="007620A7"/>
    <w:rsid w:val="0076297B"/>
    <w:rsid w:val="007633BA"/>
    <w:rsid w:val="00764B48"/>
    <w:rsid w:val="00765713"/>
    <w:rsid w:val="00765965"/>
    <w:rsid w:val="00765B23"/>
    <w:rsid w:val="00767346"/>
    <w:rsid w:val="007673F5"/>
    <w:rsid w:val="007679BD"/>
    <w:rsid w:val="00767A1D"/>
    <w:rsid w:val="00767DDF"/>
    <w:rsid w:val="00767E19"/>
    <w:rsid w:val="007701F2"/>
    <w:rsid w:val="0077165B"/>
    <w:rsid w:val="00772CAA"/>
    <w:rsid w:val="00773BC9"/>
    <w:rsid w:val="007743B6"/>
    <w:rsid w:val="00774A61"/>
    <w:rsid w:val="007768BD"/>
    <w:rsid w:val="00776B50"/>
    <w:rsid w:val="00780347"/>
    <w:rsid w:val="00780F9C"/>
    <w:rsid w:val="00781E44"/>
    <w:rsid w:val="00782213"/>
    <w:rsid w:val="0078362D"/>
    <w:rsid w:val="00783EE6"/>
    <w:rsid w:val="0078442B"/>
    <w:rsid w:val="00784E7A"/>
    <w:rsid w:val="00786668"/>
    <w:rsid w:val="007871CC"/>
    <w:rsid w:val="007871CF"/>
    <w:rsid w:val="00787606"/>
    <w:rsid w:val="00787BC6"/>
    <w:rsid w:val="00790908"/>
    <w:rsid w:val="00790C46"/>
    <w:rsid w:val="00791A64"/>
    <w:rsid w:val="00794D26"/>
    <w:rsid w:val="00795A8F"/>
    <w:rsid w:val="007960BF"/>
    <w:rsid w:val="0079788D"/>
    <w:rsid w:val="00797F34"/>
    <w:rsid w:val="007A04A3"/>
    <w:rsid w:val="007A0A9D"/>
    <w:rsid w:val="007A0C0E"/>
    <w:rsid w:val="007A15CB"/>
    <w:rsid w:val="007A1A3A"/>
    <w:rsid w:val="007A4016"/>
    <w:rsid w:val="007A4D9C"/>
    <w:rsid w:val="007A4EB0"/>
    <w:rsid w:val="007A5AB1"/>
    <w:rsid w:val="007A7C58"/>
    <w:rsid w:val="007B0609"/>
    <w:rsid w:val="007B0FBD"/>
    <w:rsid w:val="007B22AD"/>
    <w:rsid w:val="007B3E63"/>
    <w:rsid w:val="007B4C6C"/>
    <w:rsid w:val="007B4EC6"/>
    <w:rsid w:val="007B5492"/>
    <w:rsid w:val="007B6194"/>
    <w:rsid w:val="007B6EBD"/>
    <w:rsid w:val="007C038E"/>
    <w:rsid w:val="007C0E54"/>
    <w:rsid w:val="007C15BD"/>
    <w:rsid w:val="007C19F8"/>
    <w:rsid w:val="007C2324"/>
    <w:rsid w:val="007C4748"/>
    <w:rsid w:val="007C4800"/>
    <w:rsid w:val="007C505B"/>
    <w:rsid w:val="007C67CD"/>
    <w:rsid w:val="007C6C87"/>
    <w:rsid w:val="007C78D4"/>
    <w:rsid w:val="007D0915"/>
    <w:rsid w:val="007D1CA5"/>
    <w:rsid w:val="007D1DAC"/>
    <w:rsid w:val="007D2CC8"/>
    <w:rsid w:val="007D437C"/>
    <w:rsid w:val="007D4A70"/>
    <w:rsid w:val="007D4D26"/>
    <w:rsid w:val="007D5A4F"/>
    <w:rsid w:val="007D6288"/>
    <w:rsid w:val="007D6904"/>
    <w:rsid w:val="007D6C47"/>
    <w:rsid w:val="007D7572"/>
    <w:rsid w:val="007E1560"/>
    <w:rsid w:val="007E1FF4"/>
    <w:rsid w:val="007E2340"/>
    <w:rsid w:val="007E2392"/>
    <w:rsid w:val="007E3C29"/>
    <w:rsid w:val="007E6F5B"/>
    <w:rsid w:val="007E79C1"/>
    <w:rsid w:val="007E7A23"/>
    <w:rsid w:val="007E7F0F"/>
    <w:rsid w:val="007F1222"/>
    <w:rsid w:val="007F1B3C"/>
    <w:rsid w:val="007F20C8"/>
    <w:rsid w:val="007F236A"/>
    <w:rsid w:val="007F3367"/>
    <w:rsid w:val="007F4625"/>
    <w:rsid w:val="007F48D1"/>
    <w:rsid w:val="007F4D82"/>
    <w:rsid w:val="007F61E5"/>
    <w:rsid w:val="007F6FCB"/>
    <w:rsid w:val="007F7873"/>
    <w:rsid w:val="007F7E7F"/>
    <w:rsid w:val="008009B0"/>
    <w:rsid w:val="00800BFC"/>
    <w:rsid w:val="00800C99"/>
    <w:rsid w:val="0080343F"/>
    <w:rsid w:val="0080444A"/>
    <w:rsid w:val="00805144"/>
    <w:rsid w:val="00807194"/>
    <w:rsid w:val="00810C4F"/>
    <w:rsid w:val="0081251E"/>
    <w:rsid w:val="00812A37"/>
    <w:rsid w:val="00812DD7"/>
    <w:rsid w:val="008130F2"/>
    <w:rsid w:val="008136EC"/>
    <w:rsid w:val="00814B1C"/>
    <w:rsid w:val="008150A7"/>
    <w:rsid w:val="00816450"/>
    <w:rsid w:val="00816514"/>
    <w:rsid w:val="00816E64"/>
    <w:rsid w:val="008170D0"/>
    <w:rsid w:val="0081756C"/>
    <w:rsid w:val="00820186"/>
    <w:rsid w:val="008202AB"/>
    <w:rsid w:val="00820370"/>
    <w:rsid w:val="00820649"/>
    <w:rsid w:val="00821142"/>
    <w:rsid w:val="00821629"/>
    <w:rsid w:val="00822988"/>
    <w:rsid w:val="00822CD3"/>
    <w:rsid w:val="00824183"/>
    <w:rsid w:val="0082419C"/>
    <w:rsid w:val="00824E30"/>
    <w:rsid w:val="00825276"/>
    <w:rsid w:val="0082532A"/>
    <w:rsid w:val="00825FA0"/>
    <w:rsid w:val="00826603"/>
    <w:rsid w:val="00826E8C"/>
    <w:rsid w:val="0082736B"/>
    <w:rsid w:val="0083022D"/>
    <w:rsid w:val="008305EE"/>
    <w:rsid w:val="008328E6"/>
    <w:rsid w:val="00833064"/>
    <w:rsid w:val="0083326D"/>
    <w:rsid w:val="008338FB"/>
    <w:rsid w:val="00834CBB"/>
    <w:rsid w:val="00834F6B"/>
    <w:rsid w:val="00835241"/>
    <w:rsid w:val="00835283"/>
    <w:rsid w:val="008359A5"/>
    <w:rsid w:val="008359F8"/>
    <w:rsid w:val="00836013"/>
    <w:rsid w:val="00836512"/>
    <w:rsid w:val="008429AA"/>
    <w:rsid w:val="00843D0C"/>
    <w:rsid w:val="008444C7"/>
    <w:rsid w:val="00845B7C"/>
    <w:rsid w:val="00847B4B"/>
    <w:rsid w:val="00850934"/>
    <w:rsid w:val="008509F7"/>
    <w:rsid w:val="008530ED"/>
    <w:rsid w:val="00854499"/>
    <w:rsid w:val="00854547"/>
    <w:rsid w:val="00854D2E"/>
    <w:rsid w:val="0085520E"/>
    <w:rsid w:val="0085530A"/>
    <w:rsid w:val="008553DB"/>
    <w:rsid w:val="0085567E"/>
    <w:rsid w:val="0085595D"/>
    <w:rsid w:val="00855AC4"/>
    <w:rsid w:val="00860C91"/>
    <w:rsid w:val="00861B80"/>
    <w:rsid w:val="00864A4A"/>
    <w:rsid w:val="008657A6"/>
    <w:rsid w:val="008663A2"/>
    <w:rsid w:val="00867238"/>
    <w:rsid w:val="008672F6"/>
    <w:rsid w:val="008679C5"/>
    <w:rsid w:val="00867AC1"/>
    <w:rsid w:val="00867D5B"/>
    <w:rsid w:val="00867EF2"/>
    <w:rsid w:val="00872065"/>
    <w:rsid w:val="008722EB"/>
    <w:rsid w:val="00872B9A"/>
    <w:rsid w:val="00872EC1"/>
    <w:rsid w:val="00872EE5"/>
    <w:rsid w:val="008740CE"/>
    <w:rsid w:val="00874747"/>
    <w:rsid w:val="00874E9D"/>
    <w:rsid w:val="00875CB0"/>
    <w:rsid w:val="008765AA"/>
    <w:rsid w:val="00877316"/>
    <w:rsid w:val="00880A88"/>
    <w:rsid w:val="008815B5"/>
    <w:rsid w:val="0088198E"/>
    <w:rsid w:val="008819AA"/>
    <w:rsid w:val="00882258"/>
    <w:rsid w:val="00883043"/>
    <w:rsid w:val="008832BB"/>
    <w:rsid w:val="00885B91"/>
    <w:rsid w:val="00886262"/>
    <w:rsid w:val="00886C46"/>
    <w:rsid w:val="008909E4"/>
    <w:rsid w:val="00890F8A"/>
    <w:rsid w:val="00893621"/>
    <w:rsid w:val="00894191"/>
    <w:rsid w:val="00894676"/>
    <w:rsid w:val="008950EF"/>
    <w:rsid w:val="00895D58"/>
    <w:rsid w:val="00895D67"/>
    <w:rsid w:val="00896878"/>
    <w:rsid w:val="00897292"/>
    <w:rsid w:val="008973CA"/>
    <w:rsid w:val="008A042D"/>
    <w:rsid w:val="008A156B"/>
    <w:rsid w:val="008A16BE"/>
    <w:rsid w:val="008A40DF"/>
    <w:rsid w:val="008A5800"/>
    <w:rsid w:val="008A59AD"/>
    <w:rsid w:val="008A6263"/>
    <w:rsid w:val="008A7747"/>
    <w:rsid w:val="008B0281"/>
    <w:rsid w:val="008B05E4"/>
    <w:rsid w:val="008B0BE5"/>
    <w:rsid w:val="008B10FA"/>
    <w:rsid w:val="008B117F"/>
    <w:rsid w:val="008B3556"/>
    <w:rsid w:val="008B3D0E"/>
    <w:rsid w:val="008B3FE6"/>
    <w:rsid w:val="008B45DB"/>
    <w:rsid w:val="008B4FBA"/>
    <w:rsid w:val="008B5B7D"/>
    <w:rsid w:val="008B6906"/>
    <w:rsid w:val="008B6E40"/>
    <w:rsid w:val="008B79D8"/>
    <w:rsid w:val="008B7A96"/>
    <w:rsid w:val="008C2A73"/>
    <w:rsid w:val="008C47F7"/>
    <w:rsid w:val="008C5675"/>
    <w:rsid w:val="008C5864"/>
    <w:rsid w:val="008C5FBB"/>
    <w:rsid w:val="008C63BF"/>
    <w:rsid w:val="008C64A5"/>
    <w:rsid w:val="008C67D1"/>
    <w:rsid w:val="008D0100"/>
    <w:rsid w:val="008D1437"/>
    <w:rsid w:val="008D2268"/>
    <w:rsid w:val="008D3094"/>
    <w:rsid w:val="008D4152"/>
    <w:rsid w:val="008D5B46"/>
    <w:rsid w:val="008D65B3"/>
    <w:rsid w:val="008D6792"/>
    <w:rsid w:val="008D7341"/>
    <w:rsid w:val="008E1D7E"/>
    <w:rsid w:val="008E2B2B"/>
    <w:rsid w:val="008E2D53"/>
    <w:rsid w:val="008E5E32"/>
    <w:rsid w:val="008E6BB5"/>
    <w:rsid w:val="008E7359"/>
    <w:rsid w:val="008E7A74"/>
    <w:rsid w:val="008E7C33"/>
    <w:rsid w:val="008F07E1"/>
    <w:rsid w:val="008F0BEB"/>
    <w:rsid w:val="008F1154"/>
    <w:rsid w:val="008F169E"/>
    <w:rsid w:val="008F32B4"/>
    <w:rsid w:val="008F37B6"/>
    <w:rsid w:val="008F46AC"/>
    <w:rsid w:val="008F58E7"/>
    <w:rsid w:val="008F591C"/>
    <w:rsid w:val="008F5E2B"/>
    <w:rsid w:val="008F6833"/>
    <w:rsid w:val="008F6FE0"/>
    <w:rsid w:val="008F7367"/>
    <w:rsid w:val="0090228D"/>
    <w:rsid w:val="00903340"/>
    <w:rsid w:val="00904ED7"/>
    <w:rsid w:val="009053CB"/>
    <w:rsid w:val="00906225"/>
    <w:rsid w:val="0091120F"/>
    <w:rsid w:val="00912298"/>
    <w:rsid w:val="0091247A"/>
    <w:rsid w:val="0091290E"/>
    <w:rsid w:val="0091468B"/>
    <w:rsid w:val="00914B17"/>
    <w:rsid w:val="00914E18"/>
    <w:rsid w:val="00917123"/>
    <w:rsid w:val="00920700"/>
    <w:rsid w:val="00920886"/>
    <w:rsid w:val="00920F83"/>
    <w:rsid w:val="00921899"/>
    <w:rsid w:val="0092274C"/>
    <w:rsid w:val="00923B99"/>
    <w:rsid w:val="0092460D"/>
    <w:rsid w:val="00926243"/>
    <w:rsid w:val="00926EAE"/>
    <w:rsid w:val="00931337"/>
    <w:rsid w:val="00932BE4"/>
    <w:rsid w:val="00932BED"/>
    <w:rsid w:val="00933A97"/>
    <w:rsid w:val="00933B1B"/>
    <w:rsid w:val="00933EBC"/>
    <w:rsid w:val="009341AC"/>
    <w:rsid w:val="00935D58"/>
    <w:rsid w:val="009360E4"/>
    <w:rsid w:val="00936EDF"/>
    <w:rsid w:val="00937082"/>
    <w:rsid w:val="009370BD"/>
    <w:rsid w:val="009371FA"/>
    <w:rsid w:val="00937263"/>
    <w:rsid w:val="00937BCF"/>
    <w:rsid w:val="00940ED7"/>
    <w:rsid w:val="00942424"/>
    <w:rsid w:val="00943584"/>
    <w:rsid w:val="009438CA"/>
    <w:rsid w:val="009439FC"/>
    <w:rsid w:val="00945C44"/>
    <w:rsid w:val="00946461"/>
    <w:rsid w:val="00946B9D"/>
    <w:rsid w:val="00947938"/>
    <w:rsid w:val="00950D6A"/>
    <w:rsid w:val="00952DC9"/>
    <w:rsid w:val="0095334E"/>
    <w:rsid w:val="00953D45"/>
    <w:rsid w:val="009551CF"/>
    <w:rsid w:val="00956611"/>
    <w:rsid w:val="009567CE"/>
    <w:rsid w:val="00960256"/>
    <w:rsid w:val="00961778"/>
    <w:rsid w:val="0096192A"/>
    <w:rsid w:val="009627A7"/>
    <w:rsid w:val="00963C44"/>
    <w:rsid w:val="00963DFC"/>
    <w:rsid w:val="009640D9"/>
    <w:rsid w:val="00964241"/>
    <w:rsid w:val="00964244"/>
    <w:rsid w:val="00965F9F"/>
    <w:rsid w:val="00966BA3"/>
    <w:rsid w:val="009726B4"/>
    <w:rsid w:val="00973CD3"/>
    <w:rsid w:val="0097413F"/>
    <w:rsid w:val="009742A7"/>
    <w:rsid w:val="00977D17"/>
    <w:rsid w:val="00980F12"/>
    <w:rsid w:val="0098168D"/>
    <w:rsid w:val="00983104"/>
    <w:rsid w:val="00983C35"/>
    <w:rsid w:val="00986C61"/>
    <w:rsid w:val="009900A3"/>
    <w:rsid w:val="0099162B"/>
    <w:rsid w:val="0099276E"/>
    <w:rsid w:val="0099334A"/>
    <w:rsid w:val="00993731"/>
    <w:rsid w:val="00993C49"/>
    <w:rsid w:val="00993D6E"/>
    <w:rsid w:val="0099404C"/>
    <w:rsid w:val="00994922"/>
    <w:rsid w:val="00994C5B"/>
    <w:rsid w:val="00994F60"/>
    <w:rsid w:val="00995244"/>
    <w:rsid w:val="00995F5E"/>
    <w:rsid w:val="0099729C"/>
    <w:rsid w:val="009A0DE1"/>
    <w:rsid w:val="009A1252"/>
    <w:rsid w:val="009A2793"/>
    <w:rsid w:val="009A2AEF"/>
    <w:rsid w:val="009A2EA3"/>
    <w:rsid w:val="009A549E"/>
    <w:rsid w:val="009A54F3"/>
    <w:rsid w:val="009A5A60"/>
    <w:rsid w:val="009A6643"/>
    <w:rsid w:val="009A7D4B"/>
    <w:rsid w:val="009A7E5C"/>
    <w:rsid w:val="009B069E"/>
    <w:rsid w:val="009B1D58"/>
    <w:rsid w:val="009B26AF"/>
    <w:rsid w:val="009B30B8"/>
    <w:rsid w:val="009B30C6"/>
    <w:rsid w:val="009B3D1E"/>
    <w:rsid w:val="009B3D84"/>
    <w:rsid w:val="009B415F"/>
    <w:rsid w:val="009B57FE"/>
    <w:rsid w:val="009B613E"/>
    <w:rsid w:val="009B6DD9"/>
    <w:rsid w:val="009B784B"/>
    <w:rsid w:val="009C11BB"/>
    <w:rsid w:val="009C1304"/>
    <w:rsid w:val="009C1C0D"/>
    <w:rsid w:val="009C27BA"/>
    <w:rsid w:val="009C39D0"/>
    <w:rsid w:val="009C3A70"/>
    <w:rsid w:val="009C48EF"/>
    <w:rsid w:val="009C5CF7"/>
    <w:rsid w:val="009C6B63"/>
    <w:rsid w:val="009D13B5"/>
    <w:rsid w:val="009D2EA9"/>
    <w:rsid w:val="009D2FF1"/>
    <w:rsid w:val="009D49FD"/>
    <w:rsid w:val="009D530B"/>
    <w:rsid w:val="009D5520"/>
    <w:rsid w:val="009D6299"/>
    <w:rsid w:val="009E13C2"/>
    <w:rsid w:val="009E1BAC"/>
    <w:rsid w:val="009E3B34"/>
    <w:rsid w:val="009E3B6C"/>
    <w:rsid w:val="009E57C3"/>
    <w:rsid w:val="009E5E12"/>
    <w:rsid w:val="009E664F"/>
    <w:rsid w:val="009E6D3E"/>
    <w:rsid w:val="009E6FED"/>
    <w:rsid w:val="009E73FB"/>
    <w:rsid w:val="009E79D6"/>
    <w:rsid w:val="009F1595"/>
    <w:rsid w:val="009F23C4"/>
    <w:rsid w:val="009F2B08"/>
    <w:rsid w:val="009F34A6"/>
    <w:rsid w:val="009F4ABC"/>
    <w:rsid w:val="009F5441"/>
    <w:rsid w:val="009F755B"/>
    <w:rsid w:val="009F7AD5"/>
    <w:rsid w:val="00A03079"/>
    <w:rsid w:val="00A03738"/>
    <w:rsid w:val="00A03772"/>
    <w:rsid w:val="00A03D0F"/>
    <w:rsid w:val="00A03E99"/>
    <w:rsid w:val="00A05740"/>
    <w:rsid w:val="00A05D6B"/>
    <w:rsid w:val="00A05E44"/>
    <w:rsid w:val="00A071D2"/>
    <w:rsid w:val="00A07FCA"/>
    <w:rsid w:val="00A10CD3"/>
    <w:rsid w:val="00A147B1"/>
    <w:rsid w:val="00A14CBE"/>
    <w:rsid w:val="00A15076"/>
    <w:rsid w:val="00A15881"/>
    <w:rsid w:val="00A16E0E"/>
    <w:rsid w:val="00A16F5D"/>
    <w:rsid w:val="00A17419"/>
    <w:rsid w:val="00A22A2C"/>
    <w:rsid w:val="00A22C9C"/>
    <w:rsid w:val="00A22F75"/>
    <w:rsid w:val="00A23852"/>
    <w:rsid w:val="00A23956"/>
    <w:rsid w:val="00A24E3F"/>
    <w:rsid w:val="00A25287"/>
    <w:rsid w:val="00A26135"/>
    <w:rsid w:val="00A2691A"/>
    <w:rsid w:val="00A30771"/>
    <w:rsid w:val="00A31463"/>
    <w:rsid w:val="00A31A02"/>
    <w:rsid w:val="00A33E5E"/>
    <w:rsid w:val="00A355DB"/>
    <w:rsid w:val="00A35FF7"/>
    <w:rsid w:val="00A363E3"/>
    <w:rsid w:val="00A36A19"/>
    <w:rsid w:val="00A409E0"/>
    <w:rsid w:val="00A41127"/>
    <w:rsid w:val="00A4128B"/>
    <w:rsid w:val="00A42DDE"/>
    <w:rsid w:val="00A436D0"/>
    <w:rsid w:val="00A43F18"/>
    <w:rsid w:val="00A446BE"/>
    <w:rsid w:val="00A44A1B"/>
    <w:rsid w:val="00A4570A"/>
    <w:rsid w:val="00A458ED"/>
    <w:rsid w:val="00A46D0C"/>
    <w:rsid w:val="00A50744"/>
    <w:rsid w:val="00A50E61"/>
    <w:rsid w:val="00A511C8"/>
    <w:rsid w:val="00A511DB"/>
    <w:rsid w:val="00A51DF5"/>
    <w:rsid w:val="00A531B8"/>
    <w:rsid w:val="00A533A3"/>
    <w:rsid w:val="00A53C08"/>
    <w:rsid w:val="00A54069"/>
    <w:rsid w:val="00A5479B"/>
    <w:rsid w:val="00A54A9D"/>
    <w:rsid w:val="00A560D6"/>
    <w:rsid w:val="00A5699F"/>
    <w:rsid w:val="00A56F0D"/>
    <w:rsid w:val="00A5746E"/>
    <w:rsid w:val="00A6006F"/>
    <w:rsid w:val="00A614C7"/>
    <w:rsid w:val="00A624CF"/>
    <w:rsid w:val="00A642FC"/>
    <w:rsid w:val="00A64957"/>
    <w:rsid w:val="00A66678"/>
    <w:rsid w:val="00A66AE6"/>
    <w:rsid w:val="00A66EDB"/>
    <w:rsid w:val="00A67751"/>
    <w:rsid w:val="00A706B7"/>
    <w:rsid w:val="00A70751"/>
    <w:rsid w:val="00A70C1E"/>
    <w:rsid w:val="00A7265C"/>
    <w:rsid w:val="00A72753"/>
    <w:rsid w:val="00A72E37"/>
    <w:rsid w:val="00A73FCA"/>
    <w:rsid w:val="00A74599"/>
    <w:rsid w:val="00A75028"/>
    <w:rsid w:val="00A777A8"/>
    <w:rsid w:val="00A803F7"/>
    <w:rsid w:val="00A80606"/>
    <w:rsid w:val="00A80807"/>
    <w:rsid w:val="00A812DC"/>
    <w:rsid w:val="00A81A09"/>
    <w:rsid w:val="00A8238D"/>
    <w:rsid w:val="00A82A80"/>
    <w:rsid w:val="00A85B7B"/>
    <w:rsid w:val="00A85EBA"/>
    <w:rsid w:val="00A86DB7"/>
    <w:rsid w:val="00A87291"/>
    <w:rsid w:val="00A87573"/>
    <w:rsid w:val="00A91946"/>
    <w:rsid w:val="00A92C05"/>
    <w:rsid w:val="00A94A2D"/>
    <w:rsid w:val="00A95E2F"/>
    <w:rsid w:val="00A97D95"/>
    <w:rsid w:val="00A97F2B"/>
    <w:rsid w:val="00AA0127"/>
    <w:rsid w:val="00AA07BF"/>
    <w:rsid w:val="00AA0A77"/>
    <w:rsid w:val="00AA0C83"/>
    <w:rsid w:val="00AA0FF0"/>
    <w:rsid w:val="00AA1990"/>
    <w:rsid w:val="00AA2960"/>
    <w:rsid w:val="00AA3248"/>
    <w:rsid w:val="00AA3D70"/>
    <w:rsid w:val="00AA3F29"/>
    <w:rsid w:val="00AA4924"/>
    <w:rsid w:val="00AA4D3B"/>
    <w:rsid w:val="00AA502D"/>
    <w:rsid w:val="00AA596E"/>
    <w:rsid w:val="00AA5A57"/>
    <w:rsid w:val="00AA6081"/>
    <w:rsid w:val="00AA64F9"/>
    <w:rsid w:val="00AA6F42"/>
    <w:rsid w:val="00AA78DC"/>
    <w:rsid w:val="00AA7ABC"/>
    <w:rsid w:val="00AB01F6"/>
    <w:rsid w:val="00AB13D1"/>
    <w:rsid w:val="00AB14CE"/>
    <w:rsid w:val="00AB2450"/>
    <w:rsid w:val="00AB252B"/>
    <w:rsid w:val="00AB506A"/>
    <w:rsid w:val="00AB5CF1"/>
    <w:rsid w:val="00AB5F58"/>
    <w:rsid w:val="00AB67D5"/>
    <w:rsid w:val="00AC08A1"/>
    <w:rsid w:val="00AC3184"/>
    <w:rsid w:val="00AC3454"/>
    <w:rsid w:val="00AC3E5B"/>
    <w:rsid w:val="00AC5C32"/>
    <w:rsid w:val="00AC6F93"/>
    <w:rsid w:val="00AD1B5A"/>
    <w:rsid w:val="00AD2A7A"/>
    <w:rsid w:val="00AD2DAE"/>
    <w:rsid w:val="00AD37D2"/>
    <w:rsid w:val="00AD3C14"/>
    <w:rsid w:val="00AD3F80"/>
    <w:rsid w:val="00AD6FC7"/>
    <w:rsid w:val="00AD7A2D"/>
    <w:rsid w:val="00AE0B82"/>
    <w:rsid w:val="00AE11FA"/>
    <w:rsid w:val="00AE1377"/>
    <w:rsid w:val="00AE14FD"/>
    <w:rsid w:val="00AE30AC"/>
    <w:rsid w:val="00AF031D"/>
    <w:rsid w:val="00AF05B5"/>
    <w:rsid w:val="00AF139B"/>
    <w:rsid w:val="00AF1DE5"/>
    <w:rsid w:val="00AF1E35"/>
    <w:rsid w:val="00AF1F5D"/>
    <w:rsid w:val="00AF29D1"/>
    <w:rsid w:val="00AF2CB9"/>
    <w:rsid w:val="00AF3FA6"/>
    <w:rsid w:val="00AF4532"/>
    <w:rsid w:val="00AF5669"/>
    <w:rsid w:val="00AF6E82"/>
    <w:rsid w:val="00AF7ACD"/>
    <w:rsid w:val="00AF7F9B"/>
    <w:rsid w:val="00B00061"/>
    <w:rsid w:val="00B00825"/>
    <w:rsid w:val="00B01EDF"/>
    <w:rsid w:val="00B01F2F"/>
    <w:rsid w:val="00B0216C"/>
    <w:rsid w:val="00B0239C"/>
    <w:rsid w:val="00B0358C"/>
    <w:rsid w:val="00B0494A"/>
    <w:rsid w:val="00B0495F"/>
    <w:rsid w:val="00B05272"/>
    <w:rsid w:val="00B05922"/>
    <w:rsid w:val="00B05ADD"/>
    <w:rsid w:val="00B05B69"/>
    <w:rsid w:val="00B05F7F"/>
    <w:rsid w:val="00B06552"/>
    <w:rsid w:val="00B07387"/>
    <w:rsid w:val="00B0758A"/>
    <w:rsid w:val="00B0781F"/>
    <w:rsid w:val="00B07F09"/>
    <w:rsid w:val="00B10D45"/>
    <w:rsid w:val="00B11497"/>
    <w:rsid w:val="00B11771"/>
    <w:rsid w:val="00B12340"/>
    <w:rsid w:val="00B1294B"/>
    <w:rsid w:val="00B12CF2"/>
    <w:rsid w:val="00B132F7"/>
    <w:rsid w:val="00B137F5"/>
    <w:rsid w:val="00B13B2E"/>
    <w:rsid w:val="00B13E04"/>
    <w:rsid w:val="00B14535"/>
    <w:rsid w:val="00B174A5"/>
    <w:rsid w:val="00B17954"/>
    <w:rsid w:val="00B17DC3"/>
    <w:rsid w:val="00B20C32"/>
    <w:rsid w:val="00B21836"/>
    <w:rsid w:val="00B22901"/>
    <w:rsid w:val="00B23B42"/>
    <w:rsid w:val="00B23BF5"/>
    <w:rsid w:val="00B23CCC"/>
    <w:rsid w:val="00B2553C"/>
    <w:rsid w:val="00B2571C"/>
    <w:rsid w:val="00B25799"/>
    <w:rsid w:val="00B26AB4"/>
    <w:rsid w:val="00B271B9"/>
    <w:rsid w:val="00B279DD"/>
    <w:rsid w:val="00B27A37"/>
    <w:rsid w:val="00B27CCC"/>
    <w:rsid w:val="00B30A4A"/>
    <w:rsid w:val="00B30BE9"/>
    <w:rsid w:val="00B339F5"/>
    <w:rsid w:val="00B33AAC"/>
    <w:rsid w:val="00B34246"/>
    <w:rsid w:val="00B34815"/>
    <w:rsid w:val="00B3488D"/>
    <w:rsid w:val="00B4064D"/>
    <w:rsid w:val="00B40691"/>
    <w:rsid w:val="00B42285"/>
    <w:rsid w:val="00B426D3"/>
    <w:rsid w:val="00B4381F"/>
    <w:rsid w:val="00B44A08"/>
    <w:rsid w:val="00B44C58"/>
    <w:rsid w:val="00B45B8D"/>
    <w:rsid w:val="00B46175"/>
    <w:rsid w:val="00B46368"/>
    <w:rsid w:val="00B46CAE"/>
    <w:rsid w:val="00B46F69"/>
    <w:rsid w:val="00B4775D"/>
    <w:rsid w:val="00B50492"/>
    <w:rsid w:val="00B525C8"/>
    <w:rsid w:val="00B527BE"/>
    <w:rsid w:val="00B54FED"/>
    <w:rsid w:val="00B567F8"/>
    <w:rsid w:val="00B57F0C"/>
    <w:rsid w:val="00B611F6"/>
    <w:rsid w:val="00B6170C"/>
    <w:rsid w:val="00B6263B"/>
    <w:rsid w:val="00B6287F"/>
    <w:rsid w:val="00B63D58"/>
    <w:rsid w:val="00B64017"/>
    <w:rsid w:val="00B64C02"/>
    <w:rsid w:val="00B65842"/>
    <w:rsid w:val="00B66AFA"/>
    <w:rsid w:val="00B6796A"/>
    <w:rsid w:val="00B67E90"/>
    <w:rsid w:val="00B67FE9"/>
    <w:rsid w:val="00B70202"/>
    <w:rsid w:val="00B7085F"/>
    <w:rsid w:val="00B71996"/>
    <w:rsid w:val="00B727E6"/>
    <w:rsid w:val="00B733A7"/>
    <w:rsid w:val="00B73EF4"/>
    <w:rsid w:val="00B73FE4"/>
    <w:rsid w:val="00B74732"/>
    <w:rsid w:val="00B74DBF"/>
    <w:rsid w:val="00B75875"/>
    <w:rsid w:val="00B76A6E"/>
    <w:rsid w:val="00B76FCB"/>
    <w:rsid w:val="00B77D22"/>
    <w:rsid w:val="00B80564"/>
    <w:rsid w:val="00B81309"/>
    <w:rsid w:val="00B82294"/>
    <w:rsid w:val="00B8535C"/>
    <w:rsid w:val="00B8539A"/>
    <w:rsid w:val="00B8697A"/>
    <w:rsid w:val="00B90787"/>
    <w:rsid w:val="00B91227"/>
    <w:rsid w:val="00B92B74"/>
    <w:rsid w:val="00B92F5F"/>
    <w:rsid w:val="00B932D0"/>
    <w:rsid w:val="00B949B2"/>
    <w:rsid w:val="00B94E6B"/>
    <w:rsid w:val="00BA0BDA"/>
    <w:rsid w:val="00BA1433"/>
    <w:rsid w:val="00BA1464"/>
    <w:rsid w:val="00BA3625"/>
    <w:rsid w:val="00BA3D02"/>
    <w:rsid w:val="00BA3D9B"/>
    <w:rsid w:val="00BA5F6F"/>
    <w:rsid w:val="00BB0474"/>
    <w:rsid w:val="00BB10F2"/>
    <w:rsid w:val="00BB1B16"/>
    <w:rsid w:val="00BB291A"/>
    <w:rsid w:val="00BB2F83"/>
    <w:rsid w:val="00BB57E3"/>
    <w:rsid w:val="00BB711A"/>
    <w:rsid w:val="00BC0931"/>
    <w:rsid w:val="00BC0BA3"/>
    <w:rsid w:val="00BC4AE5"/>
    <w:rsid w:val="00BC4F3E"/>
    <w:rsid w:val="00BC6696"/>
    <w:rsid w:val="00BC699A"/>
    <w:rsid w:val="00BC708A"/>
    <w:rsid w:val="00BC7C84"/>
    <w:rsid w:val="00BC7D73"/>
    <w:rsid w:val="00BD1FA2"/>
    <w:rsid w:val="00BD2382"/>
    <w:rsid w:val="00BD267D"/>
    <w:rsid w:val="00BD2E13"/>
    <w:rsid w:val="00BD694C"/>
    <w:rsid w:val="00BD6D0E"/>
    <w:rsid w:val="00BD716A"/>
    <w:rsid w:val="00BD73E7"/>
    <w:rsid w:val="00BE00FA"/>
    <w:rsid w:val="00BE13E5"/>
    <w:rsid w:val="00BE1F37"/>
    <w:rsid w:val="00BE2AA3"/>
    <w:rsid w:val="00BE2C92"/>
    <w:rsid w:val="00BE3026"/>
    <w:rsid w:val="00BE4433"/>
    <w:rsid w:val="00BE594E"/>
    <w:rsid w:val="00BE62C5"/>
    <w:rsid w:val="00BF003D"/>
    <w:rsid w:val="00BF0536"/>
    <w:rsid w:val="00BF19F8"/>
    <w:rsid w:val="00BF2596"/>
    <w:rsid w:val="00BF3551"/>
    <w:rsid w:val="00BF3712"/>
    <w:rsid w:val="00BF4239"/>
    <w:rsid w:val="00BF5780"/>
    <w:rsid w:val="00BF5EF2"/>
    <w:rsid w:val="00BF643F"/>
    <w:rsid w:val="00BF6CDB"/>
    <w:rsid w:val="00C00967"/>
    <w:rsid w:val="00C0195D"/>
    <w:rsid w:val="00C0210B"/>
    <w:rsid w:val="00C0281E"/>
    <w:rsid w:val="00C0290C"/>
    <w:rsid w:val="00C029BD"/>
    <w:rsid w:val="00C031D4"/>
    <w:rsid w:val="00C0341E"/>
    <w:rsid w:val="00C03D27"/>
    <w:rsid w:val="00C0462A"/>
    <w:rsid w:val="00C05CD5"/>
    <w:rsid w:val="00C05E06"/>
    <w:rsid w:val="00C05F6E"/>
    <w:rsid w:val="00C06C26"/>
    <w:rsid w:val="00C0772B"/>
    <w:rsid w:val="00C1029C"/>
    <w:rsid w:val="00C10BD8"/>
    <w:rsid w:val="00C1165C"/>
    <w:rsid w:val="00C116FE"/>
    <w:rsid w:val="00C11F57"/>
    <w:rsid w:val="00C12761"/>
    <w:rsid w:val="00C13588"/>
    <w:rsid w:val="00C13E70"/>
    <w:rsid w:val="00C141CB"/>
    <w:rsid w:val="00C15220"/>
    <w:rsid w:val="00C15689"/>
    <w:rsid w:val="00C15B85"/>
    <w:rsid w:val="00C15D10"/>
    <w:rsid w:val="00C16C1C"/>
    <w:rsid w:val="00C16FFD"/>
    <w:rsid w:val="00C170B0"/>
    <w:rsid w:val="00C1785B"/>
    <w:rsid w:val="00C17E08"/>
    <w:rsid w:val="00C201AF"/>
    <w:rsid w:val="00C20AF8"/>
    <w:rsid w:val="00C20D27"/>
    <w:rsid w:val="00C20E67"/>
    <w:rsid w:val="00C217C1"/>
    <w:rsid w:val="00C21C45"/>
    <w:rsid w:val="00C23F94"/>
    <w:rsid w:val="00C25BF3"/>
    <w:rsid w:val="00C25E5D"/>
    <w:rsid w:val="00C26064"/>
    <w:rsid w:val="00C264F5"/>
    <w:rsid w:val="00C26958"/>
    <w:rsid w:val="00C26F3C"/>
    <w:rsid w:val="00C27820"/>
    <w:rsid w:val="00C301AC"/>
    <w:rsid w:val="00C339EC"/>
    <w:rsid w:val="00C347AA"/>
    <w:rsid w:val="00C35965"/>
    <w:rsid w:val="00C35FC6"/>
    <w:rsid w:val="00C36399"/>
    <w:rsid w:val="00C36580"/>
    <w:rsid w:val="00C369A1"/>
    <w:rsid w:val="00C369F6"/>
    <w:rsid w:val="00C36F68"/>
    <w:rsid w:val="00C37827"/>
    <w:rsid w:val="00C40F94"/>
    <w:rsid w:val="00C424CC"/>
    <w:rsid w:val="00C431E6"/>
    <w:rsid w:val="00C444E0"/>
    <w:rsid w:val="00C45790"/>
    <w:rsid w:val="00C45E8A"/>
    <w:rsid w:val="00C4668D"/>
    <w:rsid w:val="00C46C27"/>
    <w:rsid w:val="00C50927"/>
    <w:rsid w:val="00C5129A"/>
    <w:rsid w:val="00C53121"/>
    <w:rsid w:val="00C53861"/>
    <w:rsid w:val="00C53947"/>
    <w:rsid w:val="00C53AB2"/>
    <w:rsid w:val="00C569DB"/>
    <w:rsid w:val="00C56A5E"/>
    <w:rsid w:val="00C56FA5"/>
    <w:rsid w:val="00C57331"/>
    <w:rsid w:val="00C57DDB"/>
    <w:rsid w:val="00C61946"/>
    <w:rsid w:val="00C62010"/>
    <w:rsid w:val="00C622A1"/>
    <w:rsid w:val="00C62B6D"/>
    <w:rsid w:val="00C62B75"/>
    <w:rsid w:val="00C63517"/>
    <w:rsid w:val="00C6362B"/>
    <w:rsid w:val="00C63A0C"/>
    <w:rsid w:val="00C63FC8"/>
    <w:rsid w:val="00C64073"/>
    <w:rsid w:val="00C6424F"/>
    <w:rsid w:val="00C652D8"/>
    <w:rsid w:val="00C657E0"/>
    <w:rsid w:val="00C661E4"/>
    <w:rsid w:val="00C669A5"/>
    <w:rsid w:val="00C7009A"/>
    <w:rsid w:val="00C7189A"/>
    <w:rsid w:val="00C73341"/>
    <w:rsid w:val="00C7385C"/>
    <w:rsid w:val="00C73AA5"/>
    <w:rsid w:val="00C742BF"/>
    <w:rsid w:val="00C74663"/>
    <w:rsid w:val="00C74BB3"/>
    <w:rsid w:val="00C7598E"/>
    <w:rsid w:val="00C766A1"/>
    <w:rsid w:val="00C7762A"/>
    <w:rsid w:val="00C80380"/>
    <w:rsid w:val="00C805CA"/>
    <w:rsid w:val="00C8141A"/>
    <w:rsid w:val="00C814F1"/>
    <w:rsid w:val="00C823EA"/>
    <w:rsid w:val="00C82958"/>
    <w:rsid w:val="00C834A2"/>
    <w:rsid w:val="00C83B4D"/>
    <w:rsid w:val="00C84F07"/>
    <w:rsid w:val="00C86493"/>
    <w:rsid w:val="00C8775E"/>
    <w:rsid w:val="00C87A03"/>
    <w:rsid w:val="00C904E8"/>
    <w:rsid w:val="00C92947"/>
    <w:rsid w:val="00C93052"/>
    <w:rsid w:val="00C93432"/>
    <w:rsid w:val="00C93706"/>
    <w:rsid w:val="00C94852"/>
    <w:rsid w:val="00C965D4"/>
    <w:rsid w:val="00C9748B"/>
    <w:rsid w:val="00C976D5"/>
    <w:rsid w:val="00C97F5A"/>
    <w:rsid w:val="00CA0214"/>
    <w:rsid w:val="00CA19A2"/>
    <w:rsid w:val="00CA26BD"/>
    <w:rsid w:val="00CA26CB"/>
    <w:rsid w:val="00CA2948"/>
    <w:rsid w:val="00CA3480"/>
    <w:rsid w:val="00CA3CBE"/>
    <w:rsid w:val="00CA3F75"/>
    <w:rsid w:val="00CA52DB"/>
    <w:rsid w:val="00CA53D8"/>
    <w:rsid w:val="00CA6A5D"/>
    <w:rsid w:val="00CA760B"/>
    <w:rsid w:val="00CA7C7C"/>
    <w:rsid w:val="00CB0A1F"/>
    <w:rsid w:val="00CB14E5"/>
    <w:rsid w:val="00CB1742"/>
    <w:rsid w:val="00CB2169"/>
    <w:rsid w:val="00CB28E2"/>
    <w:rsid w:val="00CB2F02"/>
    <w:rsid w:val="00CB568C"/>
    <w:rsid w:val="00CB697C"/>
    <w:rsid w:val="00CB6CB5"/>
    <w:rsid w:val="00CB7806"/>
    <w:rsid w:val="00CB7BA7"/>
    <w:rsid w:val="00CC1805"/>
    <w:rsid w:val="00CC18CF"/>
    <w:rsid w:val="00CC22B6"/>
    <w:rsid w:val="00CC3C84"/>
    <w:rsid w:val="00CC4BBE"/>
    <w:rsid w:val="00CC5511"/>
    <w:rsid w:val="00CC74E9"/>
    <w:rsid w:val="00CC77A1"/>
    <w:rsid w:val="00CD047F"/>
    <w:rsid w:val="00CD06E2"/>
    <w:rsid w:val="00CD10CD"/>
    <w:rsid w:val="00CD17E1"/>
    <w:rsid w:val="00CD1C66"/>
    <w:rsid w:val="00CD1D1E"/>
    <w:rsid w:val="00CD2954"/>
    <w:rsid w:val="00CD3AB1"/>
    <w:rsid w:val="00CD3F30"/>
    <w:rsid w:val="00CD413E"/>
    <w:rsid w:val="00CD6126"/>
    <w:rsid w:val="00CE035D"/>
    <w:rsid w:val="00CE03D4"/>
    <w:rsid w:val="00CE05EF"/>
    <w:rsid w:val="00CE080D"/>
    <w:rsid w:val="00CE16DC"/>
    <w:rsid w:val="00CE185C"/>
    <w:rsid w:val="00CE20D4"/>
    <w:rsid w:val="00CE2B5B"/>
    <w:rsid w:val="00CE4189"/>
    <w:rsid w:val="00CE5B60"/>
    <w:rsid w:val="00CE5CB9"/>
    <w:rsid w:val="00CE642E"/>
    <w:rsid w:val="00CE7EDA"/>
    <w:rsid w:val="00CF02C8"/>
    <w:rsid w:val="00CF04FC"/>
    <w:rsid w:val="00CF15C5"/>
    <w:rsid w:val="00CF18F6"/>
    <w:rsid w:val="00CF306F"/>
    <w:rsid w:val="00CF35D1"/>
    <w:rsid w:val="00CF360E"/>
    <w:rsid w:val="00CF40B6"/>
    <w:rsid w:val="00CF4AD2"/>
    <w:rsid w:val="00CF50A8"/>
    <w:rsid w:val="00CF519C"/>
    <w:rsid w:val="00CF626D"/>
    <w:rsid w:val="00D02439"/>
    <w:rsid w:val="00D0729A"/>
    <w:rsid w:val="00D07AAA"/>
    <w:rsid w:val="00D07EBB"/>
    <w:rsid w:val="00D1104A"/>
    <w:rsid w:val="00D120F4"/>
    <w:rsid w:val="00D1262A"/>
    <w:rsid w:val="00D12C30"/>
    <w:rsid w:val="00D1337E"/>
    <w:rsid w:val="00D13C68"/>
    <w:rsid w:val="00D14756"/>
    <w:rsid w:val="00D14BB1"/>
    <w:rsid w:val="00D15419"/>
    <w:rsid w:val="00D15BC8"/>
    <w:rsid w:val="00D16CC6"/>
    <w:rsid w:val="00D174D5"/>
    <w:rsid w:val="00D1753B"/>
    <w:rsid w:val="00D22575"/>
    <w:rsid w:val="00D22E30"/>
    <w:rsid w:val="00D24255"/>
    <w:rsid w:val="00D24735"/>
    <w:rsid w:val="00D2517E"/>
    <w:rsid w:val="00D25387"/>
    <w:rsid w:val="00D257A6"/>
    <w:rsid w:val="00D265EC"/>
    <w:rsid w:val="00D26F03"/>
    <w:rsid w:val="00D30437"/>
    <w:rsid w:val="00D30885"/>
    <w:rsid w:val="00D32089"/>
    <w:rsid w:val="00D3295E"/>
    <w:rsid w:val="00D32A92"/>
    <w:rsid w:val="00D3750D"/>
    <w:rsid w:val="00D4025E"/>
    <w:rsid w:val="00D403F1"/>
    <w:rsid w:val="00D42780"/>
    <w:rsid w:val="00D42E9F"/>
    <w:rsid w:val="00D4309E"/>
    <w:rsid w:val="00D434DF"/>
    <w:rsid w:val="00D43FAE"/>
    <w:rsid w:val="00D443AD"/>
    <w:rsid w:val="00D44C98"/>
    <w:rsid w:val="00D46A66"/>
    <w:rsid w:val="00D46E9D"/>
    <w:rsid w:val="00D4731F"/>
    <w:rsid w:val="00D47598"/>
    <w:rsid w:val="00D47A24"/>
    <w:rsid w:val="00D5268B"/>
    <w:rsid w:val="00D52A63"/>
    <w:rsid w:val="00D531B4"/>
    <w:rsid w:val="00D53393"/>
    <w:rsid w:val="00D5373F"/>
    <w:rsid w:val="00D54195"/>
    <w:rsid w:val="00D54850"/>
    <w:rsid w:val="00D553BD"/>
    <w:rsid w:val="00D56FAB"/>
    <w:rsid w:val="00D630C5"/>
    <w:rsid w:val="00D6321C"/>
    <w:rsid w:val="00D6336C"/>
    <w:rsid w:val="00D63BB8"/>
    <w:rsid w:val="00D641F1"/>
    <w:rsid w:val="00D6443F"/>
    <w:rsid w:val="00D649BF"/>
    <w:rsid w:val="00D64A30"/>
    <w:rsid w:val="00D64B0E"/>
    <w:rsid w:val="00D65247"/>
    <w:rsid w:val="00D66971"/>
    <w:rsid w:val="00D66ABC"/>
    <w:rsid w:val="00D66B00"/>
    <w:rsid w:val="00D66D24"/>
    <w:rsid w:val="00D66E1E"/>
    <w:rsid w:val="00D66F48"/>
    <w:rsid w:val="00D67729"/>
    <w:rsid w:val="00D67917"/>
    <w:rsid w:val="00D67A4C"/>
    <w:rsid w:val="00D71A85"/>
    <w:rsid w:val="00D723B3"/>
    <w:rsid w:val="00D72471"/>
    <w:rsid w:val="00D740CC"/>
    <w:rsid w:val="00D7509F"/>
    <w:rsid w:val="00D75DE1"/>
    <w:rsid w:val="00D76DA9"/>
    <w:rsid w:val="00D801D5"/>
    <w:rsid w:val="00D80761"/>
    <w:rsid w:val="00D80FEC"/>
    <w:rsid w:val="00D81FA2"/>
    <w:rsid w:val="00D8329B"/>
    <w:rsid w:val="00D8367B"/>
    <w:rsid w:val="00D83736"/>
    <w:rsid w:val="00D838F2"/>
    <w:rsid w:val="00D83C32"/>
    <w:rsid w:val="00D83EC2"/>
    <w:rsid w:val="00D849AD"/>
    <w:rsid w:val="00D85694"/>
    <w:rsid w:val="00D856B8"/>
    <w:rsid w:val="00D85C89"/>
    <w:rsid w:val="00D86698"/>
    <w:rsid w:val="00D866E1"/>
    <w:rsid w:val="00D87464"/>
    <w:rsid w:val="00D87863"/>
    <w:rsid w:val="00D90B7C"/>
    <w:rsid w:val="00D91CD7"/>
    <w:rsid w:val="00D9270A"/>
    <w:rsid w:val="00D92956"/>
    <w:rsid w:val="00D9374C"/>
    <w:rsid w:val="00D938FA"/>
    <w:rsid w:val="00D93FDB"/>
    <w:rsid w:val="00D97F6D"/>
    <w:rsid w:val="00DA04E5"/>
    <w:rsid w:val="00DA0995"/>
    <w:rsid w:val="00DA0E6B"/>
    <w:rsid w:val="00DA13CC"/>
    <w:rsid w:val="00DA1C60"/>
    <w:rsid w:val="00DA23C6"/>
    <w:rsid w:val="00DA4816"/>
    <w:rsid w:val="00DA49FF"/>
    <w:rsid w:val="00DA50EA"/>
    <w:rsid w:val="00DA51E7"/>
    <w:rsid w:val="00DA5635"/>
    <w:rsid w:val="00DA685D"/>
    <w:rsid w:val="00DA7C9E"/>
    <w:rsid w:val="00DB070C"/>
    <w:rsid w:val="00DB3929"/>
    <w:rsid w:val="00DB397A"/>
    <w:rsid w:val="00DB5F33"/>
    <w:rsid w:val="00DB79E0"/>
    <w:rsid w:val="00DC0284"/>
    <w:rsid w:val="00DC02F4"/>
    <w:rsid w:val="00DC1014"/>
    <w:rsid w:val="00DC1223"/>
    <w:rsid w:val="00DC1530"/>
    <w:rsid w:val="00DC16C1"/>
    <w:rsid w:val="00DC1BC5"/>
    <w:rsid w:val="00DC20F6"/>
    <w:rsid w:val="00DC31BB"/>
    <w:rsid w:val="00DC3861"/>
    <w:rsid w:val="00DC40C0"/>
    <w:rsid w:val="00DC425E"/>
    <w:rsid w:val="00DC4CD7"/>
    <w:rsid w:val="00DC4ED8"/>
    <w:rsid w:val="00DC510D"/>
    <w:rsid w:val="00DC59CE"/>
    <w:rsid w:val="00DC67DA"/>
    <w:rsid w:val="00DC6F77"/>
    <w:rsid w:val="00DC7620"/>
    <w:rsid w:val="00DC7CDC"/>
    <w:rsid w:val="00DC7F4D"/>
    <w:rsid w:val="00DD1608"/>
    <w:rsid w:val="00DD1C02"/>
    <w:rsid w:val="00DD2188"/>
    <w:rsid w:val="00DD2A2A"/>
    <w:rsid w:val="00DD3EE7"/>
    <w:rsid w:val="00DD45CB"/>
    <w:rsid w:val="00DD46AF"/>
    <w:rsid w:val="00DD49E1"/>
    <w:rsid w:val="00DD5BB3"/>
    <w:rsid w:val="00DD6ACB"/>
    <w:rsid w:val="00DD740B"/>
    <w:rsid w:val="00DE0968"/>
    <w:rsid w:val="00DE0DDB"/>
    <w:rsid w:val="00DE157D"/>
    <w:rsid w:val="00DE194B"/>
    <w:rsid w:val="00DE2D4D"/>
    <w:rsid w:val="00DE2F0D"/>
    <w:rsid w:val="00DE340E"/>
    <w:rsid w:val="00DE4927"/>
    <w:rsid w:val="00DE4CDD"/>
    <w:rsid w:val="00DE5382"/>
    <w:rsid w:val="00DE5734"/>
    <w:rsid w:val="00DE5AEA"/>
    <w:rsid w:val="00DE714C"/>
    <w:rsid w:val="00DF033B"/>
    <w:rsid w:val="00DF1BCD"/>
    <w:rsid w:val="00DF217C"/>
    <w:rsid w:val="00DF3255"/>
    <w:rsid w:val="00DF334F"/>
    <w:rsid w:val="00DF3A50"/>
    <w:rsid w:val="00DF3B44"/>
    <w:rsid w:val="00DF3B54"/>
    <w:rsid w:val="00DF3BBF"/>
    <w:rsid w:val="00DF3D0A"/>
    <w:rsid w:val="00DF4CF0"/>
    <w:rsid w:val="00DF51D9"/>
    <w:rsid w:val="00DF5A54"/>
    <w:rsid w:val="00DF61CF"/>
    <w:rsid w:val="00DF6E27"/>
    <w:rsid w:val="00DF7C96"/>
    <w:rsid w:val="00E0038C"/>
    <w:rsid w:val="00E018F2"/>
    <w:rsid w:val="00E03640"/>
    <w:rsid w:val="00E07F9E"/>
    <w:rsid w:val="00E11786"/>
    <w:rsid w:val="00E11DCD"/>
    <w:rsid w:val="00E12B34"/>
    <w:rsid w:val="00E12E1E"/>
    <w:rsid w:val="00E13D83"/>
    <w:rsid w:val="00E142FA"/>
    <w:rsid w:val="00E148B3"/>
    <w:rsid w:val="00E154C9"/>
    <w:rsid w:val="00E159BF"/>
    <w:rsid w:val="00E164E8"/>
    <w:rsid w:val="00E17092"/>
    <w:rsid w:val="00E17132"/>
    <w:rsid w:val="00E17351"/>
    <w:rsid w:val="00E17885"/>
    <w:rsid w:val="00E17B96"/>
    <w:rsid w:val="00E17D3F"/>
    <w:rsid w:val="00E22A3E"/>
    <w:rsid w:val="00E22E09"/>
    <w:rsid w:val="00E2606E"/>
    <w:rsid w:val="00E26124"/>
    <w:rsid w:val="00E27768"/>
    <w:rsid w:val="00E27CAD"/>
    <w:rsid w:val="00E27CE5"/>
    <w:rsid w:val="00E32219"/>
    <w:rsid w:val="00E34B5D"/>
    <w:rsid w:val="00E350BC"/>
    <w:rsid w:val="00E35170"/>
    <w:rsid w:val="00E35809"/>
    <w:rsid w:val="00E36494"/>
    <w:rsid w:val="00E36A29"/>
    <w:rsid w:val="00E3795D"/>
    <w:rsid w:val="00E40CE4"/>
    <w:rsid w:val="00E4197A"/>
    <w:rsid w:val="00E41CEE"/>
    <w:rsid w:val="00E437F0"/>
    <w:rsid w:val="00E43F57"/>
    <w:rsid w:val="00E446F3"/>
    <w:rsid w:val="00E452D7"/>
    <w:rsid w:val="00E4680A"/>
    <w:rsid w:val="00E50FA0"/>
    <w:rsid w:val="00E519A9"/>
    <w:rsid w:val="00E51DBB"/>
    <w:rsid w:val="00E520F7"/>
    <w:rsid w:val="00E53093"/>
    <w:rsid w:val="00E542FB"/>
    <w:rsid w:val="00E55335"/>
    <w:rsid w:val="00E56392"/>
    <w:rsid w:val="00E564F3"/>
    <w:rsid w:val="00E5735F"/>
    <w:rsid w:val="00E57864"/>
    <w:rsid w:val="00E60693"/>
    <w:rsid w:val="00E62256"/>
    <w:rsid w:val="00E6259C"/>
    <w:rsid w:val="00E63EA3"/>
    <w:rsid w:val="00E64FA1"/>
    <w:rsid w:val="00E6547C"/>
    <w:rsid w:val="00E65A99"/>
    <w:rsid w:val="00E66C15"/>
    <w:rsid w:val="00E67082"/>
    <w:rsid w:val="00E670CE"/>
    <w:rsid w:val="00E6725E"/>
    <w:rsid w:val="00E70286"/>
    <w:rsid w:val="00E706D1"/>
    <w:rsid w:val="00E706E0"/>
    <w:rsid w:val="00E71756"/>
    <w:rsid w:val="00E7280A"/>
    <w:rsid w:val="00E75E47"/>
    <w:rsid w:val="00E76669"/>
    <w:rsid w:val="00E7688F"/>
    <w:rsid w:val="00E77B5E"/>
    <w:rsid w:val="00E8015D"/>
    <w:rsid w:val="00E80B1D"/>
    <w:rsid w:val="00E816EC"/>
    <w:rsid w:val="00E81E2B"/>
    <w:rsid w:val="00E82069"/>
    <w:rsid w:val="00E8583E"/>
    <w:rsid w:val="00E86FFB"/>
    <w:rsid w:val="00E8761F"/>
    <w:rsid w:val="00E92CBD"/>
    <w:rsid w:val="00E93C8E"/>
    <w:rsid w:val="00E94287"/>
    <w:rsid w:val="00E945D6"/>
    <w:rsid w:val="00E956AE"/>
    <w:rsid w:val="00E97809"/>
    <w:rsid w:val="00E97FE2"/>
    <w:rsid w:val="00EA1590"/>
    <w:rsid w:val="00EA16A4"/>
    <w:rsid w:val="00EA16FF"/>
    <w:rsid w:val="00EA3A5D"/>
    <w:rsid w:val="00EA40BC"/>
    <w:rsid w:val="00EA50B4"/>
    <w:rsid w:val="00EA67EA"/>
    <w:rsid w:val="00EA6AD1"/>
    <w:rsid w:val="00EA7252"/>
    <w:rsid w:val="00EA7A1F"/>
    <w:rsid w:val="00EA7E81"/>
    <w:rsid w:val="00EB00F4"/>
    <w:rsid w:val="00EB0AC1"/>
    <w:rsid w:val="00EB0BDC"/>
    <w:rsid w:val="00EB111D"/>
    <w:rsid w:val="00EB233C"/>
    <w:rsid w:val="00EB2478"/>
    <w:rsid w:val="00EB323D"/>
    <w:rsid w:val="00EB3CBE"/>
    <w:rsid w:val="00EB4A23"/>
    <w:rsid w:val="00EB56BB"/>
    <w:rsid w:val="00EB6A04"/>
    <w:rsid w:val="00EB6B67"/>
    <w:rsid w:val="00EB6EFB"/>
    <w:rsid w:val="00EC0564"/>
    <w:rsid w:val="00EC1745"/>
    <w:rsid w:val="00EC272E"/>
    <w:rsid w:val="00EC29B6"/>
    <w:rsid w:val="00EC5518"/>
    <w:rsid w:val="00EC5D64"/>
    <w:rsid w:val="00EC70D7"/>
    <w:rsid w:val="00EC732D"/>
    <w:rsid w:val="00EC7E8F"/>
    <w:rsid w:val="00ED02A5"/>
    <w:rsid w:val="00ED02B5"/>
    <w:rsid w:val="00ED0794"/>
    <w:rsid w:val="00ED1436"/>
    <w:rsid w:val="00ED1E41"/>
    <w:rsid w:val="00ED2C41"/>
    <w:rsid w:val="00ED4528"/>
    <w:rsid w:val="00ED732E"/>
    <w:rsid w:val="00ED73D9"/>
    <w:rsid w:val="00EE19E9"/>
    <w:rsid w:val="00EE1A49"/>
    <w:rsid w:val="00EE2B05"/>
    <w:rsid w:val="00EE2FA5"/>
    <w:rsid w:val="00EE3133"/>
    <w:rsid w:val="00EE32C8"/>
    <w:rsid w:val="00EE428B"/>
    <w:rsid w:val="00EE4375"/>
    <w:rsid w:val="00EE43D6"/>
    <w:rsid w:val="00EE6CCD"/>
    <w:rsid w:val="00EE717B"/>
    <w:rsid w:val="00EE7567"/>
    <w:rsid w:val="00EF0C62"/>
    <w:rsid w:val="00EF0E98"/>
    <w:rsid w:val="00EF10D9"/>
    <w:rsid w:val="00EF1879"/>
    <w:rsid w:val="00EF1EE6"/>
    <w:rsid w:val="00EF2454"/>
    <w:rsid w:val="00EF24CB"/>
    <w:rsid w:val="00EF2B4F"/>
    <w:rsid w:val="00EF3924"/>
    <w:rsid w:val="00EF43F2"/>
    <w:rsid w:val="00EF4FB2"/>
    <w:rsid w:val="00EF620C"/>
    <w:rsid w:val="00EF6430"/>
    <w:rsid w:val="00EF6E46"/>
    <w:rsid w:val="00EF7290"/>
    <w:rsid w:val="00EF7E9F"/>
    <w:rsid w:val="00F0034F"/>
    <w:rsid w:val="00F0094F"/>
    <w:rsid w:val="00F00D72"/>
    <w:rsid w:val="00F0284A"/>
    <w:rsid w:val="00F03321"/>
    <w:rsid w:val="00F0333E"/>
    <w:rsid w:val="00F0358C"/>
    <w:rsid w:val="00F06FF3"/>
    <w:rsid w:val="00F1063F"/>
    <w:rsid w:val="00F11315"/>
    <w:rsid w:val="00F119DD"/>
    <w:rsid w:val="00F1262B"/>
    <w:rsid w:val="00F12F20"/>
    <w:rsid w:val="00F1460A"/>
    <w:rsid w:val="00F147AF"/>
    <w:rsid w:val="00F14B6A"/>
    <w:rsid w:val="00F14F28"/>
    <w:rsid w:val="00F15B94"/>
    <w:rsid w:val="00F20445"/>
    <w:rsid w:val="00F20868"/>
    <w:rsid w:val="00F20CD4"/>
    <w:rsid w:val="00F2250E"/>
    <w:rsid w:val="00F23045"/>
    <w:rsid w:val="00F231B4"/>
    <w:rsid w:val="00F23FBF"/>
    <w:rsid w:val="00F240E6"/>
    <w:rsid w:val="00F242B9"/>
    <w:rsid w:val="00F246ED"/>
    <w:rsid w:val="00F24AC8"/>
    <w:rsid w:val="00F24F8F"/>
    <w:rsid w:val="00F272A3"/>
    <w:rsid w:val="00F2736D"/>
    <w:rsid w:val="00F308A4"/>
    <w:rsid w:val="00F31DB2"/>
    <w:rsid w:val="00F332D7"/>
    <w:rsid w:val="00F33598"/>
    <w:rsid w:val="00F33E47"/>
    <w:rsid w:val="00F344BD"/>
    <w:rsid w:val="00F3668F"/>
    <w:rsid w:val="00F3670F"/>
    <w:rsid w:val="00F37076"/>
    <w:rsid w:val="00F3749E"/>
    <w:rsid w:val="00F375C2"/>
    <w:rsid w:val="00F4120F"/>
    <w:rsid w:val="00F413F4"/>
    <w:rsid w:val="00F416DD"/>
    <w:rsid w:val="00F4308D"/>
    <w:rsid w:val="00F4392F"/>
    <w:rsid w:val="00F44194"/>
    <w:rsid w:val="00F44D76"/>
    <w:rsid w:val="00F46D54"/>
    <w:rsid w:val="00F5000C"/>
    <w:rsid w:val="00F50636"/>
    <w:rsid w:val="00F50CED"/>
    <w:rsid w:val="00F52224"/>
    <w:rsid w:val="00F528F8"/>
    <w:rsid w:val="00F536EB"/>
    <w:rsid w:val="00F56C15"/>
    <w:rsid w:val="00F57001"/>
    <w:rsid w:val="00F571F0"/>
    <w:rsid w:val="00F574FC"/>
    <w:rsid w:val="00F57DDE"/>
    <w:rsid w:val="00F57E8D"/>
    <w:rsid w:val="00F57EB2"/>
    <w:rsid w:val="00F603C3"/>
    <w:rsid w:val="00F626E4"/>
    <w:rsid w:val="00F628BE"/>
    <w:rsid w:val="00F628D4"/>
    <w:rsid w:val="00F62E2E"/>
    <w:rsid w:val="00F63978"/>
    <w:rsid w:val="00F63DF3"/>
    <w:rsid w:val="00F64491"/>
    <w:rsid w:val="00F644DF"/>
    <w:rsid w:val="00F6475A"/>
    <w:rsid w:val="00F655F8"/>
    <w:rsid w:val="00F65A5C"/>
    <w:rsid w:val="00F677BB"/>
    <w:rsid w:val="00F677DB"/>
    <w:rsid w:val="00F67838"/>
    <w:rsid w:val="00F67B6F"/>
    <w:rsid w:val="00F70601"/>
    <w:rsid w:val="00F706DB"/>
    <w:rsid w:val="00F70826"/>
    <w:rsid w:val="00F70848"/>
    <w:rsid w:val="00F73E26"/>
    <w:rsid w:val="00F75827"/>
    <w:rsid w:val="00F770C8"/>
    <w:rsid w:val="00F82481"/>
    <w:rsid w:val="00F8292D"/>
    <w:rsid w:val="00F82F0F"/>
    <w:rsid w:val="00F842F0"/>
    <w:rsid w:val="00F85EF9"/>
    <w:rsid w:val="00F86B4A"/>
    <w:rsid w:val="00F907B8"/>
    <w:rsid w:val="00F92353"/>
    <w:rsid w:val="00F96A04"/>
    <w:rsid w:val="00F97E98"/>
    <w:rsid w:val="00FA0364"/>
    <w:rsid w:val="00FA1113"/>
    <w:rsid w:val="00FA1290"/>
    <w:rsid w:val="00FA12F4"/>
    <w:rsid w:val="00FA13D3"/>
    <w:rsid w:val="00FA1A48"/>
    <w:rsid w:val="00FA20C6"/>
    <w:rsid w:val="00FA2C33"/>
    <w:rsid w:val="00FA2C4A"/>
    <w:rsid w:val="00FA633B"/>
    <w:rsid w:val="00FA73FC"/>
    <w:rsid w:val="00FA7764"/>
    <w:rsid w:val="00FA77DC"/>
    <w:rsid w:val="00FB0CB6"/>
    <w:rsid w:val="00FB209B"/>
    <w:rsid w:val="00FB20EC"/>
    <w:rsid w:val="00FB21D4"/>
    <w:rsid w:val="00FB30E0"/>
    <w:rsid w:val="00FB3148"/>
    <w:rsid w:val="00FB36FB"/>
    <w:rsid w:val="00FB3909"/>
    <w:rsid w:val="00FB391F"/>
    <w:rsid w:val="00FB4F46"/>
    <w:rsid w:val="00FB5C49"/>
    <w:rsid w:val="00FB76E9"/>
    <w:rsid w:val="00FC09E4"/>
    <w:rsid w:val="00FC3641"/>
    <w:rsid w:val="00FC3795"/>
    <w:rsid w:val="00FC3CCC"/>
    <w:rsid w:val="00FC3D48"/>
    <w:rsid w:val="00FC3D89"/>
    <w:rsid w:val="00FC412A"/>
    <w:rsid w:val="00FC42C6"/>
    <w:rsid w:val="00FC44B9"/>
    <w:rsid w:val="00FC5EE2"/>
    <w:rsid w:val="00FC61AE"/>
    <w:rsid w:val="00FC7F30"/>
    <w:rsid w:val="00FD03C1"/>
    <w:rsid w:val="00FD09AF"/>
    <w:rsid w:val="00FD0DA2"/>
    <w:rsid w:val="00FD126D"/>
    <w:rsid w:val="00FD1F2C"/>
    <w:rsid w:val="00FD286C"/>
    <w:rsid w:val="00FD293A"/>
    <w:rsid w:val="00FD4429"/>
    <w:rsid w:val="00FD44ED"/>
    <w:rsid w:val="00FD6431"/>
    <w:rsid w:val="00FD67C0"/>
    <w:rsid w:val="00FD73FD"/>
    <w:rsid w:val="00FD778E"/>
    <w:rsid w:val="00FE0795"/>
    <w:rsid w:val="00FE1A6D"/>
    <w:rsid w:val="00FE1BCD"/>
    <w:rsid w:val="00FE2D93"/>
    <w:rsid w:val="00FE46A9"/>
    <w:rsid w:val="00FE4F55"/>
    <w:rsid w:val="00FE5A67"/>
    <w:rsid w:val="00FE687B"/>
    <w:rsid w:val="00FE7856"/>
    <w:rsid w:val="00FE7D70"/>
    <w:rsid w:val="00FE7FE4"/>
    <w:rsid w:val="00FF133C"/>
    <w:rsid w:val="00FF2042"/>
    <w:rsid w:val="00FF2B23"/>
    <w:rsid w:val="00FF30B3"/>
    <w:rsid w:val="00FF35D6"/>
    <w:rsid w:val="00FF3E3C"/>
    <w:rsid w:val="00FF57A8"/>
    <w:rsid w:val="00FF59A3"/>
    <w:rsid w:val="00FF59CA"/>
    <w:rsid w:val="00FF5BCB"/>
    <w:rsid w:val="00FF7525"/>
    <w:rsid w:val="00FF7EB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C4A69"/>
  <w15:chartTrackingRefBased/>
  <w15:docId w15:val="{E96FB98E-24FC-4BBE-B9BE-8384ED7B3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54D"/>
    <w:pPr>
      <w:spacing w:after="200" w:line="276" w:lineRule="auto"/>
    </w:pPr>
    <w:rPr>
      <w:kern w:val="0"/>
      <w14:ligatures w14:val="none"/>
    </w:rPr>
  </w:style>
  <w:style w:type="paragraph" w:styleId="Heading1">
    <w:name w:val="heading 1"/>
    <w:aliases w:val="seção"/>
    <w:basedOn w:val="Normal"/>
    <w:next w:val="Normal"/>
    <w:link w:val="Heading1Char"/>
    <w:uiPriority w:val="9"/>
    <w:qFormat/>
    <w:rsid w:val="00352A16"/>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aliases w:val="subseção"/>
    <w:basedOn w:val="Normal"/>
    <w:next w:val="Normal"/>
    <w:link w:val="Heading2Char"/>
    <w:uiPriority w:val="9"/>
    <w:unhideWhenUsed/>
    <w:qFormat/>
    <w:rsid w:val="00352A16"/>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aliases w:val="subsubseção"/>
    <w:basedOn w:val="Normal"/>
    <w:next w:val="Normal"/>
    <w:link w:val="Heading3Char"/>
    <w:uiPriority w:val="9"/>
    <w:unhideWhenUsed/>
    <w:qFormat/>
    <w:rsid w:val="00352A16"/>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aliases w:val="subsubsubseção"/>
    <w:basedOn w:val="Normal"/>
    <w:next w:val="Normal"/>
    <w:link w:val="Heading4Char"/>
    <w:uiPriority w:val="9"/>
    <w:unhideWhenUsed/>
    <w:qFormat/>
    <w:rsid w:val="00352A16"/>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Heading5">
    <w:name w:val="heading 5"/>
    <w:aliases w:val="subsubsubsubseção"/>
    <w:basedOn w:val="Normal"/>
    <w:next w:val="Normal"/>
    <w:link w:val="Heading5Char"/>
    <w:uiPriority w:val="9"/>
    <w:unhideWhenUsed/>
    <w:qFormat/>
    <w:rsid w:val="00352A16"/>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52A16"/>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52A16"/>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52A16"/>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52A16"/>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ção Char"/>
    <w:basedOn w:val="DefaultParagraphFont"/>
    <w:link w:val="Heading1"/>
    <w:uiPriority w:val="9"/>
    <w:rsid w:val="00352A16"/>
    <w:rPr>
      <w:rFonts w:asciiTheme="majorHAnsi" w:eastAsiaTheme="majorEastAsia" w:hAnsiTheme="majorHAnsi" w:cstheme="majorBidi"/>
      <w:color w:val="2F5496" w:themeColor="accent1" w:themeShade="BF"/>
      <w:sz w:val="40"/>
      <w:szCs w:val="40"/>
    </w:rPr>
  </w:style>
  <w:style w:type="character" w:customStyle="1" w:styleId="Heading2Char">
    <w:name w:val="Heading 2 Char"/>
    <w:aliases w:val="subseção Char"/>
    <w:basedOn w:val="DefaultParagraphFont"/>
    <w:link w:val="Heading2"/>
    <w:uiPriority w:val="9"/>
    <w:rsid w:val="00352A16"/>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subsubseção Char"/>
    <w:basedOn w:val="DefaultParagraphFont"/>
    <w:link w:val="Heading3"/>
    <w:uiPriority w:val="9"/>
    <w:rsid w:val="00352A16"/>
    <w:rPr>
      <w:rFonts w:eastAsiaTheme="majorEastAsia" w:cstheme="majorBidi"/>
      <w:color w:val="2F5496" w:themeColor="accent1" w:themeShade="BF"/>
      <w:sz w:val="28"/>
      <w:szCs w:val="28"/>
    </w:rPr>
  </w:style>
  <w:style w:type="character" w:customStyle="1" w:styleId="Heading4Char">
    <w:name w:val="Heading 4 Char"/>
    <w:aliases w:val="subsubsubseção Char"/>
    <w:basedOn w:val="DefaultParagraphFont"/>
    <w:link w:val="Heading4"/>
    <w:uiPriority w:val="9"/>
    <w:rsid w:val="00352A16"/>
    <w:rPr>
      <w:rFonts w:eastAsiaTheme="majorEastAsia" w:cstheme="majorBidi"/>
      <w:i/>
      <w:iCs/>
      <w:color w:val="2F5496" w:themeColor="accent1" w:themeShade="BF"/>
    </w:rPr>
  </w:style>
  <w:style w:type="character" w:customStyle="1" w:styleId="Heading5Char">
    <w:name w:val="Heading 5 Char"/>
    <w:aliases w:val="subsubsubsubseção Char"/>
    <w:basedOn w:val="DefaultParagraphFont"/>
    <w:link w:val="Heading5"/>
    <w:uiPriority w:val="9"/>
    <w:rsid w:val="00352A1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52A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2A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2A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2A16"/>
    <w:rPr>
      <w:rFonts w:eastAsiaTheme="majorEastAsia" w:cstheme="majorBidi"/>
      <w:color w:val="272727" w:themeColor="text1" w:themeTint="D8"/>
    </w:rPr>
  </w:style>
  <w:style w:type="paragraph" w:styleId="Title">
    <w:name w:val="Title"/>
    <w:basedOn w:val="Normal"/>
    <w:next w:val="Normal"/>
    <w:link w:val="TitleChar"/>
    <w:uiPriority w:val="10"/>
    <w:qFormat/>
    <w:rsid w:val="00352A1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52A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2A16"/>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52A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2A16"/>
    <w:pPr>
      <w:spacing w:before="160" w:after="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352A16"/>
    <w:rPr>
      <w:i/>
      <w:iCs/>
      <w:color w:val="404040" w:themeColor="text1" w:themeTint="BF"/>
    </w:rPr>
  </w:style>
  <w:style w:type="paragraph" w:styleId="ListParagraph">
    <w:name w:val="List Paragraph"/>
    <w:basedOn w:val="Normal"/>
    <w:uiPriority w:val="34"/>
    <w:qFormat/>
    <w:rsid w:val="00352A16"/>
    <w:pPr>
      <w:spacing w:after="160" w:line="259" w:lineRule="auto"/>
      <w:ind w:left="720"/>
      <w:contextualSpacing/>
    </w:pPr>
    <w:rPr>
      <w:kern w:val="2"/>
      <w14:ligatures w14:val="standardContextual"/>
    </w:rPr>
  </w:style>
  <w:style w:type="character" w:styleId="IntenseEmphasis">
    <w:name w:val="Intense Emphasis"/>
    <w:basedOn w:val="DefaultParagraphFont"/>
    <w:uiPriority w:val="21"/>
    <w:qFormat/>
    <w:rsid w:val="00352A16"/>
    <w:rPr>
      <w:i/>
      <w:iCs/>
      <w:color w:val="2F5496" w:themeColor="accent1" w:themeShade="BF"/>
    </w:rPr>
  </w:style>
  <w:style w:type="paragraph" w:styleId="IntenseQuote">
    <w:name w:val="Intense Quote"/>
    <w:basedOn w:val="Normal"/>
    <w:next w:val="Normal"/>
    <w:link w:val="IntenseQuoteChar"/>
    <w:uiPriority w:val="30"/>
    <w:qFormat/>
    <w:rsid w:val="00352A16"/>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352A16"/>
    <w:rPr>
      <w:i/>
      <w:iCs/>
      <w:color w:val="2F5496" w:themeColor="accent1" w:themeShade="BF"/>
    </w:rPr>
  </w:style>
  <w:style w:type="character" w:styleId="IntenseReference">
    <w:name w:val="Intense Reference"/>
    <w:basedOn w:val="DefaultParagraphFont"/>
    <w:uiPriority w:val="32"/>
    <w:qFormat/>
    <w:rsid w:val="00352A16"/>
    <w:rPr>
      <w:b/>
      <w:bCs/>
      <w:smallCaps/>
      <w:color w:val="2F5496" w:themeColor="accent1" w:themeShade="BF"/>
      <w:spacing w:val="5"/>
    </w:rPr>
  </w:style>
  <w:style w:type="character" w:styleId="Hyperlink">
    <w:name w:val="Hyperlink"/>
    <w:basedOn w:val="DefaultParagraphFont"/>
    <w:uiPriority w:val="99"/>
    <w:unhideWhenUsed/>
    <w:rsid w:val="00914E18"/>
    <w:rPr>
      <w:color w:val="0563C1" w:themeColor="hyperlink"/>
      <w:u w:val="single"/>
    </w:rPr>
  </w:style>
  <w:style w:type="character" w:customStyle="1" w:styleId="UnresolvedMention1">
    <w:name w:val="Unresolved Mention1"/>
    <w:basedOn w:val="DefaultParagraphFont"/>
    <w:uiPriority w:val="99"/>
    <w:semiHidden/>
    <w:unhideWhenUsed/>
    <w:rsid w:val="00914E18"/>
    <w:rPr>
      <w:color w:val="605E5C"/>
      <w:shd w:val="clear" w:color="auto" w:fill="E1DFDD"/>
    </w:rPr>
  </w:style>
  <w:style w:type="paragraph" w:styleId="NormalWeb">
    <w:name w:val="Normal (Web)"/>
    <w:basedOn w:val="Normal"/>
    <w:uiPriority w:val="99"/>
    <w:unhideWhenUsed/>
    <w:rsid w:val="001E7BA2"/>
    <w:rPr>
      <w:rFonts w:ascii="Times New Roman" w:hAnsi="Times New Roman" w:cs="Times New Roman"/>
      <w:sz w:val="24"/>
      <w:szCs w:val="24"/>
    </w:rPr>
  </w:style>
  <w:style w:type="table" w:styleId="TableGrid">
    <w:name w:val="Table Grid"/>
    <w:basedOn w:val="TableNormal"/>
    <w:uiPriority w:val="59"/>
    <w:rsid w:val="00DB5F33"/>
    <w:pPr>
      <w:spacing w:after="0" w:line="240" w:lineRule="auto"/>
    </w:pPr>
    <w:rPr>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E03D4"/>
    <w:rPr>
      <w:sz w:val="16"/>
      <w:szCs w:val="16"/>
    </w:rPr>
  </w:style>
  <w:style w:type="paragraph" w:styleId="CommentText">
    <w:name w:val="annotation text"/>
    <w:basedOn w:val="Normal"/>
    <w:link w:val="CommentTextChar"/>
    <w:uiPriority w:val="99"/>
    <w:unhideWhenUsed/>
    <w:rsid w:val="00CE03D4"/>
    <w:pPr>
      <w:spacing w:line="240" w:lineRule="auto"/>
    </w:pPr>
    <w:rPr>
      <w:sz w:val="20"/>
      <w:szCs w:val="20"/>
    </w:rPr>
  </w:style>
  <w:style w:type="character" w:customStyle="1" w:styleId="CommentTextChar">
    <w:name w:val="Comment Text Char"/>
    <w:basedOn w:val="DefaultParagraphFont"/>
    <w:link w:val="CommentText"/>
    <w:uiPriority w:val="99"/>
    <w:rsid w:val="00CE03D4"/>
    <w:rPr>
      <w:kern w:val="0"/>
      <w:sz w:val="20"/>
      <w:szCs w:val="20"/>
      <w14:ligatures w14:val="none"/>
    </w:rPr>
  </w:style>
  <w:style w:type="paragraph" w:customStyle="1" w:styleId="Acknowledgements">
    <w:name w:val="Acknowledgements"/>
    <w:basedOn w:val="Normal"/>
    <w:next w:val="Normal"/>
    <w:qFormat/>
    <w:rsid w:val="00331F7F"/>
    <w:pPr>
      <w:spacing w:before="120" w:after="0" w:line="360" w:lineRule="auto"/>
    </w:pPr>
    <w:rPr>
      <w:rFonts w:ascii="Times New Roman" w:eastAsia="Times New Roman" w:hAnsi="Times New Roman" w:cs="Times New Roman"/>
      <w:szCs w:val="24"/>
      <w:lang w:val="en-GB" w:eastAsia="en-GB"/>
    </w:rPr>
  </w:style>
  <w:style w:type="paragraph" w:styleId="CommentSubject">
    <w:name w:val="annotation subject"/>
    <w:basedOn w:val="CommentText"/>
    <w:next w:val="CommentText"/>
    <w:link w:val="CommentSubjectChar"/>
    <w:uiPriority w:val="99"/>
    <w:semiHidden/>
    <w:unhideWhenUsed/>
    <w:rsid w:val="003864D8"/>
    <w:rPr>
      <w:b/>
      <w:bCs/>
    </w:rPr>
  </w:style>
  <w:style w:type="character" w:customStyle="1" w:styleId="CommentSubjectChar">
    <w:name w:val="Comment Subject Char"/>
    <w:basedOn w:val="CommentTextChar"/>
    <w:link w:val="CommentSubject"/>
    <w:uiPriority w:val="99"/>
    <w:semiHidden/>
    <w:rsid w:val="003864D8"/>
    <w:rPr>
      <w:b/>
      <w:bCs/>
      <w:kern w:val="0"/>
      <w:sz w:val="20"/>
      <w:szCs w:val="20"/>
      <w14:ligatures w14:val="none"/>
    </w:rPr>
  </w:style>
  <w:style w:type="paragraph" w:styleId="BalloonText">
    <w:name w:val="Balloon Text"/>
    <w:basedOn w:val="Normal"/>
    <w:link w:val="BalloonTextChar"/>
    <w:uiPriority w:val="99"/>
    <w:semiHidden/>
    <w:unhideWhenUsed/>
    <w:rsid w:val="003864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4D8"/>
    <w:rPr>
      <w:rFonts w:ascii="Segoe UI" w:hAnsi="Segoe UI" w:cs="Segoe UI"/>
      <w:kern w:val="0"/>
      <w:sz w:val="18"/>
      <w:szCs w:val="18"/>
      <w14:ligatures w14:val="none"/>
    </w:rPr>
  </w:style>
  <w:style w:type="character" w:styleId="LineNumber">
    <w:name w:val="line number"/>
    <w:basedOn w:val="DefaultParagraphFont"/>
    <w:uiPriority w:val="99"/>
    <w:semiHidden/>
    <w:unhideWhenUsed/>
    <w:rsid w:val="00BC0BA3"/>
  </w:style>
  <w:style w:type="paragraph" w:styleId="Header">
    <w:name w:val="header"/>
    <w:basedOn w:val="Normal"/>
    <w:link w:val="HeaderChar"/>
    <w:uiPriority w:val="99"/>
    <w:unhideWhenUsed/>
    <w:rsid w:val="00C57DDB"/>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C57DDB"/>
    <w:rPr>
      <w:kern w:val="0"/>
      <w14:ligatures w14:val="none"/>
    </w:rPr>
  </w:style>
  <w:style w:type="paragraph" w:styleId="Footer">
    <w:name w:val="footer"/>
    <w:basedOn w:val="Normal"/>
    <w:link w:val="FooterChar"/>
    <w:uiPriority w:val="99"/>
    <w:unhideWhenUsed/>
    <w:rsid w:val="00C57D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7DDB"/>
    <w:rPr>
      <w:kern w:val="0"/>
      <w14:ligatures w14:val="none"/>
    </w:rPr>
  </w:style>
  <w:style w:type="paragraph" w:customStyle="1" w:styleId="Normal1">
    <w:name w:val="Normal1"/>
    <w:rsid w:val="003A10A7"/>
    <w:pPr>
      <w:spacing w:after="0" w:line="240" w:lineRule="auto"/>
    </w:pPr>
    <w:rPr>
      <w:rFonts w:ascii="Times New Roman" w:eastAsia="Times New Roman" w:hAnsi="Times New Roman" w:cs="Times New Roman"/>
      <w:kern w:val="0"/>
      <w:lang w:eastAsia="pt-BR"/>
      <w14:ligatures w14:val="none"/>
    </w:rPr>
  </w:style>
  <w:style w:type="table" w:customStyle="1" w:styleId="TableNormal1">
    <w:name w:val="Table Normal1"/>
    <w:rsid w:val="003A10A7"/>
    <w:pPr>
      <w:spacing w:after="0" w:line="240" w:lineRule="auto"/>
    </w:pPr>
    <w:rPr>
      <w:rFonts w:ascii="Times New Roman" w:eastAsia="Times New Roman" w:hAnsi="Times New Roman" w:cs="Times New Roman"/>
      <w:kern w:val="0"/>
      <w:lang w:eastAsia="pt-BR"/>
      <w14:ligatures w14:val="none"/>
    </w:rPr>
    <w:tblPr>
      <w:tblCellMar>
        <w:top w:w="0" w:type="dxa"/>
        <w:left w:w="0" w:type="dxa"/>
        <w:bottom w:w="0" w:type="dxa"/>
        <w:right w:w="0" w:type="dxa"/>
      </w:tblCellMar>
    </w:tblPr>
  </w:style>
  <w:style w:type="paragraph" w:customStyle="1" w:styleId="CorpodoTexto">
    <w:name w:val="Corpo do Texto"/>
    <w:basedOn w:val="Normal"/>
    <w:qFormat/>
    <w:rsid w:val="003A10A7"/>
    <w:pPr>
      <w:spacing w:after="0" w:line="360" w:lineRule="auto"/>
      <w:ind w:firstLine="709"/>
      <w:jc w:val="both"/>
    </w:pPr>
    <w:rPr>
      <w:rFonts w:ascii="Times New Roman" w:eastAsia="Times New Roman" w:hAnsi="Times New Roman" w:cs="Times New Roman"/>
      <w:lang w:eastAsia="pt-BR"/>
    </w:rPr>
  </w:style>
  <w:style w:type="paragraph" w:styleId="FootnoteText">
    <w:name w:val="footnote text"/>
    <w:basedOn w:val="Normal"/>
    <w:link w:val="FootnoteTextChar"/>
    <w:uiPriority w:val="99"/>
    <w:semiHidden/>
    <w:unhideWhenUsed/>
    <w:rsid w:val="003A10A7"/>
    <w:pPr>
      <w:spacing w:after="0" w:line="240" w:lineRule="auto"/>
    </w:pPr>
    <w:rPr>
      <w:rFonts w:ascii="Times New Roman" w:eastAsia="Times New Roman" w:hAnsi="Times New Roman" w:cs="Times New Roman"/>
      <w:sz w:val="20"/>
      <w:szCs w:val="20"/>
      <w:lang w:eastAsia="pt-BR"/>
    </w:rPr>
  </w:style>
  <w:style w:type="character" w:customStyle="1" w:styleId="FootnoteTextChar">
    <w:name w:val="Footnote Text Char"/>
    <w:basedOn w:val="DefaultParagraphFont"/>
    <w:link w:val="FootnoteText"/>
    <w:uiPriority w:val="99"/>
    <w:semiHidden/>
    <w:rsid w:val="003A10A7"/>
    <w:rPr>
      <w:rFonts w:ascii="Times New Roman" w:eastAsia="Times New Roman" w:hAnsi="Times New Roman" w:cs="Times New Roman"/>
      <w:kern w:val="0"/>
      <w:sz w:val="20"/>
      <w:szCs w:val="20"/>
      <w:lang w:eastAsia="pt-BR"/>
      <w14:ligatures w14:val="none"/>
    </w:rPr>
  </w:style>
  <w:style w:type="character" w:styleId="FootnoteReference">
    <w:name w:val="footnote reference"/>
    <w:basedOn w:val="DefaultParagraphFont"/>
    <w:uiPriority w:val="99"/>
    <w:semiHidden/>
    <w:unhideWhenUsed/>
    <w:rsid w:val="003A10A7"/>
    <w:rPr>
      <w:vertAlign w:val="superscript"/>
    </w:rPr>
  </w:style>
  <w:style w:type="paragraph" w:customStyle="1" w:styleId="NotadeRodap">
    <w:name w:val="Nota de Rodapé"/>
    <w:basedOn w:val="FootnoteText"/>
    <w:qFormat/>
    <w:rsid w:val="003A10A7"/>
    <w:pPr>
      <w:jc w:val="both"/>
    </w:pPr>
  </w:style>
  <w:style w:type="paragraph" w:styleId="TOC2">
    <w:name w:val="toc 2"/>
    <w:basedOn w:val="Normal"/>
    <w:next w:val="Normal"/>
    <w:autoRedefine/>
    <w:uiPriority w:val="39"/>
    <w:unhideWhenUsed/>
    <w:qFormat/>
    <w:rsid w:val="003A10A7"/>
    <w:pPr>
      <w:spacing w:before="120" w:after="0" w:line="240" w:lineRule="auto"/>
      <w:ind w:left="220"/>
    </w:pPr>
    <w:rPr>
      <w:rFonts w:ascii="Times New Roman" w:eastAsia="Times New Roman" w:hAnsi="Times New Roman" w:cstheme="minorHAnsi"/>
      <w:b/>
      <w:iCs/>
      <w:sz w:val="24"/>
      <w:szCs w:val="20"/>
      <w:lang w:eastAsia="pt-BR"/>
    </w:rPr>
  </w:style>
  <w:style w:type="paragraph" w:styleId="TOC1">
    <w:name w:val="toc 1"/>
    <w:basedOn w:val="Normal"/>
    <w:next w:val="Normal"/>
    <w:autoRedefine/>
    <w:uiPriority w:val="39"/>
    <w:unhideWhenUsed/>
    <w:qFormat/>
    <w:rsid w:val="003A10A7"/>
    <w:pPr>
      <w:spacing w:before="240" w:after="120" w:line="240" w:lineRule="auto"/>
    </w:pPr>
    <w:rPr>
      <w:rFonts w:ascii="Times New Roman" w:eastAsia="Times New Roman" w:hAnsi="Times New Roman" w:cstheme="minorHAnsi"/>
      <w:b/>
      <w:bCs/>
      <w:sz w:val="24"/>
      <w:szCs w:val="20"/>
      <w:lang w:eastAsia="pt-BR"/>
    </w:rPr>
  </w:style>
  <w:style w:type="paragraph" w:styleId="TOC3">
    <w:name w:val="toc 3"/>
    <w:basedOn w:val="Normal"/>
    <w:next w:val="Normal"/>
    <w:autoRedefine/>
    <w:uiPriority w:val="39"/>
    <w:unhideWhenUsed/>
    <w:qFormat/>
    <w:rsid w:val="003A10A7"/>
    <w:pPr>
      <w:spacing w:after="0" w:line="240" w:lineRule="auto"/>
      <w:ind w:left="440"/>
    </w:pPr>
    <w:rPr>
      <w:rFonts w:eastAsia="Times New Roman" w:cstheme="minorHAnsi"/>
      <w:sz w:val="20"/>
      <w:szCs w:val="20"/>
      <w:lang w:eastAsia="pt-BR"/>
    </w:rPr>
  </w:style>
  <w:style w:type="paragraph" w:styleId="TOCHeading">
    <w:name w:val="TOC Heading"/>
    <w:basedOn w:val="Heading1"/>
    <w:next w:val="Normal"/>
    <w:uiPriority w:val="39"/>
    <w:unhideWhenUsed/>
    <w:qFormat/>
    <w:rsid w:val="003A10A7"/>
    <w:pPr>
      <w:tabs>
        <w:tab w:val="left" w:pos="284"/>
      </w:tabs>
      <w:spacing w:before="0" w:after="480" w:line="276" w:lineRule="auto"/>
      <w:jc w:val="center"/>
      <w:outlineLvl w:val="9"/>
    </w:pPr>
    <w:rPr>
      <w:rFonts w:ascii="Times New Roman" w:hAnsi="Times New Roman"/>
      <w:b/>
      <w:bCs/>
      <w:caps/>
      <w:color w:val="auto"/>
      <w:kern w:val="0"/>
      <w:sz w:val="22"/>
      <w:szCs w:val="28"/>
      <w:lang w:eastAsia="pt-BR"/>
      <w14:ligatures w14:val="none"/>
    </w:rPr>
  </w:style>
  <w:style w:type="paragraph" w:styleId="TOC4">
    <w:name w:val="toc 4"/>
    <w:basedOn w:val="Normal"/>
    <w:next w:val="Normal"/>
    <w:autoRedefine/>
    <w:uiPriority w:val="39"/>
    <w:unhideWhenUsed/>
    <w:qFormat/>
    <w:rsid w:val="003A10A7"/>
    <w:pPr>
      <w:spacing w:after="0" w:line="240" w:lineRule="auto"/>
      <w:ind w:left="660"/>
    </w:pPr>
    <w:rPr>
      <w:rFonts w:eastAsia="Times New Roman" w:cstheme="minorHAnsi"/>
      <w:sz w:val="20"/>
      <w:szCs w:val="20"/>
      <w:lang w:eastAsia="pt-BR"/>
    </w:rPr>
  </w:style>
  <w:style w:type="paragraph" w:styleId="TOC5">
    <w:name w:val="toc 5"/>
    <w:basedOn w:val="Normal"/>
    <w:next w:val="Normal"/>
    <w:autoRedefine/>
    <w:uiPriority w:val="39"/>
    <w:unhideWhenUsed/>
    <w:qFormat/>
    <w:rsid w:val="003A10A7"/>
    <w:pPr>
      <w:spacing w:after="0" w:line="240" w:lineRule="auto"/>
      <w:ind w:left="880"/>
    </w:pPr>
    <w:rPr>
      <w:rFonts w:eastAsia="Times New Roman" w:cstheme="minorHAnsi"/>
      <w:sz w:val="20"/>
      <w:szCs w:val="20"/>
      <w:lang w:eastAsia="pt-BR"/>
    </w:rPr>
  </w:style>
  <w:style w:type="paragraph" w:customStyle="1" w:styleId="Contedodetabela">
    <w:name w:val="Conteúdo de tabela"/>
    <w:basedOn w:val="Normal"/>
    <w:uiPriority w:val="99"/>
    <w:rsid w:val="003A10A7"/>
    <w:pPr>
      <w:widowControl w:val="0"/>
      <w:suppressLineNumbers/>
      <w:spacing w:after="0" w:line="240" w:lineRule="auto"/>
    </w:pPr>
    <w:rPr>
      <w:rFonts w:ascii="Times New Roman" w:eastAsia="Times New Roman" w:hAnsi="Times New Roman" w:cs="Times New Roman"/>
      <w:kern w:val="1"/>
      <w:sz w:val="24"/>
      <w:szCs w:val="24"/>
      <w:lang w:eastAsia="pt-BR"/>
    </w:rPr>
  </w:style>
  <w:style w:type="paragraph" w:styleId="Caption">
    <w:name w:val="caption"/>
    <w:basedOn w:val="Normal"/>
    <w:next w:val="Normal"/>
    <w:uiPriority w:val="35"/>
    <w:unhideWhenUsed/>
    <w:qFormat/>
    <w:rsid w:val="003A10A7"/>
    <w:pPr>
      <w:spacing w:line="240" w:lineRule="auto"/>
    </w:pPr>
    <w:rPr>
      <w:rFonts w:ascii="Times New Roman" w:eastAsia="Times New Roman" w:hAnsi="Times New Roman" w:cs="Times New Roman"/>
      <w:b/>
      <w:bCs/>
      <w:color w:val="4472C4" w:themeColor="accent1"/>
      <w:sz w:val="18"/>
      <w:szCs w:val="18"/>
      <w:lang w:eastAsia="pt-BR"/>
    </w:rPr>
  </w:style>
  <w:style w:type="paragraph" w:customStyle="1" w:styleId="FormatoLegenda">
    <w:name w:val="Formato Legenda"/>
    <w:basedOn w:val="Caption"/>
    <w:qFormat/>
    <w:rsid w:val="003A10A7"/>
    <w:pPr>
      <w:keepNext/>
      <w:spacing w:before="60" w:after="120"/>
      <w:jc w:val="center"/>
    </w:pPr>
    <w:rPr>
      <w:b w:val="0"/>
      <w:color w:val="auto"/>
      <w:sz w:val="20"/>
    </w:rPr>
  </w:style>
  <w:style w:type="paragraph" w:customStyle="1" w:styleId="FontedaLegenda">
    <w:name w:val="Fonte da Legenda"/>
    <w:basedOn w:val="FormatoLegenda"/>
    <w:qFormat/>
    <w:rsid w:val="003A10A7"/>
    <w:pPr>
      <w:spacing w:after="240"/>
    </w:pPr>
  </w:style>
  <w:style w:type="paragraph" w:customStyle="1" w:styleId="FormatoFigura">
    <w:name w:val="Formato Figura"/>
    <w:basedOn w:val="CorpodoTexto"/>
    <w:qFormat/>
    <w:rsid w:val="003A10A7"/>
    <w:pPr>
      <w:ind w:firstLine="0"/>
      <w:jc w:val="center"/>
    </w:pPr>
  </w:style>
  <w:style w:type="paragraph" w:styleId="TableofFigures">
    <w:name w:val="table of figures"/>
    <w:basedOn w:val="Normal"/>
    <w:next w:val="Normal"/>
    <w:uiPriority w:val="99"/>
    <w:unhideWhenUsed/>
    <w:rsid w:val="003A10A7"/>
    <w:pPr>
      <w:spacing w:after="0" w:line="240" w:lineRule="auto"/>
    </w:pPr>
    <w:rPr>
      <w:rFonts w:ascii="Times New Roman" w:eastAsia="Times New Roman" w:hAnsi="Times New Roman" w:cs="Times New Roman"/>
      <w:lang w:eastAsia="pt-BR"/>
    </w:rPr>
  </w:style>
  <w:style w:type="paragraph" w:customStyle="1" w:styleId="ListaEstilo">
    <w:name w:val="Lista Estilo"/>
    <w:basedOn w:val="TableofFigures"/>
    <w:rsid w:val="003A10A7"/>
    <w:pPr>
      <w:tabs>
        <w:tab w:val="right" w:leader="dot" w:pos="7128"/>
      </w:tabs>
    </w:pPr>
  </w:style>
  <w:style w:type="paragraph" w:customStyle="1" w:styleId="Tabelas">
    <w:name w:val="Tabelas"/>
    <w:aliases w:val="Quadros"/>
    <w:basedOn w:val="Normal"/>
    <w:qFormat/>
    <w:rsid w:val="003A10A7"/>
    <w:pPr>
      <w:spacing w:after="0" w:line="240" w:lineRule="auto"/>
      <w:jc w:val="both"/>
    </w:pPr>
    <w:rPr>
      <w:rFonts w:ascii="Times New Roman" w:eastAsia="Times New Roman" w:hAnsi="Times New Roman" w:cs="Times New Roman"/>
      <w:sz w:val="20"/>
      <w:szCs w:val="20"/>
      <w:lang w:eastAsia="pt-BR"/>
    </w:rPr>
  </w:style>
  <w:style w:type="paragraph" w:customStyle="1" w:styleId="Alneas">
    <w:name w:val="Alíneas"/>
    <w:basedOn w:val="CorpodoTexto"/>
    <w:qFormat/>
    <w:rsid w:val="003A10A7"/>
    <w:pPr>
      <w:tabs>
        <w:tab w:val="num" w:pos="720"/>
      </w:tabs>
      <w:ind w:left="357" w:hanging="357"/>
    </w:pPr>
  </w:style>
  <w:style w:type="paragraph" w:customStyle="1" w:styleId="Subalneas">
    <w:name w:val="Subalíneas"/>
    <w:basedOn w:val="Alneas"/>
    <w:qFormat/>
    <w:rsid w:val="003A10A7"/>
    <w:pPr>
      <w:ind w:left="584" w:hanging="227"/>
    </w:pPr>
  </w:style>
  <w:style w:type="character" w:styleId="PlaceholderText">
    <w:name w:val="Placeholder Text"/>
    <w:basedOn w:val="DefaultParagraphFont"/>
    <w:uiPriority w:val="99"/>
    <w:semiHidden/>
    <w:rsid w:val="003A10A7"/>
    <w:rPr>
      <w:color w:val="808080"/>
    </w:rPr>
  </w:style>
  <w:style w:type="paragraph" w:customStyle="1" w:styleId="CM47">
    <w:name w:val="CM47"/>
    <w:basedOn w:val="Normal"/>
    <w:next w:val="Normal"/>
    <w:uiPriority w:val="99"/>
    <w:rsid w:val="003A10A7"/>
    <w:pPr>
      <w:widowControl w:val="0"/>
      <w:spacing w:after="263" w:line="240" w:lineRule="auto"/>
    </w:pPr>
    <w:rPr>
      <w:rFonts w:ascii="Nimbus Roman No9 L" w:eastAsia="Times New Roman" w:hAnsi="Nimbus Roman No9 L" w:cs="Nimbus Roman No9 L"/>
      <w:sz w:val="24"/>
      <w:szCs w:val="24"/>
      <w:lang w:eastAsia="pt-BR"/>
    </w:rPr>
  </w:style>
  <w:style w:type="paragraph" w:customStyle="1" w:styleId="RefernciasCorpo">
    <w:name w:val="Referências Corpo"/>
    <w:basedOn w:val="Normal"/>
    <w:qFormat/>
    <w:rsid w:val="003A10A7"/>
    <w:pPr>
      <w:spacing w:after="240" w:line="240" w:lineRule="auto"/>
    </w:pPr>
    <w:rPr>
      <w:rFonts w:ascii="Times New Roman" w:eastAsia="Times New Roman" w:hAnsi="Times New Roman" w:cs="Times New Roman"/>
      <w:lang w:eastAsia="pt-BR"/>
    </w:rPr>
  </w:style>
  <w:style w:type="paragraph" w:customStyle="1" w:styleId="TtuloReferencias">
    <w:name w:val="Título Referencias"/>
    <w:basedOn w:val="Heading1"/>
    <w:qFormat/>
    <w:rsid w:val="003A10A7"/>
    <w:pPr>
      <w:tabs>
        <w:tab w:val="left" w:pos="284"/>
      </w:tabs>
      <w:spacing w:before="0" w:after="360" w:line="360" w:lineRule="auto"/>
      <w:jc w:val="center"/>
    </w:pPr>
    <w:rPr>
      <w:rFonts w:ascii="Times New Roman" w:hAnsi="Times New Roman"/>
      <w:b/>
      <w:bCs/>
      <w:caps/>
      <w:color w:val="auto"/>
      <w:kern w:val="0"/>
      <w:sz w:val="22"/>
      <w:szCs w:val="28"/>
      <w:lang w:eastAsia="pt-BR"/>
      <w14:ligatures w14:val="none"/>
    </w:rPr>
  </w:style>
  <w:style w:type="paragraph" w:customStyle="1" w:styleId="Default">
    <w:name w:val="Default"/>
    <w:uiPriority w:val="99"/>
    <w:rsid w:val="003A10A7"/>
    <w:pPr>
      <w:widowControl w:val="0"/>
      <w:spacing w:after="0" w:line="240" w:lineRule="auto"/>
    </w:pPr>
    <w:rPr>
      <w:rFonts w:ascii="Nimbus Roman No9 L" w:eastAsia="Times New Roman" w:hAnsi="Nimbus Roman No9 L" w:cs="Nimbus Roman No9 L"/>
      <w:color w:val="000000"/>
      <w:kern w:val="0"/>
      <w:sz w:val="24"/>
      <w:szCs w:val="24"/>
      <w:lang w:eastAsia="pt-BR"/>
      <w14:ligatures w14:val="none"/>
    </w:rPr>
  </w:style>
  <w:style w:type="table" w:customStyle="1" w:styleId="StGen0">
    <w:name w:val="StGen0"/>
    <w:basedOn w:val="TableNormal1"/>
    <w:rsid w:val="003A10A7"/>
    <w:tblPr>
      <w:tblStyleRowBandSize w:val="1"/>
      <w:tblStyleColBandSize w:val="1"/>
      <w:tblCellMar>
        <w:left w:w="108" w:type="dxa"/>
        <w:right w:w="108" w:type="dxa"/>
      </w:tblCellMar>
    </w:tblPr>
  </w:style>
  <w:style w:type="table" w:customStyle="1" w:styleId="StGen1">
    <w:name w:val="StGen1"/>
    <w:basedOn w:val="TableNormal1"/>
    <w:rsid w:val="003A10A7"/>
    <w:tblPr>
      <w:tblStyleRowBandSize w:val="1"/>
      <w:tblStyleColBandSize w:val="1"/>
      <w:tblCellMar>
        <w:left w:w="108" w:type="dxa"/>
        <w:right w:w="108" w:type="dxa"/>
      </w:tblCellMar>
    </w:tblPr>
  </w:style>
  <w:style w:type="paragraph" w:styleId="HTMLPreformatted">
    <w:name w:val="HTML Preformatted"/>
    <w:basedOn w:val="Normal"/>
    <w:link w:val="HTMLPreformattedChar"/>
    <w:uiPriority w:val="99"/>
    <w:unhideWhenUsed/>
    <w:rsid w:val="003A10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HTMLPreformattedChar">
    <w:name w:val="HTML Preformatted Char"/>
    <w:basedOn w:val="DefaultParagraphFont"/>
    <w:link w:val="HTMLPreformatted"/>
    <w:uiPriority w:val="99"/>
    <w:rsid w:val="003A10A7"/>
    <w:rPr>
      <w:rFonts w:ascii="Courier New" w:eastAsia="Times New Roman" w:hAnsi="Courier New" w:cs="Courier New"/>
      <w:kern w:val="0"/>
      <w:sz w:val="20"/>
      <w:szCs w:val="20"/>
      <w:lang w:eastAsia="fr-FR"/>
      <w14:ligatures w14:val="none"/>
    </w:rPr>
  </w:style>
  <w:style w:type="character" w:styleId="Emphasis">
    <w:name w:val="Emphasis"/>
    <w:basedOn w:val="DefaultParagraphFont"/>
    <w:uiPriority w:val="20"/>
    <w:qFormat/>
    <w:rsid w:val="003A10A7"/>
    <w:rPr>
      <w:i/>
      <w:iCs/>
    </w:rPr>
  </w:style>
  <w:style w:type="character" w:customStyle="1" w:styleId="anchor-text">
    <w:name w:val="anchor-text"/>
    <w:basedOn w:val="DefaultParagraphFont"/>
    <w:rsid w:val="003A10A7"/>
  </w:style>
  <w:style w:type="character" w:styleId="Strong">
    <w:name w:val="Strong"/>
    <w:basedOn w:val="DefaultParagraphFont"/>
    <w:uiPriority w:val="22"/>
    <w:qFormat/>
    <w:rsid w:val="003A10A7"/>
    <w:rPr>
      <w:b/>
      <w:bCs/>
    </w:rPr>
  </w:style>
  <w:style w:type="paragraph" w:styleId="BodyText">
    <w:name w:val="Body Text"/>
    <w:basedOn w:val="Normal"/>
    <w:link w:val="BodyTextChar"/>
    <w:uiPriority w:val="1"/>
    <w:qFormat/>
    <w:rsid w:val="003A10A7"/>
    <w:pPr>
      <w:widowControl w:val="0"/>
      <w:autoSpaceDE w:val="0"/>
      <w:autoSpaceDN w:val="0"/>
      <w:spacing w:after="0" w:line="240" w:lineRule="auto"/>
    </w:pPr>
    <w:rPr>
      <w:rFonts w:ascii="Times New Roman" w:eastAsia="Times New Roman" w:hAnsi="Times New Roman" w:cs="Times New Roman"/>
      <w:sz w:val="24"/>
      <w:szCs w:val="24"/>
      <w:lang w:val="pt-PT"/>
    </w:rPr>
  </w:style>
  <w:style w:type="character" w:customStyle="1" w:styleId="BodyTextChar">
    <w:name w:val="Body Text Char"/>
    <w:basedOn w:val="DefaultParagraphFont"/>
    <w:link w:val="BodyText"/>
    <w:uiPriority w:val="1"/>
    <w:rsid w:val="003A10A7"/>
    <w:rPr>
      <w:rFonts w:ascii="Times New Roman" w:eastAsia="Times New Roman" w:hAnsi="Times New Roman" w:cs="Times New Roman"/>
      <w:kern w:val="0"/>
      <w:sz w:val="24"/>
      <w:szCs w:val="24"/>
      <w:lang w:val="pt-PT"/>
      <w14:ligatures w14:val="none"/>
    </w:rPr>
  </w:style>
  <w:style w:type="character" w:customStyle="1" w:styleId="html-italic">
    <w:name w:val="html-italic"/>
    <w:basedOn w:val="DefaultParagraphFont"/>
    <w:rsid w:val="003A10A7"/>
  </w:style>
  <w:style w:type="character" w:customStyle="1" w:styleId="gd">
    <w:name w:val="gd"/>
    <w:basedOn w:val="DefaultParagraphFont"/>
    <w:rsid w:val="003A10A7"/>
  </w:style>
  <w:style w:type="character" w:customStyle="1" w:styleId="UnresolvedMention2">
    <w:name w:val="Unresolved Mention2"/>
    <w:basedOn w:val="DefaultParagraphFont"/>
    <w:uiPriority w:val="99"/>
    <w:semiHidden/>
    <w:unhideWhenUsed/>
    <w:rsid w:val="003A10A7"/>
    <w:rPr>
      <w:color w:val="605E5C"/>
      <w:shd w:val="clear" w:color="auto" w:fill="E1DFDD"/>
    </w:rPr>
  </w:style>
  <w:style w:type="character" w:styleId="FollowedHyperlink">
    <w:name w:val="FollowedHyperlink"/>
    <w:basedOn w:val="DefaultParagraphFont"/>
    <w:uiPriority w:val="99"/>
    <w:semiHidden/>
    <w:unhideWhenUsed/>
    <w:rsid w:val="003A10A7"/>
    <w:rPr>
      <w:color w:val="954F72" w:themeColor="followedHyperlink"/>
      <w:u w:val="single"/>
    </w:rPr>
  </w:style>
  <w:style w:type="character" w:customStyle="1" w:styleId="UnresolvedMention3">
    <w:name w:val="Unresolved Mention3"/>
    <w:basedOn w:val="DefaultParagraphFont"/>
    <w:uiPriority w:val="99"/>
    <w:semiHidden/>
    <w:unhideWhenUsed/>
    <w:rsid w:val="003A10A7"/>
    <w:rPr>
      <w:color w:val="605E5C"/>
      <w:shd w:val="clear" w:color="auto" w:fill="E1DFDD"/>
    </w:rPr>
  </w:style>
  <w:style w:type="character" w:customStyle="1" w:styleId="UnresolvedMention4">
    <w:name w:val="Unresolved Mention4"/>
    <w:basedOn w:val="DefaultParagraphFont"/>
    <w:uiPriority w:val="99"/>
    <w:semiHidden/>
    <w:unhideWhenUsed/>
    <w:rsid w:val="003A10A7"/>
    <w:rPr>
      <w:color w:val="605E5C"/>
      <w:shd w:val="clear" w:color="auto" w:fill="E1DFDD"/>
    </w:rPr>
  </w:style>
  <w:style w:type="character" w:styleId="UnresolvedMention">
    <w:name w:val="Unresolved Mention"/>
    <w:basedOn w:val="DefaultParagraphFont"/>
    <w:uiPriority w:val="99"/>
    <w:semiHidden/>
    <w:unhideWhenUsed/>
    <w:rsid w:val="003A10A7"/>
    <w:rPr>
      <w:color w:val="605E5C"/>
      <w:shd w:val="clear" w:color="auto" w:fill="E1DFDD"/>
    </w:rPr>
  </w:style>
  <w:style w:type="paragraph" w:styleId="TOC6">
    <w:name w:val="toc 6"/>
    <w:basedOn w:val="Normal"/>
    <w:next w:val="Normal"/>
    <w:autoRedefine/>
    <w:uiPriority w:val="39"/>
    <w:unhideWhenUsed/>
    <w:rsid w:val="003A10A7"/>
    <w:pPr>
      <w:spacing w:after="0" w:line="240" w:lineRule="auto"/>
      <w:ind w:left="1100"/>
    </w:pPr>
    <w:rPr>
      <w:rFonts w:eastAsia="Times New Roman" w:cstheme="minorHAnsi"/>
      <w:sz w:val="20"/>
      <w:szCs w:val="20"/>
      <w:lang w:eastAsia="pt-BR"/>
    </w:rPr>
  </w:style>
  <w:style w:type="paragraph" w:styleId="TOC7">
    <w:name w:val="toc 7"/>
    <w:basedOn w:val="Normal"/>
    <w:next w:val="Normal"/>
    <w:autoRedefine/>
    <w:uiPriority w:val="39"/>
    <w:unhideWhenUsed/>
    <w:rsid w:val="003A10A7"/>
    <w:pPr>
      <w:spacing w:after="0" w:line="240" w:lineRule="auto"/>
      <w:ind w:left="1320"/>
    </w:pPr>
    <w:rPr>
      <w:rFonts w:eastAsia="Times New Roman" w:cstheme="minorHAnsi"/>
      <w:sz w:val="20"/>
      <w:szCs w:val="20"/>
      <w:lang w:eastAsia="pt-BR"/>
    </w:rPr>
  </w:style>
  <w:style w:type="paragraph" w:styleId="TOC8">
    <w:name w:val="toc 8"/>
    <w:basedOn w:val="Normal"/>
    <w:next w:val="Normal"/>
    <w:autoRedefine/>
    <w:uiPriority w:val="39"/>
    <w:unhideWhenUsed/>
    <w:rsid w:val="003A10A7"/>
    <w:pPr>
      <w:spacing w:after="0" w:line="240" w:lineRule="auto"/>
      <w:ind w:left="1540"/>
    </w:pPr>
    <w:rPr>
      <w:rFonts w:eastAsia="Times New Roman" w:cstheme="minorHAnsi"/>
      <w:sz w:val="20"/>
      <w:szCs w:val="20"/>
      <w:lang w:eastAsia="pt-BR"/>
    </w:rPr>
  </w:style>
  <w:style w:type="paragraph" w:styleId="TOC9">
    <w:name w:val="toc 9"/>
    <w:basedOn w:val="Normal"/>
    <w:next w:val="Normal"/>
    <w:autoRedefine/>
    <w:uiPriority w:val="39"/>
    <w:unhideWhenUsed/>
    <w:rsid w:val="003A10A7"/>
    <w:pPr>
      <w:spacing w:after="0" w:line="240" w:lineRule="auto"/>
      <w:ind w:left="1760"/>
    </w:pPr>
    <w:rPr>
      <w:rFonts w:eastAsia="Times New Roman" w:cstheme="minorHAnsi"/>
      <w:sz w:val="20"/>
      <w:szCs w:val="20"/>
      <w:lang w:eastAsia="pt-BR"/>
    </w:rPr>
  </w:style>
  <w:style w:type="character" w:customStyle="1" w:styleId="UnresolvedMention5">
    <w:name w:val="Unresolved Mention5"/>
    <w:basedOn w:val="DefaultParagraphFont"/>
    <w:uiPriority w:val="99"/>
    <w:semiHidden/>
    <w:unhideWhenUsed/>
    <w:rsid w:val="003A10A7"/>
    <w:rPr>
      <w:color w:val="605E5C"/>
      <w:shd w:val="clear" w:color="auto" w:fill="E1DFDD"/>
    </w:rPr>
  </w:style>
  <w:style w:type="character" w:customStyle="1" w:styleId="button-link-text">
    <w:name w:val="button-link-text"/>
    <w:basedOn w:val="DefaultParagraphFont"/>
    <w:rsid w:val="003A10A7"/>
  </w:style>
  <w:style w:type="character" w:customStyle="1" w:styleId="react-xocs-alternative-link">
    <w:name w:val="react-xocs-alternative-link"/>
    <w:basedOn w:val="DefaultParagraphFont"/>
    <w:rsid w:val="003A10A7"/>
  </w:style>
  <w:style w:type="character" w:customStyle="1" w:styleId="given-name">
    <w:name w:val="given-name"/>
    <w:basedOn w:val="DefaultParagraphFont"/>
    <w:rsid w:val="003A10A7"/>
  </w:style>
  <w:style w:type="character" w:customStyle="1" w:styleId="text">
    <w:name w:val="text"/>
    <w:basedOn w:val="DefaultParagraphFont"/>
    <w:rsid w:val="003A10A7"/>
  </w:style>
  <w:style w:type="character" w:customStyle="1" w:styleId="author-ref">
    <w:name w:val="author-ref"/>
    <w:basedOn w:val="DefaultParagraphFont"/>
    <w:rsid w:val="003A10A7"/>
  </w:style>
  <w:style w:type="character" w:customStyle="1" w:styleId="MenoPendente1">
    <w:name w:val="Menção Pendente1"/>
    <w:basedOn w:val="DefaultParagraphFont"/>
    <w:uiPriority w:val="99"/>
    <w:semiHidden/>
    <w:unhideWhenUsed/>
    <w:rsid w:val="003A1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5604">
      <w:bodyDiv w:val="1"/>
      <w:marLeft w:val="0"/>
      <w:marRight w:val="0"/>
      <w:marTop w:val="0"/>
      <w:marBottom w:val="0"/>
      <w:divBdr>
        <w:top w:val="none" w:sz="0" w:space="0" w:color="auto"/>
        <w:left w:val="none" w:sz="0" w:space="0" w:color="auto"/>
        <w:bottom w:val="none" w:sz="0" w:space="0" w:color="auto"/>
        <w:right w:val="none" w:sz="0" w:space="0" w:color="auto"/>
      </w:divBdr>
    </w:div>
    <w:div w:id="10423444">
      <w:bodyDiv w:val="1"/>
      <w:marLeft w:val="0"/>
      <w:marRight w:val="0"/>
      <w:marTop w:val="0"/>
      <w:marBottom w:val="0"/>
      <w:divBdr>
        <w:top w:val="none" w:sz="0" w:space="0" w:color="auto"/>
        <w:left w:val="none" w:sz="0" w:space="0" w:color="auto"/>
        <w:bottom w:val="none" w:sz="0" w:space="0" w:color="auto"/>
        <w:right w:val="none" w:sz="0" w:space="0" w:color="auto"/>
      </w:divBdr>
    </w:div>
    <w:div w:id="10691136">
      <w:bodyDiv w:val="1"/>
      <w:marLeft w:val="0"/>
      <w:marRight w:val="0"/>
      <w:marTop w:val="0"/>
      <w:marBottom w:val="0"/>
      <w:divBdr>
        <w:top w:val="none" w:sz="0" w:space="0" w:color="auto"/>
        <w:left w:val="none" w:sz="0" w:space="0" w:color="auto"/>
        <w:bottom w:val="none" w:sz="0" w:space="0" w:color="auto"/>
        <w:right w:val="none" w:sz="0" w:space="0" w:color="auto"/>
      </w:divBdr>
    </w:div>
    <w:div w:id="12465964">
      <w:bodyDiv w:val="1"/>
      <w:marLeft w:val="0"/>
      <w:marRight w:val="0"/>
      <w:marTop w:val="0"/>
      <w:marBottom w:val="0"/>
      <w:divBdr>
        <w:top w:val="none" w:sz="0" w:space="0" w:color="auto"/>
        <w:left w:val="none" w:sz="0" w:space="0" w:color="auto"/>
        <w:bottom w:val="none" w:sz="0" w:space="0" w:color="auto"/>
        <w:right w:val="none" w:sz="0" w:space="0" w:color="auto"/>
      </w:divBdr>
    </w:div>
    <w:div w:id="20977044">
      <w:bodyDiv w:val="1"/>
      <w:marLeft w:val="0"/>
      <w:marRight w:val="0"/>
      <w:marTop w:val="0"/>
      <w:marBottom w:val="0"/>
      <w:divBdr>
        <w:top w:val="none" w:sz="0" w:space="0" w:color="auto"/>
        <w:left w:val="none" w:sz="0" w:space="0" w:color="auto"/>
        <w:bottom w:val="none" w:sz="0" w:space="0" w:color="auto"/>
        <w:right w:val="none" w:sz="0" w:space="0" w:color="auto"/>
      </w:divBdr>
    </w:div>
    <w:div w:id="44373501">
      <w:bodyDiv w:val="1"/>
      <w:marLeft w:val="0"/>
      <w:marRight w:val="0"/>
      <w:marTop w:val="0"/>
      <w:marBottom w:val="0"/>
      <w:divBdr>
        <w:top w:val="none" w:sz="0" w:space="0" w:color="auto"/>
        <w:left w:val="none" w:sz="0" w:space="0" w:color="auto"/>
        <w:bottom w:val="none" w:sz="0" w:space="0" w:color="auto"/>
        <w:right w:val="none" w:sz="0" w:space="0" w:color="auto"/>
      </w:divBdr>
    </w:div>
    <w:div w:id="49381374">
      <w:bodyDiv w:val="1"/>
      <w:marLeft w:val="0"/>
      <w:marRight w:val="0"/>
      <w:marTop w:val="0"/>
      <w:marBottom w:val="0"/>
      <w:divBdr>
        <w:top w:val="none" w:sz="0" w:space="0" w:color="auto"/>
        <w:left w:val="none" w:sz="0" w:space="0" w:color="auto"/>
        <w:bottom w:val="none" w:sz="0" w:space="0" w:color="auto"/>
        <w:right w:val="none" w:sz="0" w:space="0" w:color="auto"/>
      </w:divBdr>
    </w:div>
    <w:div w:id="55787524">
      <w:bodyDiv w:val="1"/>
      <w:marLeft w:val="0"/>
      <w:marRight w:val="0"/>
      <w:marTop w:val="0"/>
      <w:marBottom w:val="0"/>
      <w:divBdr>
        <w:top w:val="none" w:sz="0" w:space="0" w:color="auto"/>
        <w:left w:val="none" w:sz="0" w:space="0" w:color="auto"/>
        <w:bottom w:val="none" w:sz="0" w:space="0" w:color="auto"/>
        <w:right w:val="none" w:sz="0" w:space="0" w:color="auto"/>
      </w:divBdr>
    </w:div>
    <w:div w:id="64496000">
      <w:bodyDiv w:val="1"/>
      <w:marLeft w:val="0"/>
      <w:marRight w:val="0"/>
      <w:marTop w:val="0"/>
      <w:marBottom w:val="0"/>
      <w:divBdr>
        <w:top w:val="none" w:sz="0" w:space="0" w:color="auto"/>
        <w:left w:val="none" w:sz="0" w:space="0" w:color="auto"/>
        <w:bottom w:val="none" w:sz="0" w:space="0" w:color="auto"/>
        <w:right w:val="none" w:sz="0" w:space="0" w:color="auto"/>
      </w:divBdr>
    </w:div>
    <w:div w:id="65226201">
      <w:bodyDiv w:val="1"/>
      <w:marLeft w:val="0"/>
      <w:marRight w:val="0"/>
      <w:marTop w:val="0"/>
      <w:marBottom w:val="0"/>
      <w:divBdr>
        <w:top w:val="none" w:sz="0" w:space="0" w:color="auto"/>
        <w:left w:val="none" w:sz="0" w:space="0" w:color="auto"/>
        <w:bottom w:val="none" w:sz="0" w:space="0" w:color="auto"/>
        <w:right w:val="none" w:sz="0" w:space="0" w:color="auto"/>
      </w:divBdr>
    </w:div>
    <w:div w:id="134219936">
      <w:bodyDiv w:val="1"/>
      <w:marLeft w:val="0"/>
      <w:marRight w:val="0"/>
      <w:marTop w:val="0"/>
      <w:marBottom w:val="0"/>
      <w:divBdr>
        <w:top w:val="none" w:sz="0" w:space="0" w:color="auto"/>
        <w:left w:val="none" w:sz="0" w:space="0" w:color="auto"/>
        <w:bottom w:val="none" w:sz="0" w:space="0" w:color="auto"/>
        <w:right w:val="none" w:sz="0" w:space="0" w:color="auto"/>
      </w:divBdr>
    </w:div>
    <w:div w:id="229968388">
      <w:bodyDiv w:val="1"/>
      <w:marLeft w:val="0"/>
      <w:marRight w:val="0"/>
      <w:marTop w:val="0"/>
      <w:marBottom w:val="0"/>
      <w:divBdr>
        <w:top w:val="none" w:sz="0" w:space="0" w:color="auto"/>
        <w:left w:val="none" w:sz="0" w:space="0" w:color="auto"/>
        <w:bottom w:val="none" w:sz="0" w:space="0" w:color="auto"/>
        <w:right w:val="none" w:sz="0" w:space="0" w:color="auto"/>
      </w:divBdr>
    </w:div>
    <w:div w:id="320892700">
      <w:bodyDiv w:val="1"/>
      <w:marLeft w:val="0"/>
      <w:marRight w:val="0"/>
      <w:marTop w:val="0"/>
      <w:marBottom w:val="0"/>
      <w:divBdr>
        <w:top w:val="none" w:sz="0" w:space="0" w:color="auto"/>
        <w:left w:val="none" w:sz="0" w:space="0" w:color="auto"/>
        <w:bottom w:val="none" w:sz="0" w:space="0" w:color="auto"/>
        <w:right w:val="none" w:sz="0" w:space="0" w:color="auto"/>
      </w:divBdr>
    </w:div>
    <w:div w:id="390813646">
      <w:bodyDiv w:val="1"/>
      <w:marLeft w:val="0"/>
      <w:marRight w:val="0"/>
      <w:marTop w:val="0"/>
      <w:marBottom w:val="0"/>
      <w:divBdr>
        <w:top w:val="none" w:sz="0" w:space="0" w:color="auto"/>
        <w:left w:val="none" w:sz="0" w:space="0" w:color="auto"/>
        <w:bottom w:val="none" w:sz="0" w:space="0" w:color="auto"/>
        <w:right w:val="none" w:sz="0" w:space="0" w:color="auto"/>
      </w:divBdr>
    </w:div>
    <w:div w:id="396393180">
      <w:bodyDiv w:val="1"/>
      <w:marLeft w:val="0"/>
      <w:marRight w:val="0"/>
      <w:marTop w:val="0"/>
      <w:marBottom w:val="0"/>
      <w:divBdr>
        <w:top w:val="none" w:sz="0" w:space="0" w:color="auto"/>
        <w:left w:val="none" w:sz="0" w:space="0" w:color="auto"/>
        <w:bottom w:val="none" w:sz="0" w:space="0" w:color="auto"/>
        <w:right w:val="none" w:sz="0" w:space="0" w:color="auto"/>
      </w:divBdr>
    </w:div>
    <w:div w:id="431435467">
      <w:bodyDiv w:val="1"/>
      <w:marLeft w:val="0"/>
      <w:marRight w:val="0"/>
      <w:marTop w:val="0"/>
      <w:marBottom w:val="0"/>
      <w:divBdr>
        <w:top w:val="none" w:sz="0" w:space="0" w:color="auto"/>
        <w:left w:val="none" w:sz="0" w:space="0" w:color="auto"/>
        <w:bottom w:val="none" w:sz="0" w:space="0" w:color="auto"/>
        <w:right w:val="none" w:sz="0" w:space="0" w:color="auto"/>
      </w:divBdr>
    </w:div>
    <w:div w:id="461920521">
      <w:bodyDiv w:val="1"/>
      <w:marLeft w:val="0"/>
      <w:marRight w:val="0"/>
      <w:marTop w:val="0"/>
      <w:marBottom w:val="0"/>
      <w:divBdr>
        <w:top w:val="none" w:sz="0" w:space="0" w:color="auto"/>
        <w:left w:val="none" w:sz="0" w:space="0" w:color="auto"/>
        <w:bottom w:val="none" w:sz="0" w:space="0" w:color="auto"/>
        <w:right w:val="none" w:sz="0" w:space="0" w:color="auto"/>
      </w:divBdr>
    </w:div>
    <w:div w:id="503784605">
      <w:bodyDiv w:val="1"/>
      <w:marLeft w:val="0"/>
      <w:marRight w:val="0"/>
      <w:marTop w:val="0"/>
      <w:marBottom w:val="0"/>
      <w:divBdr>
        <w:top w:val="none" w:sz="0" w:space="0" w:color="auto"/>
        <w:left w:val="none" w:sz="0" w:space="0" w:color="auto"/>
        <w:bottom w:val="none" w:sz="0" w:space="0" w:color="auto"/>
        <w:right w:val="none" w:sz="0" w:space="0" w:color="auto"/>
      </w:divBdr>
    </w:div>
    <w:div w:id="514808975">
      <w:bodyDiv w:val="1"/>
      <w:marLeft w:val="0"/>
      <w:marRight w:val="0"/>
      <w:marTop w:val="0"/>
      <w:marBottom w:val="0"/>
      <w:divBdr>
        <w:top w:val="none" w:sz="0" w:space="0" w:color="auto"/>
        <w:left w:val="none" w:sz="0" w:space="0" w:color="auto"/>
        <w:bottom w:val="none" w:sz="0" w:space="0" w:color="auto"/>
        <w:right w:val="none" w:sz="0" w:space="0" w:color="auto"/>
      </w:divBdr>
    </w:div>
    <w:div w:id="522481498">
      <w:bodyDiv w:val="1"/>
      <w:marLeft w:val="0"/>
      <w:marRight w:val="0"/>
      <w:marTop w:val="0"/>
      <w:marBottom w:val="0"/>
      <w:divBdr>
        <w:top w:val="none" w:sz="0" w:space="0" w:color="auto"/>
        <w:left w:val="none" w:sz="0" w:space="0" w:color="auto"/>
        <w:bottom w:val="none" w:sz="0" w:space="0" w:color="auto"/>
        <w:right w:val="none" w:sz="0" w:space="0" w:color="auto"/>
      </w:divBdr>
    </w:div>
    <w:div w:id="527061658">
      <w:bodyDiv w:val="1"/>
      <w:marLeft w:val="0"/>
      <w:marRight w:val="0"/>
      <w:marTop w:val="0"/>
      <w:marBottom w:val="0"/>
      <w:divBdr>
        <w:top w:val="none" w:sz="0" w:space="0" w:color="auto"/>
        <w:left w:val="none" w:sz="0" w:space="0" w:color="auto"/>
        <w:bottom w:val="none" w:sz="0" w:space="0" w:color="auto"/>
        <w:right w:val="none" w:sz="0" w:space="0" w:color="auto"/>
      </w:divBdr>
    </w:div>
    <w:div w:id="623117405">
      <w:bodyDiv w:val="1"/>
      <w:marLeft w:val="0"/>
      <w:marRight w:val="0"/>
      <w:marTop w:val="0"/>
      <w:marBottom w:val="0"/>
      <w:divBdr>
        <w:top w:val="none" w:sz="0" w:space="0" w:color="auto"/>
        <w:left w:val="none" w:sz="0" w:space="0" w:color="auto"/>
        <w:bottom w:val="none" w:sz="0" w:space="0" w:color="auto"/>
        <w:right w:val="none" w:sz="0" w:space="0" w:color="auto"/>
      </w:divBdr>
    </w:div>
    <w:div w:id="662704786">
      <w:bodyDiv w:val="1"/>
      <w:marLeft w:val="0"/>
      <w:marRight w:val="0"/>
      <w:marTop w:val="0"/>
      <w:marBottom w:val="0"/>
      <w:divBdr>
        <w:top w:val="none" w:sz="0" w:space="0" w:color="auto"/>
        <w:left w:val="none" w:sz="0" w:space="0" w:color="auto"/>
        <w:bottom w:val="none" w:sz="0" w:space="0" w:color="auto"/>
        <w:right w:val="none" w:sz="0" w:space="0" w:color="auto"/>
      </w:divBdr>
    </w:div>
    <w:div w:id="689182524">
      <w:bodyDiv w:val="1"/>
      <w:marLeft w:val="0"/>
      <w:marRight w:val="0"/>
      <w:marTop w:val="0"/>
      <w:marBottom w:val="0"/>
      <w:divBdr>
        <w:top w:val="none" w:sz="0" w:space="0" w:color="auto"/>
        <w:left w:val="none" w:sz="0" w:space="0" w:color="auto"/>
        <w:bottom w:val="none" w:sz="0" w:space="0" w:color="auto"/>
        <w:right w:val="none" w:sz="0" w:space="0" w:color="auto"/>
      </w:divBdr>
    </w:div>
    <w:div w:id="707220144">
      <w:bodyDiv w:val="1"/>
      <w:marLeft w:val="0"/>
      <w:marRight w:val="0"/>
      <w:marTop w:val="0"/>
      <w:marBottom w:val="0"/>
      <w:divBdr>
        <w:top w:val="none" w:sz="0" w:space="0" w:color="auto"/>
        <w:left w:val="none" w:sz="0" w:space="0" w:color="auto"/>
        <w:bottom w:val="none" w:sz="0" w:space="0" w:color="auto"/>
        <w:right w:val="none" w:sz="0" w:space="0" w:color="auto"/>
      </w:divBdr>
    </w:div>
    <w:div w:id="749616268">
      <w:bodyDiv w:val="1"/>
      <w:marLeft w:val="0"/>
      <w:marRight w:val="0"/>
      <w:marTop w:val="0"/>
      <w:marBottom w:val="0"/>
      <w:divBdr>
        <w:top w:val="none" w:sz="0" w:space="0" w:color="auto"/>
        <w:left w:val="none" w:sz="0" w:space="0" w:color="auto"/>
        <w:bottom w:val="none" w:sz="0" w:space="0" w:color="auto"/>
        <w:right w:val="none" w:sz="0" w:space="0" w:color="auto"/>
      </w:divBdr>
    </w:div>
    <w:div w:id="785589203">
      <w:bodyDiv w:val="1"/>
      <w:marLeft w:val="0"/>
      <w:marRight w:val="0"/>
      <w:marTop w:val="0"/>
      <w:marBottom w:val="0"/>
      <w:divBdr>
        <w:top w:val="none" w:sz="0" w:space="0" w:color="auto"/>
        <w:left w:val="none" w:sz="0" w:space="0" w:color="auto"/>
        <w:bottom w:val="none" w:sz="0" w:space="0" w:color="auto"/>
        <w:right w:val="none" w:sz="0" w:space="0" w:color="auto"/>
      </w:divBdr>
    </w:div>
    <w:div w:id="832532707">
      <w:bodyDiv w:val="1"/>
      <w:marLeft w:val="0"/>
      <w:marRight w:val="0"/>
      <w:marTop w:val="0"/>
      <w:marBottom w:val="0"/>
      <w:divBdr>
        <w:top w:val="none" w:sz="0" w:space="0" w:color="auto"/>
        <w:left w:val="none" w:sz="0" w:space="0" w:color="auto"/>
        <w:bottom w:val="none" w:sz="0" w:space="0" w:color="auto"/>
        <w:right w:val="none" w:sz="0" w:space="0" w:color="auto"/>
      </w:divBdr>
    </w:div>
    <w:div w:id="923686608">
      <w:bodyDiv w:val="1"/>
      <w:marLeft w:val="0"/>
      <w:marRight w:val="0"/>
      <w:marTop w:val="0"/>
      <w:marBottom w:val="0"/>
      <w:divBdr>
        <w:top w:val="none" w:sz="0" w:space="0" w:color="auto"/>
        <w:left w:val="none" w:sz="0" w:space="0" w:color="auto"/>
        <w:bottom w:val="none" w:sz="0" w:space="0" w:color="auto"/>
        <w:right w:val="none" w:sz="0" w:space="0" w:color="auto"/>
      </w:divBdr>
    </w:div>
    <w:div w:id="1009604078">
      <w:bodyDiv w:val="1"/>
      <w:marLeft w:val="0"/>
      <w:marRight w:val="0"/>
      <w:marTop w:val="0"/>
      <w:marBottom w:val="0"/>
      <w:divBdr>
        <w:top w:val="none" w:sz="0" w:space="0" w:color="auto"/>
        <w:left w:val="none" w:sz="0" w:space="0" w:color="auto"/>
        <w:bottom w:val="none" w:sz="0" w:space="0" w:color="auto"/>
        <w:right w:val="none" w:sz="0" w:space="0" w:color="auto"/>
      </w:divBdr>
    </w:div>
    <w:div w:id="1010184329">
      <w:bodyDiv w:val="1"/>
      <w:marLeft w:val="0"/>
      <w:marRight w:val="0"/>
      <w:marTop w:val="0"/>
      <w:marBottom w:val="0"/>
      <w:divBdr>
        <w:top w:val="none" w:sz="0" w:space="0" w:color="auto"/>
        <w:left w:val="none" w:sz="0" w:space="0" w:color="auto"/>
        <w:bottom w:val="none" w:sz="0" w:space="0" w:color="auto"/>
        <w:right w:val="none" w:sz="0" w:space="0" w:color="auto"/>
      </w:divBdr>
    </w:div>
    <w:div w:id="1012730912">
      <w:bodyDiv w:val="1"/>
      <w:marLeft w:val="0"/>
      <w:marRight w:val="0"/>
      <w:marTop w:val="0"/>
      <w:marBottom w:val="0"/>
      <w:divBdr>
        <w:top w:val="none" w:sz="0" w:space="0" w:color="auto"/>
        <w:left w:val="none" w:sz="0" w:space="0" w:color="auto"/>
        <w:bottom w:val="none" w:sz="0" w:space="0" w:color="auto"/>
        <w:right w:val="none" w:sz="0" w:space="0" w:color="auto"/>
      </w:divBdr>
    </w:div>
    <w:div w:id="1046181697">
      <w:bodyDiv w:val="1"/>
      <w:marLeft w:val="0"/>
      <w:marRight w:val="0"/>
      <w:marTop w:val="0"/>
      <w:marBottom w:val="0"/>
      <w:divBdr>
        <w:top w:val="none" w:sz="0" w:space="0" w:color="auto"/>
        <w:left w:val="none" w:sz="0" w:space="0" w:color="auto"/>
        <w:bottom w:val="none" w:sz="0" w:space="0" w:color="auto"/>
        <w:right w:val="none" w:sz="0" w:space="0" w:color="auto"/>
      </w:divBdr>
    </w:div>
    <w:div w:id="1091127048">
      <w:bodyDiv w:val="1"/>
      <w:marLeft w:val="0"/>
      <w:marRight w:val="0"/>
      <w:marTop w:val="0"/>
      <w:marBottom w:val="0"/>
      <w:divBdr>
        <w:top w:val="none" w:sz="0" w:space="0" w:color="auto"/>
        <w:left w:val="none" w:sz="0" w:space="0" w:color="auto"/>
        <w:bottom w:val="none" w:sz="0" w:space="0" w:color="auto"/>
        <w:right w:val="none" w:sz="0" w:space="0" w:color="auto"/>
      </w:divBdr>
    </w:div>
    <w:div w:id="1097602611">
      <w:bodyDiv w:val="1"/>
      <w:marLeft w:val="0"/>
      <w:marRight w:val="0"/>
      <w:marTop w:val="0"/>
      <w:marBottom w:val="0"/>
      <w:divBdr>
        <w:top w:val="none" w:sz="0" w:space="0" w:color="auto"/>
        <w:left w:val="none" w:sz="0" w:space="0" w:color="auto"/>
        <w:bottom w:val="none" w:sz="0" w:space="0" w:color="auto"/>
        <w:right w:val="none" w:sz="0" w:space="0" w:color="auto"/>
      </w:divBdr>
    </w:div>
    <w:div w:id="1142120310">
      <w:bodyDiv w:val="1"/>
      <w:marLeft w:val="0"/>
      <w:marRight w:val="0"/>
      <w:marTop w:val="0"/>
      <w:marBottom w:val="0"/>
      <w:divBdr>
        <w:top w:val="none" w:sz="0" w:space="0" w:color="auto"/>
        <w:left w:val="none" w:sz="0" w:space="0" w:color="auto"/>
        <w:bottom w:val="none" w:sz="0" w:space="0" w:color="auto"/>
        <w:right w:val="none" w:sz="0" w:space="0" w:color="auto"/>
      </w:divBdr>
    </w:div>
    <w:div w:id="1187326304">
      <w:bodyDiv w:val="1"/>
      <w:marLeft w:val="0"/>
      <w:marRight w:val="0"/>
      <w:marTop w:val="0"/>
      <w:marBottom w:val="0"/>
      <w:divBdr>
        <w:top w:val="none" w:sz="0" w:space="0" w:color="auto"/>
        <w:left w:val="none" w:sz="0" w:space="0" w:color="auto"/>
        <w:bottom w:val="none" w:sz="0" w:space="0" w:color="auto"/>
        <w:right w:val="none" w:sz="0" w:space="0" w:color="auto"/>
      </w:divBdr>
    </w:div>
    <w:div w:id="1215966274">
      <w:bodyDiv w:val="1"/>
      <w:marLeft w:val="0"/>
      <w:marRight w:val="0"/>
      <w:marTop w:val="0"/>
      <w:marBottom w:val="0"/>
      <w:divBdr>
        <w:top w:val="none" w:sz="0" w:space="0" w:color="auto"/>
        <w:left w:val="none" w:sz="0" w:space="0" w:color="auto"/>
        <w:bottom w:val="none" w:sz="0" w:space="0" w:color="auto"/>
        <w:right w:val="none" w:sz="0" w:space="0" w:color="auto"/>
      </w:divBdr>
    </w:div>
    <w:div w:id="1216968825">
      <w:bodyDiv w:val="1"/>
      <w:marLeft w:val="0"/>
      <w:marRight w:val="0"/>
      <w:marTop w:val="0"/>
      <w:marBottom w:val="0"/>
      <w:divBdr>
        <w:top w:val="none" w:sz="0" w:space="0" w:color="auto"/>
        <w:left w:val="none" w:sz="0" w:space="0" w:color="auto"/>
        <w:bottom w:val="none" w:sz="0" w:space="0" w:color="auto"/>
        <w:right w:val="none" w:sz="0" w:space="0" w:color="auto"/>
      </w:divBdr>
    </w:div>
    <w:div w:id="1227373732">
      <w:bodyDiv w:val="1"/>
      <w:marLeft w:val="0"/>
      <w:marRight w:val="0"/>
      <w:marTop w:val="0"/>
      <w:marBottom w:val="0"/>
      <w:divBdr>
        <w:top w:val="none" w:sz="0" w:space="0" w:color="auto"/>
        <w:left w:val="none" w:sz="0" w:space="0" w:color="auto"/>
        <w:bottom w:val="none" w:sz="0" w:space="0" w:color="auto"/>
        <w:right w:val="none" w:sz="0" w:space="0" w:color="auto"/>
      </w:divBdr>
    </w:div>
    <w:div w:id="1335111930">
      <w:bodyDiv w:val="1"/>
      <w:marLeft w:val="0"/>
      <w:marRight w:val="0"/>
      <w:marTop w:val="0"/>
      <w:marBottom w:val="0"/>
      <w:divBdr>
        <w:top w:val="none" w:sz="0" w:space="0" w:color="auto"/>
        <w:left w:val="none" w:sz="0" w:space="0" w:color="auto"/>
        <w:bottom w:val="none" w:sz="0" w:space="0" w:color="auto"/>
        <w:right w:val="none" w:sz="0" w:space="0" w:color="auto"/>
      </w:divBdr>
    </w:div>
    <w:div w:id="1391223372">
      <w:bodyDiv w:val="1"/>
      <w:marLeft w:val="0"/>
      <w:marRight w:val="0"/>
      <w:marTop w:val="0"/>
      <w:marBottom w:val="0"/>
      <w:divBdr>
        <w:top w:val="none" w:sz="0" w:space="0" w:color="auto"/>
        <w:left w:val="none" w:sz="0" w:space="0" w:color="auto"/>
        <w:bottom w:val="none" w:sz="0" w:space="0" w:color="auto"/>
        <w:right w:val="none" w:sz="0" w:space="0" w:color="auto"/>
      </w:divBdr>
    </w:div>
    <w:div w:id="1467241625">
      <w:bodyDiv w:val="1"/>
      <w:marLeft w:val="0"/>
      <w:marRight w:val="0"/>
      <w:marTop w:val="0"/>
      <w:marBottom w:val="0"/>
      <w:divBdr>
        <w:top w:val="none" w:sz="0" w:space="0" w:color="auto"/>
        <w:left w:val="none" w:sz="0" w:space="0" w:color="auto"/>
        <w:bottom w:val="none" w:sz="0" w:space="0" w:color="auto"/>
        <w:right w:val="none" w:sz="0" w:space="0" w:color="auto"/>
      </w:divBdr>
    </w:div>
    <w:div w:id="1479107509">
      <w:bodyDiv w:val="1"/>
      <w:marLeft w:val="0"/>
      <w:marRight w:val="0"/>
      <w:marTop w:val="0"/>
      <w:marBottom w:val="0"/>
      <w:divBdr>
        <w:top w:val="none" w:sz="0" w:space="0" w:color="auto"/>
        <w:left w:val="none" w:sz="0" w:space="0" w:color="auto"/>
        <w:bottom w:val="none" w:sz="0" w:space="0" w:color="auto"/>
        <w:right w:val="none" w:sz="0" w:space="0" w:color="auto"/>
      </w:divBdr>
    </w:div>
    <w:div w:id="1518275923">
      <w:bodyDiv w:val="1"/>
      <w:marLeft w:val="0"/>
      <w:marRight w:val="0"/>
      <w:marTop w:val="0"/>
      <w:marBottom w:val="0"/>
      <w:divBdr>
        <w:top w:val="none" w:sz="0" w:space="0" w:color="auto"/>
        <w:left w:val="none" w:sz="0" w:space="0" w:color="auto"/>
        <w:bottom w:val="none" w:sz="0" w:space="0" w:color="auto"/>
        <w:right w:val="none" w:sz="0" w:space="0" w:color="auto"/>
      </w:divBdr>
    </w:div>
    <w:div w:id="1533110056">
      <w:bodyDiv w:val="1"/>
      <w:marLeft w:val="0"/>
      <w:marRight w:val="0"/>
      <w:marTop w:val="0"/>
      <w:marBottom w:val="0"/>
      <w:divBdr>
        <w:top w:val="none" w:sz="0" w:space="0" w:color="auto"/>
        <w:left w:val="none" w:sz="0" w:space="0" w:color="auto"/>
        <w:bottom w:val="none" w:sz="0" w:space="0" w:color="auto"/>
        <w:right w:val="none" w:sz="0" w:space="0" w:color="auto"/>
      </w:divBdr>
    </w:div>
    <w:div w:id="1552496526">
      <w:bodyDiv w:val="1"/>
      <w:marLeft w:val="0"/>
      <w:marRight w:val="0"/>
      <w:marTop w:val="0"/>
      <w:marBottom w:val="0"/>
      <w:divBdr>
        <w:top w:val="none" w:sz="0" w:space="0" w:color="auto"/>
        <w:left w:val="none" w:sz="0" w:space="0" w:color="auto"/>
        <w:bottom w:val="none" w:sz="0" w:space="0" w:color="auto"/>
        <w:right w:val="none" w:sz="0" w:space="0" w:color="auto"/>
      </w:divBdr>
    </w:div>
    <w:div w:id="1631012875">
      <w:bodyDiv w:val="1"/>
      <w:marLeft w:val="0"/>
      <w:marRight w:val="0"/>
      <w:marTop w:val="0"/>
      <w:marBottom w:val="0"/>
      <w:divBdr>
        <w:top w:val="none" w:sz="0" w:space="0" w:color="auto"/>
        <w:left w:val="none" w:sz="0" w:space="0" w:color="auto"/>
        <w:bottom w:val="none" w:sz="0" w:space="0" w:color="auto"/>
        <w:right w:val="none" w:sz="0" w:space="0" w:color="auto"/>
      </w:divBdr>
    </w:div>
    <w:div w:id="1649750802">
      <w:bodyDiv w:val="1"/>
      <w:marLeft w:val="0"/>
      <w:marRight w:val="0"/>
      <w:marTop w:val="0"/>
      <w:marBottom w:val="0"/>
      <w:divBdr>
        <w:top w:val="none" w:sz="0" w:space="0" w:color="auto"/>
        <w:left w:val="none" w:sz="0" w:space="0" w:color="auto"/>
        <w:bottom w:val="none" w:sz="0" w:space="0" w:color="auto"/>
        <w:right w:val="none" w:sz="0" w:space="0" w:color="auto"/>
      </w:divBdr>
    </w:div>
    <w:div w:id="1661351442">
      <w:bodyDiv w:val="1"/>
      <w:marLeft w:val="0"/>
      <w:marRight w:val="0"/>
      <w:marTop w:val="0"/>
      <w:marBottom w:val="0"/>
      <w:divBdr>
        <w:top w:val="none" w:sz="0" w:space="0" w:color="auto"/>
        <w:left w:val="none" w:sz="0" w:space="0" w:color="auto"/>
        <w:bottom w:val="none" w:sz="0" w:space="0" w:color="auto"/>
        <w:right w:val="none" w:sz="0" w:space="0" w:color="auto"/>
      </w:divBdr>
    </w:div>
    <w:div w:id="1663583034">
      <w:bodyDiv w:val="1"/>
      <w:marLeft w:val="0"/>
      <w:marRight w:val="0"/>
      <w:marTop w:val="0"/>
      <w:marBottom w:val="0"/>
      <w:divBdr>
        <w:top w:val="none" w:sz="0" w:space="0" w:color="auto"/>
        <w:left w:val="none" w:sz="0" w:space="0" w:color="auto"/>
        <w:bottom w:val="none" w:sz="0" w:space="0" w:color="auto"/>
        <w:right w:val="none" w:sz="0" w:space="0" w:color="auto"/>
      </w:divBdr>
    </w:div>
    <w:div w:id="1684286771">
      <w:bodyDiv w:val="1"/>
      <w:marLeft w:val="0"/>
      <w:marRight w:val="0"/>
      <w:marTop w:val="0"/>
      <w:marBottom w:val="0"/>
      <w:divBdr>
        <w:top w:val="none" w:sz="0" w:space="0" w:color="auto"/>
        <w:left w:val="none" w:sz="0" w:space="0" w:color="auto"/>
        <w:bottom w:val="none" w:sz="0" w:space="0" w:color="auto"/>
        <w:right w:val="none" w:sz="0" w:space="0" w:color="auto"/>
      </w:divBdr>
    </w:div>
    <w:div w:id="1699355087">
      <w:bodyDiv w:val="1"/>
      <w:marLeft w:val="0"/>
      <w:marRight w:val="0"/>
      <w:marTop w:val="0"/>
      <w:marBottom w:val="0"/>
      <w:divBdr>
        <w:top w:val="none" w:sz="0" w:space="0" w:color="auto"/>
        <w:left w:val="none" w:sz="0" w:space="0" w:color="auto"/>
        <w:bottom w:val="none" w:sz="0" w:space="0" w:color="auto"/>
        <w:right w:val="none" w:sz="0" w:space="0" w:color="auto"/>
      </w:divBdr>
    </w:div>
    <w:div w:id="1740052192">
      <w:bodyDiv w:val="1"/>
      <w:marLeft w:val="0"/>
      <w:marRight w:val="0"/>
      <w:marTop w:val="0"/>
      <w:marBottom w:val="0"/>
      <w:divBdr>
        <w:top w:val="none" w:sz="0" w:space="0" w:color="auto"/>
        <w:left w:val="none" w:sz="0" w:space="0" w:color="auto"/>
        <w:bottom w:val="none" w:sz="0" w:space="0" w:color="auto"/>
        <w:right w:val="none" w:sz="0" w:space="0" w:color="auto"/>
      </w:divBdr>
    </w:div>
    <w:div w:id="1743789283">
      <w:bodyDiv w:val="1"/>
      <w:marLeft w:val="0"/>
      <w:marRight w:val="0"/>
      <w:marTop w:val="0"/>
      <w:marBottom w:val="0"/>
      <w:divBdr>
        <w:top w:val="none" w:sz="0" w:space="0" w:color="auto"/>
        <w:left w:val="none" w:sz="0" w:space="0" w:color="auto"/>
        <w:bottom w:val="none" w:sz="0" w:space="0" w:color="auto"/>
        <w:right w:val="none" w:sz="0" w:space="0" w:color="auto"/>
      </w:divBdr>
    </w:div>
    <w:div w:id="1878273143">
      <w:bodyDiv w:val="1"/>
      <w:marLeft w:val="0"/>
      <w:marRight w:val="0"/>
      <w:marTop w:val="0"/>
      <w:marBottom w:val="0"/>
      <w:divBdr>
        <w:top w:val="none" w:sz="0" w:space="0" w:color="auto"/>
        <w:left w:val="none" w:sz="0" w:space="0" w:color="auto"/>
        <w:bottom w:val="none" w:sz="0" w:space="0" w:color="auto"/>
        <w:right w:val="none" w:sz="0" w:space="0" w:color="auto"/>
      </w:divBdr>
    </w:div>
    <w:div w:id="1889221472">
      <w:bodyDiv w:val="1"/>
      <w:marLeft w:val="0"/>
      <w:marRight w:val="0"/>
      <w:marTop w:val="0"/>
      <w:marBottom w:val="0"/>
      <w:divBdr>
        <w:top w:val="none" w:sz="0" w:space="0" w:color="auto"/>
        <w:left w:val="none" w:sz="0" w:space="0" w:color="auto"/>
        <w:bottom w:val="none" w:sz="0" w:space="0" w:color="auto"/>
        <w:right w:val="none" w:sz="0" w:space="0" w:color="auto"/>
      </w:divBdr>
    </w:div>
    <w:div w:id="1903830767">
      <w:bodyDiv w:val="1"/>
      <w:marLeft w:val="0"/>
      <w:marRight w:val="0"/>
      <w:marTop w:val="0"/>
      <w:marBottom w:val="0"/>
      <w:divBdr>
        <w:top w:val="none" w:sz="0" w:space="0" w:color="auto"/>
        <w:left w:val="none" w:sz="0" w:space="0" w:color="auto"/>
        <w:bottom w:val="none" w:sz="0" w:space="0" w:color="auto"/>
        <w:right w:val="none" w:sz="0" w:space="0" w:color="auto"/>
      </w:divBdr>
      <w:divsChild>
        <w:div w:id="1488549509">
          <w:marLeft w:val="0"/>
          <w:marRight w:val="0"/>
          <w:marTop w:val="0"/>
          <w:marBottom w:val="0"/>
          <w:divBdr>
            <w:top w:val="single" w:sz="2" w:space="0" w:color="E5E7EB"/>
            <w:left w:val="single" w:sz="2" w:space="0" w:color="E5E7EB"/>
            <w:bottom w:val="single" w:sz="2" w:space="0" w:color="E5E7EB"/>
            <w:right w:val="single" w:sz="2" w:space="0" w:color="E5E7EB"/>
          </w:divBdr>
          <w:divsChild>
            <w:div w:id="1528061988">
              <w:marLeft w:val="0"/>
              <w:marRight w:val="0"/>
              <w:marTop w:val="0"/>
              <w:marBottom w:val="0"/>
              <w:divBdr>
                <w:top w:val="single" w:sz="2" w:space="0" w:color="auto"/>
                <w:left w:val="single" w:sz="2" w:space="0" w:color="auto"/>
                <w:bottom w:val="single" w:sz="2" w:space="0" w:color="auto"/>
                <w:right w:val="single" w:sz="2" w:space="0" w:color="auto"/>
              </w:divBdr>
              <w:divsChild>
                <w:div w:id="706837415">
                  <w:marLeft w:val="0"/>
                  <w:marRight w:val="0"/>
                  <w:marTop w:val="0"/>
                  <w:marBottom w:val="0"/>
                  <w:divBdr>
                    <w:top w:val="single" w:sz="2" w:space="0" w:color="auto"/>
                    <w:left w:val="single" w:sz="2" w:space="0" w:color="auto"/>
                    <w:bottom w:val="single" w:sz="2" w:space="0" w:color="auto"/>
                    <w:right w:val="single" w:sz="2" w:space="0" w:color="auto"/>
                  </w:divBdr>
                  <w:divsChild>
                    <w:div w:id="378209692">
                      <w:marLeft w:val="0"/>
                      <w:marRight w:val="0"/>
                      <w:marTop w:val="0"/>
                      <w:marBottom w:val="0"/>
                      <w:divBdr>
                        <w:top w:val="single" w:sz="2" w:space="0" w:color="E5E7EB"/>
                        <w:left w:val="single" w:sz="2" w:space="0" w:color="E5E7EB"/>
                        <w:bottom w:val="single" w:sz="2" w:space="0" w:color="E5E7EB"/>
                        <w:right w:val="single" w:sz="2" w:space="0" w:color="E5E7EB"/>
                      </w:divBdr>
                      <w:divsChild>
                        <w:div w:id="969626520">
                          <w:marLeft w:val="0"/>
                          <w:marRight w:val="0"/>
                          <w:marTop w:val="0"/>
                          <w:marBottom w:val="0"/>
                          <w:divBdr>
                            <w:top w:val="single" w:sz="2" w:space="0" w:color="E5E7EB"/>
                            <w:left w:val="single" w:sz="2" w:space="0" w:color="E5E7EB"/>
                            <w:bottom w:val="single" w:sz="2" w:space="0" w:color="E5E7EB"/>
                            <w:right w:val="single" w:sz="2" w:space="0" w:color="E5E7EB"/>
                          </w:divBdr>
                          <w:divsChild>
                            <w:div w:id="33114599">
                              <w:marLeft w:val="0"/>
                              <w:marRight w:val="0"/>
                              <w:marTop w:val="0"/>
                              <w:marBottom w:val="0"/>
                              <w:divBdr>
                                <w:top w:val="single" w:sz="2" w:space="0" w:color="E5E7EB"/>
                                <w:left w:val="single" w:sz="2" w:space="0" w:color="E5E7EB"/>
                                <w:bottom w:val="single" w:sz="2" w:space="0" w:color="E5E7EB"/>
                                <w:right w:val="single" w:sz="2" w:space="0" w:color="E5E7EB"/>
                              </w:divBdr>
                              <w:divsChild>
                                <w:div w:id="2112191787">
                                  <w:marLeft w:val="0"/>
                                  <w:marRight w:val="0"/>
                                  <w:marTop w:val="0"/>
                                  <w:marBottom w:val="0"/>
                                  <w:divBdr>
                                    <w:top w:val="single" w:sz="2" w:space="0" w:color="auto"/>
                                    <w:left w:val="single" w:sz="2" w:space="0" w:color="auto"/>
                                    <w:bottom w:val="single" w:sz="2" w:space="0" w:color="auto"/>
                                    <w:right w:val="single" w:sz="2" w:space="0" w:color="auto"/>
                                  </w:divBdr>
                                  <w:divsChild>
                                    <w:div w:id="1129201612">
                                      <w:marLeft w:val="0"/>
                                      <w:marRight w:val="0"/>
                                      <w:marTop w:val="0"/>
                                      <w:marBottom w:val="0"/>
                                      <w:divBdr>
                                        <w:top w:val="single" w:sz="2" w:space="0" w:color="E5E7EB"/>
                                        <w:left w:val="single" w:sz="2" w:space="0" w:color="E5E7EB"/>
                                        <w:bottom w:val="single" w:sz="2" w:space="0" w:color="E5E7EB"/>
                                        <w:right w:val="single" w:sz="2" w:space="0" w:color="E5E7EB"/>
                                      </w:divBdr>
                                      <w:divsChild>
                                        <w:div w:id="1913732589">
                                          <w:marLeft w:val="0"/>
                                          <w:marRight w:val="0"/>
                                          <w:marTop w:val="0"/>
                                          <w:marBottom w:val="0"/>
                                          <w:divBdr>
                                            <w:top w:val="single" w:sz="2" w:space="0" w:color="E5E7EB"/>
                                            <w:left w:val="single" w:sz="2" w:space="0" w:color="E5E7EB"/>
                                            <w:bottom w:val="single" w:sz="2" w:space="0" w:color="E5E7EB"/>
                                            <w:right w:val="single" w:sz="2" w:space="0" w:color="E5E7EB"/>
                                          </w:divBdr>
                                          <w:divsChild>
                                            <w:div w:id="1046946801">
                                              <w:marLeft w:val="0"/>
                                              <w:marRight w:val="0"/>
                                              <w:marTop w:val="0"/>
                                              <w:marBottom w:val="0"/>
                                              <w:divBdr>
                                                <w:top w:val="single" w:sz="2" w:space="0" w:color="E5E7EB"/>
                                                <w:left w:val="single" w:sz="2" w:space="0" w:color="E5E7EB"/>
                                                <w:bottom w:val="single" w:sz="2" w:space="0" w:color="E5E7EB"/>
                                                <w:right w:val="single" w:sz="2" w:space="0" w:color="E5E7EB"/>
                                              </w:divBdr>
                                              <w:divsChild>
                                                <w:div w:id="1071081467">
                                                  <w:marLeft w:val="0"/>
                                                  <w:marRight w:val="0"/>
                                                  <w:marTop w:val="0"/>
                                                  <w:marBottom w:val="0"/>
                                                  <w:divBdr>
                                                    <w:top w:val="single" w:sz="2" w:space="0" w:color="E5E7EB"/>
                                                    <w:left w:val="single" w:sz="2" w:space="0" w:color="E5E7EB"/>
                                                    <w:bottom w:val="single" w:sz="2" w:space="0" w:color="E5E7EB"/>
                                                    <w:right w:val="single" w:sz="2" w:space="0" w:color="E5E7EB"/>
                                                  </w:divBdr>
                                                  <w:divsChild>
                                                    <w:div w:id="85269324">
                                                      <w:marLeft w:val="0"/>
                                                      <w:marRight w:val="0"/>
                                                      <w:marTop w:val="0"/>
                                                      <w:marBottom w:val="0"/>
                                                      <w:divBdr>
                                                        <w:top w:val="single" w:sz="2" w:space="0" w:color="E5E7EB"/>
                                                        <w:left w:val="single" w:sz="2" w:space="0" w:color="E5E7EB"/>
                                                        <w:bottom w:val="single" w:sz="2" w:space="0" w:color="E5E7EB"/>
                                                        <w:right w:val="single" w:sz="2" w:space="0" w:color="E5E7EB"/>
                                                      </w:divBdr>
                                                      <w:divsChild>
                                                        <w:div w:id="941884239">
                                                          <w:marLeft w:val="0"/>
                                                          <w:marRight w:val="0"/>
                                                          <w:marTop w:val="0"/>
                                                          <w:marBottom w:val="0"/>
                                                          <w:divBdr>
                                                            <w:top w:val="single" w:sz="2" w:space="0" w:color="auto"/>
                                                            <w:left w:val="single" w:sz="2" w:space="0" w:color="auto"/>
                                                            <w:bottom w:val="single" w:sz="2" w:space="0" w:color="auto"/>
                                                            <w:right w:val="single" w:sz="2" w:space="0" w:color="auto"/>
                                                          </w:divBdr>
                                                          <w:divsChild>
                                                            <w:div w:id="1237209675">
                                                              <w:marLeft w:val="0"/>
                                                              <w:marRight w:val="0"/>
                                                              <w:marTop w:val="0"/>
                                                              <w:marBottom w:val="0"/>
                                                              <w:divBdr>
                                                                <w:top w:val="single" w:sz="2" w:space="0" w:color="E5E7EB"/>
                                                                <w:left w:val="single" w:sz="2" w:space="0" w:color="E5E7EB"/>
                                                                <w:bottom w:val="single" w:sz="2" w:space="0" w:color="E5E7EB"/>
                                                                <w:right w:val="single" w:sz="2" w:space="0" w:color="E5E7EB"/>
                                                              </w:divBdr>
                                                              <w:divsChild>
                                                                <w:div w:id="392192557">
                                                                  <w:marLeft w:val="0"/>
                                                                  <w:marRight w:val="0"/>
                                                                  <w:marTop w:val="0"/>
                                                                  <w:marBottom w:val="0"/>
                                                                  <w:divBdr>
                                                                    <w:top w:val="single" w:sz="2" w:space="0" w:color="E5E7EB"/>
                                                                    <w:left w:val="single" w:sz="2" w:space="0" w:color="E5E7EB"/>
                                                                    <w:bottom w:val="single" w:sz="2" w:space="0" w:color="E5E7EB"/>
                                                                    <w:right w:val="single" w:sz="2" w:space="0" w:color="E5E7EB"/>
                                                                  </w:divBdr>
                                                                  <w:divsChild>
                                                                    <w:div w:id="1848715200">
                                                                      <w:marLeft w:val="0"/>
                                                                      <w:marRight w:val="0"/>
                                                                      <w:marTop w:val="0"/>
                                                                      <w:marBottom w:val="0"/>
                                                                      <w:divBdr>
                                                                        <w:top w:val="single" w:sz="2" w:space="0" w:color="E5E7EB"/>
                                                                        <w:left w:val="single" w:sz="2" w:space="0" w:color="E5E7EB"/>
                                                                        <w:bottom w:val="single" w:sz="2" w:space="0" w:color="E5E7EB"/>
                                                                        <w:right w:val="single" w:sz="2" w:space="0" w:color="E5E7EB"/>
                                                                      </w:divBdr>
                                                                      <w:divsChild>
                                                                        <w:div w:id="1472554191">
                                                                          <w:marLeft w:val="0"/>
                                                                          <w:marRight w:val="0"/>
                                                                          <w:marTop w:val="0"/>
                                                                          <w:marBottom w:val="0"/>
                                                                          <w:divBdr>
                                                                            <w:top w:val="single" w:sz="2" w:space="0" w:color="E5E7EB"/>
                                                                            <w:left w:val="single" w:sz="2" w:space="0" w:color="E5E7EB"/>
                                                                            <w:bottom w:val="single" w:sz="2" w:space="0" w:color="E5E7EB"/>
                                                                            <w:right w:val="single" w:sz="2" w:space="0" w:color="E5E7EB"/>
                                                                          </w:divBdr>
                                                                          <w:divsChild>
                                                                            <w:div w:id="1364936334">
                                                                              <w:marLeft w:val="0"/>
                                                                              <w:marRight w:val="0"/>
                                                                              <w:marTop w:val="0"/>
                                                                              <w:marBottom w:val="0"/>
                                                                              <w:divBdr>
                                                                                <w:top w:val="single" w:sz="2" w:space="0" w:color="E5E7EB"/>
                                                                                <w:left w:val="single" w:sz="2" w:space="0" w:color="E5E7EB"/>
                                                                                <w:bottom w:val="single" w:sz="2" w:space="0" w:color="E5E7EB"/>
                                                                                <w:right w:val="single" w:sz="2" w:space="0" w:color="E5E7EB"/>
                                                                              </w:divBdr>
                                                                              <w:divsChild>
                                                                                <w:div w:id="18923052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757557854">
                                                                  <w:marLeft w:val="0"/>
                                                                  <w:marRight w:val="0"/>
                                                                  <w:marTop w:val="0"/>
                                                                  <w:marBottom w:val="0"/>
                                                                  <w:divBdr>
                                                                    <w:top w:val="single" w:sz="2" w:space="0" w:color="E5E7EB"/>
                                                                    <w:left w:val="single" w:sz="2" w:space="0" w:color="E5E7EB"/>
                                                                    <w:bottom w:val="single" w:sz="2" w:space="0" w:color="E5E7EB"/>
                                                                    <w:right w:val="single" w:sz="2" w:space="0" w:color="E5E7EB"/>
                                                                  </w:divBdr>
                                                                  <w:divsChild>
                                                                    <w:div w:id="1887258600">
                                                                      <w:marLeft w:val="0"/>
                                                                      <w:marRight w:val="0"/>
                                                                      <w:marTop w:val="0"/>
                                                                      <w:marBottom w:val="0"/>
                                                                      <w:divBdr>
                                                                        <w:top w:val="single" w:sz="2" w:space="0" w:color="E5E7EB"/>
                                                                        <w:left w:val="single" w:sz="2" w:space="0" w:color="E5E7EB"/>
                                                                        <w:bottom w:val="single" w:sz="2" w:space="0" w:color="E5E7EB"/>
                                                                        <w:right w:val="single" w:sz="2" w:space="0" w:color="E5E7EB"/>
                                                                      </w:divBdr>
                                                                      <w:divsChild>
                                                                        <w:div w:id="589780398">
                                                                          <w:marLeft w:val="0"/>
                                                                          <w:marRight w:val="0"/>
                                                                          <w:marTop w:val="0"/>
                                                                          <w:marBottom w:val="0"/>
                                                                          <w:divBdr>
                                                                            <w:top w:val="single" w:sz="2" w:space="0" w:color="E5E7EB"/>
                                                                            <w:left w:val="single" w:sz="2" w:space="0" w:color="E5E7EB"/>
                                                                            <w:bottom w:val="single" w:sz="2" w:space="0" w:color="E5E7EB"/>
                                                                            <w:right w:val="single" w:sz="2" w:space="0" w:color="E5E7EB"/>
                                                                          </w:divBdr>
                                                                          <w:divsChild>
                                                                            <w:div w:id="19827267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0264553">
                                                                          <w:marLeft w:val="0"/>
                                                                          <w:marRight w:val="0"/>
                                                                          <w:marTop w:val="0"/>
                                                                          <w:marBottom w:val="0"/>
                                                                          <w:divBdr>
                                                                            <w:top w:val="single" w:sz="2" w:space="0" w:color="E5E7EB"/>
                                                                            <w:left w:val="single" w:sz="2" w:space="0" w:color="E5E7EB"/>
                                                                            <w:bottom w:val="single" w:sz="2" w:space="0" w:color="E5E7EB"/>
                                                                            <w:right w:val="single" w:sz="2" w:space="0" w:color="E5E7EB"/>
                                                                          </w:divBdr>
                                                                          <w:divsChild>
                                                                            <w:div w:id="231546536">
                                                                              <w:marLeft w:val="0"/>
                                                                              <w:marRight w:val="0"/>
                                                                              <w:marTop w:val="0"/>
                                                                              <w:marBottom w:val="0"/>
                                                                              <w:divBdr>
                                                                                <w:top w:val="single" w:sz="2" w:space="0" w:color="E5E7EB"/>
                                                                                <w:left w:val="single" w:sz="2" w:space="0" w:color="E5E7EB"/>
                                                                                <w:bottom w:val="single" w:sz="2" w:space="0" w:color="E5E7EB"/>
                                                                                <w:right w:val="single" w:sz="2" w:space="0" w:color="E5E7EB"/>
                                                                              </w:divBdr>
                                                                              <w:divsChild>
                                                                                <w:div w:id="4764588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21084210">
                                                                          <w:marLeft w:val="0"/>
                                                                          <w:marRight w:val="0"/>
                                                                          <w:marTop w:val="0"/>
                                                                          <w:marBottom w:val="0"/>
                                                                          <w:divBdr>
                                                                            <w:top w:val="single" w:sz="2" w:space="0" w:color="E5E7EB"/>
                                                                            <w:left w:val="single" w:sz="2" w:space="0" w:color="E5E7EB"/>
                                                                            <w:bottom w:val="single" w:sz="2" w:space="0" w:color="E5E7EB"/>
                                                                            <w:right w:val="single" w:sz="2" w:space="0" w:color="E5E7EB"/>
                                                                          </w:divBdr>
                                                                          <w:divsChild>
                                                                            <w:div w:id="563106770">
                                                                              <w:marLeft w:val="0"/>
                                                                              <w:marRight w:val="0"/>
                                                                              <w:marTop w:val="0"/>
                                                                              <w:marBottom w:val="0"/>
                                                                              <w:divBdr>
                                                                                <w:top w:val="single" w:sz="2" w:space="0" w:color="E5E7EB"/>
                                                                                <w:left w:val="single" w:sz="2" w:space="0" w:color="E5E7EB"/>
                                                                                <w:bottom w:val="single" w:sz="2" w:space="0" w:color="E5E7EB"/>
                                                                                <w:right w:val="single" w:sz="2" w:space="0" w:color="E5E7EB"/>
                                                                              </w:divBdr>
                                                                              <w:divsChild>
                                                                                <w:div w:id="14096925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3394320">
      <w:bodyDiv w:val="1"/>
      <w:marLeft w:val="0"/>
      <w:marRight w:val="0"/>
      <w:marTop w:val="0"/>
      <w:marBottom w:val="0"/>
      <w:divBdr>
        <w:top w:val="none" w:sz="0" w:space="0" w:color="auto"/>
        <w:left w:val="none" w:sz="0" w:space="0" w:color="auto"/>
        <w:bottom w:val="none" w:sz="0" w:space="0" w:color="auto"/>
        <w:right w:val="none" w:sz="0" w:space="0" w:color="auto"/>
      </w:divBdr>
      <w:divsChild>
        <w:div w:id="170800007">
          <w:marLeft w:val="0"/>
          <w:marRight w:val="0"/>
          <w:marTop w:val="0"/>
          <w:marBottom w:val="0"/>
          <w:divBdr>
            <w:top w:val="single" w:sz="2" w:space="0" w:color="E5E7EB"/>
            <w:left w:val="single" w:sz="2" w:space="0" w:color="E5E7EB"/>
            <w:bottom w:val="single" w:sz="2" w:space="0" w:color="E5E7EB"/>
            <w:right w:val="single" w:sz="2" w:space="0" w:color="E5E7EB"/>
          </w:divBdr>
          <w:divsChild>
            <w:div w:id="816039">
              <w:marLeft w:val="0"/>
              <w:marRight w:val="0"/>
              <w:marTop w:val="0"/>
              <w:marBottom w:val="0"/>
              <w:divBdr>
                <w:top w:val="single" w:sz="2" w:space="0" w:color="auto"/>
                <w:left w:val="single" w:sz="2" w:space="0" w:color="auto"/>
                <w:bottom w:val="single" w:sz="2" w:space="0" w:color="auto"/>
                <w:right w:val="single" w:sz="2" w:space="0" w:color="auto"/>
              </w:divBdr>
              <w:divsChild>
                <w:div w:id="758335713">
                  <w:marLeft w:val="0"/>
                  <w:marRight w:val="0"/>
                  <w:marTop w:val="0"/>
                  <w:marBottom w:val="0"/>
                  <w:divBdr>
                    <w:top w:val="single" w:sz="2" w:space="0" w:color="auto"/>
                    <w:left w:val="single" w:sz="2" w:space="0" w:color="auto"/>
                    <w:bottom w:val="single" w:sz="2" w:space="0" w:color="auto"/>
                    <w:right w:val="single" w:sz="2" w:space="0" w:color="auto"/>
                  </w:divBdr>
                  <w:divsChild>
                    <w:div w:id="1270815190">
                      <w:marLeft w:val="0"/>
                      <w:marRight w:val="0"/>
                      <w:marTop w:val="0"/>
                      <w:marBottom w:val="0"/>
                      <w:divBdr>
                        <w:top w:val="single" w:sz="2" w:space="0" w:color="E5E7EB"/>
                        <w:left w:val="single" w:sz="2" w:space="0" w:color="E5E7EB"/>
                        <w:bottom w:val="single" w:sz="2" w:space="0" w:color="E5E7EB"/>
                        <w:right w:val="single" w:sz="2" w:space="0" w:color="E5E7EB"/>
                      </w:divBdr>
                      <w:divsChild>
                        <w:div w:id="642927173">
                          <w:marLeft w:val="0"/>
                          <w:marRight w:val="0"/>
                          <w:marTop w:val="0"/>
                          <w:marBottom w:val="0"/>
                          <w:divBdr>
                            <w:top w:val="single" w:sz="2" w:space="0" w:color="E5E7EB"/>
                            <w:left w:val="single" w:sz="2" w:space="0" w:color="E5E7EB"/>
                            <w:bottom w:val="single" w:sz="2" w:space="0" w:color="E5E7EB"/>
                            <w:right w:val="single" w:sz="2" w:space="0" w:color="E5E7EB"/>
                          </w:divBdr>
                          <w:divsChild>
                            <w:div w:id="932473100">
                              <w:marLeft w:val="0"/>
                              <w:marRight w:val="0"/>
                              <w:marTop w:val="0"/>
                              <w:marBottom w:val="0"/>
                              <w:divBdr>
                                <w:top w:val="single" w:sz="2" w:space="0" w:color="E5E7EB"/>
                                <w:left w:val="single" w:sz="2" w:space="0" w:color="E5E7EB"/>
                                <w:bottom w:val="single" w:sz="2" w:space="0" w:color="E5E7EB"/>
                                <w:right w:val="single" w:sz="2" w:space="0" w:color="E5E7EB"/>
                              </w:divBdr>
                              <w:divsChild>
                                <w:div w:id="1778787332">
                                  <w:marLeft w:val="0"/>
                                  <w:marRight w:val="0"/>
                                  <w:marTop w:val="0"/>
                                  <w:marBottom w:val="0"/>
                                  <w:divBdr>
                                    <w:top w:val="single" w:sz="2" w:space="0" w:color="auto"/>
                                    <w:left w:val="single" w:sz="2" w:space="0" w:color="auto"/>
                                    <w:bottom w:val="single" w:sz="2" w:space="0" w:color="auto"/>
                                    <w:right w:val="single" w:sz="2" w:space="0" w:color="auto"/>
                                  </w:divBdr>
                                  <w:divsChild>
                                    <w:div w:id="672143878">
                                      <w:marLeft w:val="0"/>
                                      <w:marRight w:val="0"/>
                                      <w:marTop w:val="0"/>
                                      <w:marBottom w:val="0"/>
                                      <w:divBdr>
                                        <w:top w:val="single" w:sz="2" w:space="0" w:color="E5E7EB"/>
                                        <w:left w:val="single" w:sz="2" w:space="0" w:color="E5E7EB"/>
                                        <w:bottom w:val="single" w:sz="2" w:space="0" w:color="E5E7EB"/>
                                        <w:right w:val="single" w:sz="2" w:space="0" w:color="E5E7EB"/>
                                      </w:divBdr>
                                      <w:divsChild>
                                        <w:div w:id="1909922839">
                                          <w:marLeft w:val="0"/>
                                          <w:marRight w:val="0"/>
                                          <w:marTop w:val="0"/>
                                          <w:marBottom w:val="0"/>
                                          <w:divBdr>
                                            <w:top w:val="single" w:sz="2" w:space="0" w:color="E5E7EB"/>
                                            <w:left w:val="single" w:sz="2" w:space="0" w:color="E5E7EB"/>
                                            <w:bottom w:val="single" w:sz="2" w:space="0" w:color="E5E7EB"/>
                                            <w:right w:val="single" w:sz="2" w:space="0" w:color="E5E7EB"/>
                                          </w:divBdr>
                                          <w:divsChild>
                                            <w:div w:id="323705625">
                                              <w:marLeft w:val="0"/>
                                              <w:marRight w:val="0"/>
                                              <w:marTop w:val="0"/>
                                              <w:marBottom w:val="0"/>
                                              <w:divBdr>
                                                <w:top w:val="single" w:sz="2" w:space="0" w:color="E5E7EB"/>
                                                <w:left w:val="single" w:sz="2" w:space="0" w:color="E5E7EB"/>
                                                <w:bottom w:val="single" w:sz="2" w:space="0" w:color="E5E7EB"/>
                                                <w:right w:val="single" w:sz="2" w:space="0" w:color="E5E7EB"/>
                                              </w:divBdr>
                                              <w:divsChild>
                                                <w:div w:id="118498667">
                                                  <w:marLeft w:val="0"/>
                                                  <w:marRight w:val="0"/>
                                                  <w:marTop w:val="0"/>
                                                  <w:marBottom w:val="0"/>
                                                  <w:divBdr>
                                                    <w:top w:val="single" w:sz="2" w:space="0" w:color="E5E7EB"/>
                                                    <w:left w:val="single" w:sz="2" w:space="0" w:color="E5E7EB"/>
                                                    <w:bottom w:val="single" w:sz="2" w:space="0" w:color="E5E7EB"/>
                                                    <w:right w:val="single" w:sz="2" w:space="0" w:color="E5E7EB"/>
                                                  </w:divBdr>
                                                  <w:divsChild>
                                                    <w:div w:id="1175919755">
                                                      <w:marLeft w:val="0"/>
                                                      <w:marRight w:val="0"/>
                                                      <w:marTop w:val="0"/>
                                                      <w:marBottom w:val="0"/>
                                                      <w:divBdr>
                                                        <w:top w:val="single" w:sz="2" w:space="0" w:color="E5E7EB"/>
                                                        <w:left w:val="single" w:sz="2" w:space="0" w:color="E5E7EB"/>
                                                        <w:bottom w:val="single" w:sz="2" w:space="0" w:color="E5E7EB"/>
                                                        <w:right w:val="single" w:sz="2" w:space="0" w:color="E5E7EB"/>
                                                      </w:divBdr>
                                                      <w:divsChild>
                                                        <w:div w:id="1312904166">
                                                          <w:marLeft w:val="0"/>
                                                          <w:marRight w:val="0"/>
                                                          <w:marTop w:val="0"/>
                                                          <w:marBottom w:val="0"/>
                                                          <w:divBdr>
                                                            <w:top w:val="single" w:sz="2" w:space="0" w:color="auto"/>
                                                            <w:left w:val="single" w:sz="2" w:space="0" w:color="auto"/>
                                                            <w:bottom w:val="single" w:sz="2" w:space="0" w:color="auto"/>
                                                            <w:right w:val="single" w:sz="2" w:space="0" w:color="auto"/>
                                                          </w:divBdr>
                                                          <w:divsChild>
                                                            <w:div w:id="79133983">
                                                              <w:marLeft w:val="0"/>
                                                              <w:marRight w:val="0"/>
                                                              <w:marTop w:val="0"/>
                                                              <w:marBottom w:val="0"/>
                                                              <w:divBdr>
                                                                <w:top w:val="single" w:sz="2" w:space="0" w:color="E5E7EB"/>
                                                                <w:left w:val="single" w:sz="2" w:space="0" w:color="E5E7EB"/>
                                                                <w:bottom w:val="single" w:sz="2" w:space="0" w:color="E5E7EB"/>
                                                                <w:right w:val="single" w:sz="2" w:space="0" w:color="E5E7EB"/>
                                                              </w:divBdr>
                                                              <w:divsChild>
                                                                <w:div w:id="698356483">
                                                                  <w:marLeft w:val="0"/>
                                                                  <w:marRight w:val="0"/>
                                                                  <w:marTop w:val="0"/>
                                                                  <w:marBottom w:val="0"/>
                                                                  <w:divBdr>
                                                                    <w:top w:val="single" w:sz="2" w:space="0" w:color="E5E7EB"/>
                                                                    <w:left w:val="single" w:sz="2" w:space="0" w:color="E5E7EB"/>
                                                                    <w:bottom w:val="single" w:sz="2" w:space="0" w:color="E5E7EB"/>
                                                                    <w:right w:val="single" w:sz="2" w:space="0" w:color="E5E7EB"/>
                                                                  </w:divBdr>
                                                                  <w:divsChild>
                                                                    <w:div w:id="1659066192">
                                                                      <w:marLeft w:val="0"/>
                                                                      <w:marRight w:val="0"/>
                                                                      <w:marTop w:val="0"/>
                                                                      <w:marBottom w:val="0"/>
                                                                      <w:divBdr>
                                                                        <w:top w:val="single" w:sz="2" w:space="0" w:color="E5E7EB"/>
                                                                        <w:left w:val="single" w:sz="2" w:space="0" w:color="E5E7EB"/>
                                                                        <w:bottom w:val="single" w:sz="2" w:space="0" w:color="E5E7EB"/>
                                                                        <w:right w:val="single" w:sz="2" w:space="0" w:color="E5E7EB"/>
                                                                      </w:divBdr>
                                                                      <w:divsChild>
                                                                        <w:div w:id="1681007327">
                                                                          <w:marLeft w:val="0"/>
                                                                          <w:marRight w:val="0"/>
                                                                          <w:marTop w:val="0"/>
                                                                          <w:marBottom w:val="0"/>
                                                                          <w:divBdr>
                                                                            <w:top w:val="single" w:sz="2" w:space="0" w:color="E5E7EB"/>
                                                                            <w:left w:val="single" w:sz="2" w:space="0" w:color="E5E7EB"/>
                                                                            <w:bottom w:val="single" w:sz="2" w:space="0" w:color="E5E7EB"/>
                                                                            <w:right w:val="single" w:sz="2" w:space="0" w:color="E5E7EB"/>
                                                                          </w:divBdr>
                                                                          <w:divsChild>
                                                                            <w:div w:id="24060729">
                                                                              <w:marLeft w:val="0"/>
                                                                              <w:marRight w:val="0"/>
                                                                              <w:marTop w:val="0"/>
                                                                              <w:marBottom w:val="0"/>
                                                                              <w:divBdr>
                                                                                <w:top w:val="single" w:sz="2" w:space="0" w:color="E5E7EB"/>
                                                                                <w:left w:val="single" w:sz="2" w:space="0" w:color="E5E7EB"/>
                                                                                <w:bottom w:val="single" w:sz="2" w:space="0" w:color="E5E7EB"/>
                                                                                <w:right w:val="single" w:sz="2" w:space="0" w:color="E5E7EB"/>
                                                                              </w:divBdr>
                                                                              <w:divsChild>
                                                                                <w:div w:id="16175220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74144934">
                                                                  <w:marLeft w:val="0"/>
                                                                  <w:marRight w:val="0"/>
                                                                  <w:marTop w:val="0"/>
                                                                  <w:marBottom w:val="0"/>
                                                                  <w:divBdr>
                                                                    <w:top w:val="single" w:sz="2" w:space="0" w:color="E5E7EB"/>
                                                                    <w:left w:val="single" w:sz="2" w:space="0" w:color="E5E7EB"/>
                                                                    <w:bottom w:val="single" w:sz="2" w:space="0" w:color="E5E7EB"/>
                                                                    <w:right w:val="single" w:sz="2" w:space="0" w:color="E5E7EB"/>
                                                                  </w:divBdr>
                                                                  <w:divsChild>
                                                                    <w:div w:id="855734092">
                                                                      <w:marLeft w:val="0"/>
                                                                      <w:marRight w:val="0"/>
                                                                      <w:marTop w:val="0"/>
                                                                      <w:marBottom w:val="0"/>
                                                                      <w:divBdr>
                                                                        <w:top w:val="single" w:sz="2" w:space="0" w:color="E5E7EB"/>
                                                                        <w:left w:val="single" w:sz="2" w:space="0" w:color="E5E7EB"/>
                                                                        <w:bottom w:val="single" w:sz="2" w:space="0" w:color="E5E7EB"/>
                                                                        <w:right w:val="single" w:sz="2" w:space="0" w:color="E5E7EB"/>
                                                                      </w:divBdr>
                                                                      <w:divsChild>
                                                                        <w:div w:id="577129408">
                                                                          <w:marLeft w:val="0"/>
                                                                          <w:marRight w:val="0"/>
                                                                          <w:marTop w:val="0"/>
                                                                          <w:marBottom w:val="0"/>
                                                                          <w:divBdr>
                                                                            <w:top w:val="single" w:sz="2" w:space="0" w:color="E5E7EB"/>
                                                                            <w:left w:val="single" w:sz="2" w:space="0" w:color="E5E7EB"/>
                                                                            <w:bottom w:val="single" w:sz="2" w:space="0" w:color="E5E7EB"/>
                                                                            <w:right w:val="single" w:sz="2" w:space="0" w:color="E5E7EB"/>
                                                                          </w:divBdr>
                                                                          <w:divsChild>
                                                                            <w:div w:id="422649719">
                                                                              <w:marLeft w:val="0"/>
                                                                              <w:marRight w:val="0"/>
                                                                              <w:marTop w:val="0"/>
                                                                              <w:marBottom w:val="0"/>
                                                                              <w:divBdr>
                                                                                <w:top w:val="single" w:sz="2" w:space="0" w:color="E5E7EB"/>
                                                                                <w:left w:val="single" w:sz="2" w:space="0" w:color="E5E7EB"/>
                                                                                <w:bottom w:val="single" w:sz="2" w:space="0" w:color="E5E7EB"/>
                                                                                <w:right w:val="single" w:sz="2" w:space="0" w:color="E5E7EB"/>
                                                                              </w:divBdr>
                                                                              <w:divsChild>
                                                                                <w:div w:id="7738689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99939563">
                                                                          <w:marLeft w:val="0"/>
                                                                          <w:marRight w:val="0"/>
                                                                          <w:marTop w:val="0"/>
                                                                          <w:marBottom w:val="0"/>
                                                                          <w:divBdr>
                                                                            <w:top w:val="single" w:sz="2" w:space="0" w:color="E5E7EB"/>
                                                                            <w:left w:val="single" w:sz="2" w:space="0" w:color="E5E7EB"/>
                                                                            <w:bottom w:val="single" w:sz="2" w:space="0" w:color="E5E7EB"/>
                                                                            <w:right w:val="single" w:sz="2" w:space="0" w:color="E5E7EB"/>
                                                                          </w:divBdr>
                                                                          <w:divsChild>
                                                                            <w:div w:id="20058208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88891725">
                                                                          <w:marLeft w:val="0"/>
                                                                          <w:marRight w:val="0"/>
                                                                          <w:marTop w:val="0"/>
                                                                          <w:marBottom w:val="0"/>
                                                                          <w:divBdr>
                                                                            <w:top w:val="single" w:sz="2" w:space="0" w:color="E5E7EB"/>
                                                                            <w:left w:val="single" w:sz="2" w:space="0" w:color="E5E7EB"/>
                                                                            <w:bottom w:val="single" w:sz="2" w:space="0" w:color="E5E7EB"/>
                                                                            <w:right w:val="single" w:sz="2" w:space="0" w:color="E5E7EB"/>
                                                                          </w:divBdr>
                                                                          <w:divsChild>
                                                                            <w:div w:id="1963269427">
                                                                              <w:marLeft w:val="0"/>
                                                                              <w:marRight w:val="0"/>
                                                                              <w:marTop w:val="0"/>
                                                                              <w:marBottom w:val="0"/>
                                                                              <w:divBdr>
                                                                                <w:top w:val="single" w:sz="2" w:space="0" w:color="E5E7EB"/>
                                                                                <w:left w:val="single" w:sz="2" w:space="0" w:color="E5E7EB"/>
                                                                                <w:bottom w:val="single" w:sz="2" w:space="0" w:color="E5E7EB"/>
                                                                                <w:right w:val="single" w:sz="2" w:space="0" w:color="E5E7EB"/>
                                                                              </w:divBdr>
                                                                              <w:divsChild>
                                                                                <w:div w:id="16957648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3921861">
      <w:bodyDiv w:val="1"/>
      <w:marLeft w:val="0"/>
      <w:marRight w:val="0"/>
      <w:marTop w:val="0"/>
      <w:marBottom w:val="0"/>
      <w:divBdr>
        <w:top w:val="none" w:sz="0" w:space="0" w:color="auto"/>
        <w:left w:val="none" w:sz="0" w:space="0" w:color="auto"/>
        <w:bottom w:val="none" w:sz="0" w:space="0" w:color="auto"/>
        <w:right w:val="none" w:sz="0" w:space="0" w:color="auto"/>
      </w:divBdr>
    </w:div>
    <w:div w:id="2067146184">
      <w:bodyDiv w:val="1"/>
      <w:marLeft w:val="0"/>
      <w:marRight w:val="0"/>
      <w:marTop w:val="0"/>
      <w:marBottom w:val="0"/>
      <w:divBdr>
        <w:top w:val="none" w:sz="0" w:space="0" w:color="auto"/>
        <w:left w:val="none" w:sz="0" w:space="0" w:color="auto"/>
        <w:bottom w:val="none" w:sz="0" w:space="0" w:color="auto"/>
        <w:right w:val="none" w:sz="0" w:space="0" w:color="auto"/>
      </w:divBdr>
    </w:div>
    <w:div w:id="2109697357">
      <w:bodyDiv w:val="1"/>
      <w:marLeft w:val="0"/>
      <w:marRight w:val="0"/>
      <w:marTop w:val="0"/>
      <w:marBottom w:val="0"/>
      <w:divBdr>
        <w:top w:val="none" w:sz="0" w:space="0" w:color="auto"/>
        <w:left w:val="none" w:sz="0" w:space="0" w:color="auto"/>
        <w:bottom w:val="none" w:sz="0" w:space="0" w:color="auto"/>
        <w:right w:val="none" w:sz="0" w:space="0" w:color="auto"/>
      </w:divBdr>
    </w:div>
    <w:div w:id="2138445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7660/ActaHortic.2016.1134.1" TargetMode="External"/><Relationship Id="rId21" Type="http://schemas.openxmlformats.org/officeDocument/2006/relationships/hyperlink" Target="https://doi.org/10.1007/978-4-431-54439-5_5" TargetMode="External"/><Relationship Id="rId42" Type="http://schemas.openxmlformats.org/officeDocument/2006/relationships/hyperlink" Target="https://doi.org/10.1093/jxb/erac220" TargetMode="External"/><Relationship Id="rId47" Type="http://schemas.openxmlformats.org/officeDocument/2006/relationships/hyperlink" Target="https://doi.org/10.3390/ijms17101606" TargetMode="External"/><Relationship Id="rId63" Type="http://schemas.openxmlformats.org/officeDocument/2006/relationships/hyperlink" Target="https://doi.org/10.1016/j.jphotobiol.2018.09.011" TargetMode="External"/><Relationship Id="rId68" Type="http://schemas.openxmlformats.org/officeDocument/2006/relationships/hyperlink" Target="https://doi.org/10.3390/pharmaceutics15010159" TargetMode="External"/><Relationship Id="rId84" Type="http://schemas.openxmlformats.org/officeDocument/2006/relationships/hyperlink" Target="https://doi.org/10.1186/s12870-025-06621-8" TargetMode="External"/><Relationship Id="rId89" Type="http://schemas.openxmlformats.org/officeDocument/2006/relationships/hyperlink" Target="https://doi.org/10.1016/j.hpj.2022.11.012" TargetMode="External"/><Relationship Id="rId16" Type="http://schemas.openxmlformats.org/officeDocument/2006/relationships/image" Target="media/image7.png"/><Relationship Id="rId11" Type="http://schemas.openxmlformats.org/officeDocument/2006/relationships/image" Target="media/image2.png"/><Relationship Id="rId32" Type="http://schemas.openxmlformats.org/officeDocument/2006/relationships/hyperlink" Target="https://doi.org/10.1007/s10068-018-00550-z" TargetMode="External"/><Relationship Id="rId37" Type="http://schemas.openxmlformats.org/officeDocument/2006/relationships/hyperlink" Target="https://doi.org/10.1016/j.foodchem.2024.141084" TargetMode="External"/><Relationship Id="rId53" Type="http://schemas.openxmlformats.org/officeDocument/2006/relationships/hyperlink" Target="https://doi.org/10.3389/fpls.2023.1078128" TargetMode="External"/><Relationship Id="rId58" Type="http://schemas.openxmlformats.org/officeDocument/2006/relationships/hyperlink" Target="https://doi.org/10.3389/fpls.2021.619987" TargetMode="External"/><Relationship Id="rId74" Type="http://schemas.openxmlformats.org/officeDocument/2006/relationships/hyperlink" Target="https://doi.org/10.1177/1477153516642269" TargetMode="External"/><Relationship Id="rId79" Type="http://schemas.openxmlformats.org/officeDocument/2006/relationships/hyperlink" Target="https://doi.org/10.1007/s13580-022-00468-w" TargetMode="External"/><Relationship Id="rId5" Type="http://schemas.openxmlformats.org/officeDocument/2006/relationships/footnotes" Target="footnotes.xml"/><Relationship Id="rId90" Type="http://schemas.openxmlformats.org/officeDocument/2006/relationships/hyperlink" Target="https://doi.org/10.3390/plants14030454" TargetMode="External"/><Relationship Id="rId95" Type="http://schemas.openxmlformats.org/officeDocument/2006/relationships/hyperlink" Target="https://doi.org/10.1016/j.rser.2009.01.027" TargetMode="External"/><Relationship Id="rId22" Type="http://schemas.openxmlformats.org/officeDocument/2006/relationships/hyperlink" Target="https://doi.org/10.1007/978-3-031-35221-8_9" TargetMode="External"/><Relationship Id="rId27" Type="http://schemas.openxmlformats.org/officeDocument/2006/relationships/hyperlink" Target="https://doi.org/10.3390/plants11070844" TargetMode="External"/><Relationship Id="rId43" Type="http://schemas.openxmlformats.org/officeDocument/2006/relationships/hyperlink" Target="https://doi.org/10.3390/plants10081521" TargetMode="External"/><Relationship Id="rId48" Type="http://schemas.openxmlformats.org/officeDocument/2006/relationships/hyperlink" Target="https://doi.org/10.1016/j.indcrop.2022.115237" TargetMode="External"/><Relationship Id="rId64" Type="http://schemas.openxmlformats.org/officeDocument/2006/relationships/hyperlink" Target="https://doi.org/10.1080/17597269.2024.2361981" TargetMode="External"/><Relationship Id="rId69" Type="http://schemas.openxmlformats.org/officeDocument/2006/relationships/hyperlink" Target="https://doi.org/10.1007/s00344-021-10337-y" TargetMode="External"/><Relationship Id="rId80" Type="http://schemas.openxmlformats.org/officeDocument/2006/relationships/hyperlink" Target="https://doi.org/10.1016/j.jphotobiol.2019.111761" TargetMode="External"/><Relationship Id="rId85" Type="http://schemas.openxmlformats.org/officeDocument/2006/relationships/hyperlink" Target="https://doi.org/10.1111/tpj.15107" TargetMode="External"/><Relationship Id="rId12" Type="http://schemas.openxmlformats.org/officeDocument/2006/relationships/image" Target="media/image3.png"/><Relationship Id="rId17" Type="http://schemas.openxmlformats.org/officeDocument/2006/relationships/hyperlink" Target="https://doi.org/10.3389/fpls.2023.1285512" TargetMode="External"/><Relationship Id="rId25" Type="http://schemas.openxmlformats.org/officeDocument/2006/relationships/hyperlink" Target="https://doi.org/10.5897/AJB2015.14662" TargetMode="External"/><Relationship Id="rId33" Type="http://schemas.openxmlformats.org/officeDocument/2006/relationships/hyperlink" Target="https://doi.org/10.1590/1678-4499.20250133" TargetMode="External"/><Relationship Id="rId38" Type="http://schemas.openxmlformats.org/officeDocument/2006/relationships/hyperlink" Target="https://doi.org/10.1007/s11240-025-03082-7" TargetMode="External"/><Relationship Id="rId46" Type="http://schemas.openxmlformats.org/officeDocument/2006/relationships/hyperlink" Target="http://dx.doi.org/10.5376/tgmb.2024.14.0029" TargetMode="External"/><Relationship Id="rId59" Type="http://schemas.openxmlformats.org/officeDocument/2006/relationships/hyperlink" Target="https://doi.org/10.17660/ActaHortic.2015.1083.67" TargetMode="External"/><Relationship Id="rId67" Type="http://schemas.openxmlformats.org/officeDocument/2006/relationships/hyperlink" Target="https://doi.org/10.3389/fpls.2023.1190768" TargetMode="External"/><Relationship Id="rId20" Type="http://schemas.openxmlformats.org/officeDocument/2006/relationships/hyperlink" Target="https://doi.org/10.1016/j.jphotobiol.2019.02.010" TargetMode="External"/><Relationship Id="rId41" Type="http://schemas.openxmlformats.org/officeDocument/2006/relationships/hyperlink" Target="https://doi.org/10.3390/ph14020157" TargetMode="External"/><Relationship Id="rId54" Type="http://schemas.openxmlformats.org/officeDocument/2006/relationships/hyperlink" Target="https://doi.org/10.48130/tp-0024-0041" TargetMode="External"/><Relationship Id="rId62" Type="http://schemas.openxmlformats.org/officeDocument/2006/relationships/hyperlink" Target="https://doi.org/10.1111/j.1399-3054.1962.tb08052.x" TargetMode="External"/><Relationship Id="rId70" Type="http://schemas.openxmlformats.org/officeDocument/2006/relationships/hyperlink" Target="https://doi.org/10.3390/molecules26082158" TargetMode="External"/><Relationship Id="rId75" Type="http://schemas.openxmlformats.org/officeDocument/2006/relationships/hyperlink" Target="https://doi.org/10.3389/fpls.2023.1283730" TargetMode="External"/><Relationship Id="rId83" Type="http://schemas.openxmlformats.org/officeDocument/2006/relationships/hyperlink" Target="https://10.15740/HAS/AU/12.TECHSEAR(9)2017/000-000" TargetMode="External"/><Relationship Id="rId88" Type="http://schemas.openxmlformats.org/officeDocument/2006/relationships/hyperlink" Target="https://doi.org/10.1016/j.jphotobiol.2024.112939" TargetMode="External"/><Relationship Id="rId91" Type="http://schemas.openxmlformats.org/officeDocument/2006/relationships/hyperlink" Target="https://doi.org/10.3390/metabo14110577" TargetMode="External"/><Relationship Id="rId96" Type="http://schemas.openxmlformats.org/officeDocument/2006/relationships/hyperlink" Target="https://doi.org/10.3390/ijms24065253"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hyperlink" Target="https://doi.org/10.1016/j.heliyon.2021.e08525" TargetMode="External"/><Relationship Id="rId28" Type="http://schemas.openxmlformats.org/officeDocument/2006/relationships/hyperlink" Target="https://doi.org/10.3390/plants9101351" TargetMode="External"/><Relationship Id="rId36" Type="http://schemas.openxmlformats.org/officeDocument/2006/relationships/hyperlink" Target="https://doi.org/10.1002/fes3.97" TargetMode="External"/><Relationship Id="rId49" Type="http://schemas.openxmlformats.org/officeDocument/2006/relationships/hyperlink" Target="https://doi.org/10.3389/fnut.2022.894438" TargetMode="External"/><Relationship Id="rId57" Type="http://schemas.openxmlformats.org/officeDocument/2006/relationships/hyperlink" Target="https://doi.org/10.1590/1983-21252021v34n324rc" TargetMode="External"/><Relationship Id="rId10" Type="http://schemas.openxmlformats.org/officeDocument/2006/relationships/image" Target="media/image1.jpeg"/><Relationship Id="rId31" Type="http://schemas.openxmlformats.org/officeDocument/2006/relationships/hyperlink" Target="https://doi.org/10.1016/j.arabjc.2021.103151" TargetMode="External"/><Relationship Id="rId44" Type="http://schemas.openxmlformats.org/officeDocument/2006/relationships/hyperlink" Target="https://doi.org/10.1016/j.envexpbot.2015.04.001" TargetMode="External"/><Relationship Id="rId52" Type="http://schemas.openxmlformats.org/officeDocument/2006/relationships/hyperlink" Target="https://doi.org/10.1007/s11240-006-9191-2" TargetMode="External"/><Relationship Id="rId60" Type="http://schemas.openxmlformats.org/officeDocument/2006/relationships/hyperlink" Target="https://doi.org/10.1080/10426507.2024.2408774" TargetMode="External"/><Relationship Id="rId65" Type="http://schemas.openxmlformats.org/officeDocument/2006/relationships/hyperlink" Target="https://doi.org/10.1023/A:1022638508007" TargetMode="External"/><Relationship Id="rId73" Type="http://schemas.openxmlformats.org/officeDocument/2006/relationships/hyperlink" Target="https://doi.org/10.1016/j.molp.2020.11.021" TargetMode="External"/><Relationship Id="rId78" Type="http://schemas.openxmlformats.org/officeDocument/2006/relationships/hyperlink" Target="https://doi.org/10.1007/s11240-022-02408-z" TargetMode="External"/><Relationship Id="rId81" Type="http://schemas.openxmlformats.org/officeDocument/2006/relationships/hyperlink" Target="https://doi.org/10.3390/plants12152774" TargetMode="External"/><Relationship Id="rId86" Type="http://schemas.openxmlformats.org/officeDocument/2006/relationships/hyperlink" Target="https://doi.org/10.3389/fchem.2025.1543663" TargetMode="External"/><Relationship Id="rId94" Type="http://schemas.openxmlformats.org/officeDocument/2006/relationships/hyperlink" Target="https://doi.org/10.7717/peerj.17719" TargetMode="External"/><Relationship Id="rId99" Type="http://schemas.openxmlformats.org/officeDocument/2006/relationships/footer" Target="footer1.xm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orcid.org/0000-0001-5612-9186" TargetMode="External"/><Relationship Id="rId13" Type="http://schemas.openxmlformats.org/officeDocument/2006/relationships/image" Target="media/image4.png"/><Relationship Id="rId18" Type="http://schemas.openxmlformats.org/officeDocument/2006/relationships/hyperlink" Target="https://doi.org/10.3389/fpls.2022.846294" TargetMode="External"/><Relationship Id="rId39" Type="http://schemas.openxmlformats.org/officeDocument/2006/relationships/hyperlink" Target="https://doi.org/10.1146/annurev-arplant-043015-112252" TargetMode="External"/><Relationship Id="rId34" Type="http://schemas.openxmlformats.org/officeDocument/2006/relationships/hyperlink" Target="https://doi.org/10.1007/s11240-023-02658-5" TargetMode="External"/><Relationship Id="rId50" Type="http://schemas.openxmlformats.org/officeDocument/2006/relationships/hyperlink" Target="https://doi.org/10.1038/s41598-025-96167-4" TargetMode="External"/><Relationship Id="rId55" Type="http://schemas.openxmlformats.org/officeDocument/2006/relationships/hyperlink" Target="https://doi.org/10.32615/ps.2021.041" TargetMode="External"/><Relationship Id="rId76" Type="http://schemas.openxmlformats.org/officeDocument/2006/relationships/hyperlink" Target="https://doi.org/10.1016/j.foodres.2020.110081" TargetMode="External"/><Relationship Id="rId97" Type="http://schemas.openxmlformats.org/officeDocument/2006/relationships/hyperlink" Target="https://doi.org/10.3389/fpls.2017.00917" TargetMode="External"/><Relationship Id="rId7" Type="http://schemas.openxmlformats.org/officeDocument/2006/relationships/hyperlink" Target="https://orcid.org/0000-0002-0607-5236" TargetMode="External"/><Relationship Id="rId71" Type="http://schemas.openxmlformats.org/officeDocument/2006/relationships/hyperlink" Target="https://doi.org/10.3390/plants12132544" TargetMode="External"/><Relationship Id="rId92" Type="http://schemas.openxmlformats.org/officeDocument/2006/relationships/hyperlink" Target="https://doi.org/10.1111/php.12663" TargetMode="External"/><Relationship Id="rId2" Type="http://schemas.openxmlformats.org/officeDocument/2006/relationships/styles" Target="styles.xml"/><Relationship Id="rId29" Type="http://schemas.openxmlformats.org/officeDocument/2006/relationships/hyperlink" Target="https://doi.org/10.7717/peerj.19720" TargetMode="External"/><Relationship Id="rId24" Type="http://schemas.openxmlformats.org/officeDocument/2006/relationships/hyperlink" Target="https://doi.org/10.1016/j.scienta.2019.109000" TargetMode="External"/><Relationship Id="rId40" Type="http://schemas.openxmlformats.org/officeDocument/2006/relationships/hyperlink" Target="https://doi.org/10.3390/agronomy9080434" TargetMode="External"/><Relationship Id="rId45" Type="http://schemas.openxmlformats.org/officeDocument/2006/relationships/hyperlink" Target="https://doi.org/10.1093/jxb/erq132" TargetMode="External"/><Relationship Id="rId66" Type="http://schemas.openxmlformats.org/officeDocument/2006/relationships/hyperlink" Target="https://doi.org/10.3389/fpls.2018.00777" TargetMode="External"/><Relationship Id="rId87" Type="http://schemas.openxmlformats.org/officeDocument/2006/relationships/hyperlink" Target="https://doi.org/10.1007/s00253-021-11539-w" TargetMode="External"/><Relationship Id="rId61" Type="http://schemas.openxmlformats.org/officeDocument/2006/relationships/hyperlink" Target="https://doi.org/10.3389/fpls.2020.607007" TargetMode="External"/><Relationship Id="rId82" Type="http://schemas.openxmlformats.org/officeDocument/2006/relationships/hyperlink" Target="https://doi.org/10.1002/fsn3.3735" TargetMode="External"/><Relationship Id="rId19" Type="http://schemas.openxmlformats.org/officeDocument/2006/relationships/hyperlink" Target="https://doi.org/10.3390/plants13192774" TargetMode="External"/><Relationship Id="rId14" Type="http://schemas.openxmlformats.org/officeDocument/2006/relationships/image" Target="media/image5.png"/><Relationship Id="rId30" Type="http://schemas.openxmlformats.org/officeDocument/2006/relationships/hyperlink" Target="https://doi.org/10.3390/molecules29235676" TargetMode="External"/><Relationship Id="rId35" Type="http://schemas.openxmlformats.org/officeDocument/2006/relationships/hyperlink" Target="https://doi.org/10.3390/agronomy9060307" TargetMode="External"/><Relationship Id="rId56" Type="http://schemas.openxmlformats.org/officeDocument/2006/relationships/hyperlink" Target="https://doi.org/10.1042/bst0110591" TargetMode="External"/><Relationship Id="rId77" Type="http://schemas.openxmlformats.org/officeDocument/2006/relationships/hyperlink" Target="https://doi.org/10.1093/plphys/kiad228" TargetMode="External"/><Relationship Id="rId100" Type="http://schemas.openxmlformats.org/officeDocument/2006/relationships/fontTable" Target="fontTable.xml"/><Relationship Id="rId8" Type="http://schemas.openxmlformats.org/officeDocument/2006/relationships/hyperlink" Target="mailto:clairvilevens1@gmail.com" TargetMode="External"/><Relationship Id="rId51" Type="http://schemas.openxmlformats.org/officeDocument/2006/relationships/hyperlink" Target="https://doi.org/10.1104/pp.013847" TargetMode="External"/><Relationship Id="rId72" Type="http://schemas.openxmlformats.org/officeDocument/2006/relationships/hyperlink" Target="https://doi.org/10.1093/hr/uhae262" TargetMode="External"/><Relationship Id="rId93" Type="http://schemas.openxmlformats.org/officeDocument/2006/relationships/hyperlink" Target="https://doi.org/10.1007/s12298-025-01596-0" TargetMode="External"/><Relationship Id="rId98" Type="http://schemas.openxmlformats.org/officeDocument/2006/relationships/hyperlink" Target="https://doi.org/10.3390/genes16040375"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89B5E-D52A-45C8-A0E0-50594756E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1014</TotalTime>
  <Pages>30</Pages>
  <Words>13685</Words>
  <Characters>73905</Characters>
  <Application>Microsoft Office Word</Application>
  <DocSecurity>0</DocSecurity>
  <Lines>615</Lines>
  <Paragraphs>174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Clairvil Evens</cp:lastModifiedBy>
  <cp:revision>151</cp:revision>
  <dcterms:created xsi:type="dcterms:W3CDTF">2025-11-10T12:54:00Z</dcterms:created>
  <dcterms:modified xsi:type="dcterms:W3CDTF">2026-07-06T16:20:00Z</dcterms:modified>
</cp:coreProperties>
</file>