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EEA" w:rsidRDefault="003E0EEA" w:rsidP="003E0EEA">
      <w:pPr>
        <w:spacing w:line="480" w:lineRule="auto"/>
        <w:jc w:val="both"/>
        <w:rPr>
          <w:rFonts w:asciiTheme="majorBidi" w:hAnsiTheme="majorBidi" w:cstheme="majorBidi"/>
          <w:b/>
          <w:bCs/>
          <w:sz w:val="24"/>
          <w:szCs w:val="24"/>
        </w:rPr>
      </w:pPr>
      <w:r w:rsidRPr="0060036C">
        <w:rPr>
          <w:rFonts w:asciiTheme="majorBidi" w:hAnsiTheme="majorBidi" w:cstheme="majorBidi"/>
          <w:b/>
          <w:bCs/>
          <w:sz w:val="24"/>
          <w:szCs w:val="24"/>
        </w:rPr>
        <w:t>Supplementary material</w:t>
      </w:r>
    </w:p>
    <w:p w:rsidR="003E0EEA" w:rsidRDefault="003E0EEA" w:rsidP="003E0EEA">
      <w:pPr>
        <w:spacing w:line="480" w:lineRule="auto"/>
        <w:jc w:val="both"/>
        <w:rPr>
          <w:rFonts w:asciiTheme="majorBidi" w:hAnsiTheme="majorBidi" w:cstheme="majorBidi"/>
          <w:b/>
          <w:bCs/>
          <w:sz w:val="24"/>
          <w:szCs w:val="24"/>
        </w:rPr>
      </w:pPr>
      <w:r>
        <w:rPr>
          <w:rFonts w:asciiTheme="majorBidi" w:hAnsiTheme="majorBidi" w:cstheme="majorBidi"/>
          <w:b/>
          <w:bCs/>
          <w:noProof/>
          <w:sz w:val="24"/>
          <w:szCs w:val="24"/>
          <w:lang w:val="en-IN" w:eastAsia="en-IN"/>
        </w:rPr>
        <w:drawing>
          <wp:inline distT="0" distB="0" distL="0" distR="0" wp14:anchorId="77980B5A" wp14:editId="1EF8760E">
            <wp:extent cx="6120000" cy="2294801"/>
            <wp:effectExtent l="0" t="0" r="0" b="0"/>
            <wp:docPr id="306650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20000" cy="2294801"/>
                    </a:xfrm>
                    <a:prstGeom prst="rect">
                      <a:avLst/>
                    </a:prstGeom>
                    <a:noFill/>
                  </pic:spPr>
                </pic:pic>
              </a:graphicData>
            </a:graphic>
          </wp:inline>
        </w:drawing>
      </w:r>
    </w:p>
    <w:p w:rsidR="003E0EEA" w:rsidRPr="00977EBC" w:rsidRDefault="003E0EEA" w:rsidP="003E0EEA">
      <w:pPr>
        <w:spacing w:line="480" w:lineRule="auto"/>
        <w:jc w:val="center"/>
        <w:rPr>
          <w:rFonts w:asciiTheme="majorBidi" w:hAnsiTheme="majorBidi" w:cstheme="majorBidi"/>
          <w:sz w:val="24"/>
          <w:szCs w:val="24"/>
        </w:rPr>
      </w:pPr>
      <w:r>
        <w:rPr>
          <w:rFonts w:asciiTheme="majorBidi" w:hAnsiTheme="majorBidi" w:cstheme="majorBidi"/>
          <w:sz w:val="24"/>
          <w:szCs w:val="24"/>
        </w:rPr>
        <w:t>Figure S1. Pressure drop calculations for a grid independence tests performed for 10 PPI (left) and 20 PPI OCF (right)</w:t>
      </w:r>
    </w:p>
    <w:p w:rsidR="003E0EEA" w:rsidRDefault="003E0EEA" w:rsidP="003E0EEA">
      <w:pPr>
        <w:spacing w:line="480" w:lineRule="auto"/>
        <w:ind w:left="360"/>
        <w:jc w:val="center"/>
        <w:rPr>
          <w:rFonts w:asciiTheme="majorBidi" w:hAnsiTheme="majorBidi" w:cstheme="majorBidi"/>
          <w:b/>
          <w:bCs/>
          <w:sz w:val="24"/>
          <w:szCs w:val="24"/>
        </w:rPr>
      </w:pPr>
      <w:r>
        <w:rPr>
          <w:rFonts w:asciiTheme="majorBidi" w:hAnsiTheme="majorBidi" w:cstheme="majorBidi"/>
          <w:b/>
          <w:bCs/>
          <w:noProof/>
          <w:sz w:val="24"/>
          <w:szCs w:val="24"/>
          <w:lang w:val="en-IN" w:eastAsia="en-IN"/>
        </w:rPr>
        <w:drawing>
          <wp:inline distT="0" distB="0" distL="0" distR="0" wp14:anchorId="3CD5C264" wp14:editId="6F8F3EDB">
            <wp:extent cx="6120000" cy="2039843"/>
            <wp:effectExtent l="0" t="0" r="0" b="0"/>
            <wp:docPr id="3267061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000" cy="2039843"/>
                    </a:xfrm>
                    <a:prstGeom prst="rect">
                      <a:avLst/>
                    </a:prstGeom>
                    <a:noFill/>
                  </pic:spPr>
                </pic:pic>
              </a:graphicData>
            </a:graphic>
          </wp:inline>
        </w:drawing>
      </w:r>
    </w:p>
    <w:p w:rsidR="003E0EEA" w:rsidRDefault="003E0EEA" w:rsidP="003E0EEA">
      <w:pPr>
        <w:spacing w:line="480" w:lineRule="auto"/>
        <w:ind w:left="360"/>
        <w:jc w:val="center"/>
        <w:rPr>
          <w:rFonts w:asciiTheme="majorBidi" w:hAnsiTheme="majorBidi" w:cstheme="majorBidi"/>
          <w:b/>
          <w:bCs/>
          <w:sz w:val="24"/>
          <w:szCs w:val="24"/>
        </w:rPr>
      </w:pPr>
      <w:r>
        <w:rPr>
          <w:rFonts w:asciiTheme="majorBidi" w:hAnsiTheme="majorBidi" w:cstheme="majorBidi"/>
          <w:b/>
          <w:bCs/>
          <w:sz w:val="24"/>
          <w:szCs w:val="24"/>
        </w:rPr>
        <w:t xml:space="preserve">Figure S2. </w:t>
      </w:r>
      <w:r>
        <w:rPr>
          <w:rFonts w:ascii="Times New Roman" w:hAnsi="Times New Roman" w:cs="Times New Roman"/>
          <w:sz w:val="24"/>
          <w:szCs w:val="24"/>
        </w:rPr>
        <w:t>Comparison between the obtained displacement distributions of gas flow within 10 PPI open-cell foam for different flow rates of 0.5 and SL/min from NMR experimental measurements and stationary CFD simulations.</w:t>
      </w:r>
    </w:p>
    <w:p w:rsidR="003E0EEA" w:rsidRDefault="003E0EEA" w:rsidP="003E0EEA">
      <w:pPr>
        <w:spacing w:line="480" w:lineRule="auto"/>
        <w:ind w:left="360"/>
        <w:jc w:val="center"/>
        <w:rPr>
          <w:rFonts w:asciiTheme="majorBidi" w:hAnsiTheme="majorBidi" w:cstheme="majorBidi"/>
          <w:b/>
          <w:bCs/>
          <w:sz w:val="24"/>
          <w:szCs w:val="24"/>
        </w:rPr>
      </w:pPr>
      <w:r>
        <w:rPr>
          <w:rFonts w:asciiTheme="majorBidi" w:hAnsiTheme="majorBidi" w:cstheme="majorBidi"/>
          <w:b/>
          <w:bCs/>
          <w:noProof/>
          <w:sz w:val="24"/>
          <w:szCs w:val="24"/>
          <w:lang w:val="en-IN" w:eastAsia="en-IN"/>
        </w:rPr>
        <w:lastRenderedPageBreak/>
        <w:drawing>
          <wp:inline distT="0" distB="0" distL="0" distR="0" wp14:anchorId="656B512A" wp14:editId="6115B0F7">
            <wp:extent cx="6120000" cy="4084407"/>
            <wp:effectExtent l="0" t="0" r="0" b="0"/>
            <wp:docPr id="11868630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000" cy="4084407"/>
                    </a:xfrm>
                    <a:prstGeom prst="rect">
                      <a:avLst/>
                    </a:prstGeom>
                    <a:noFill/>
                  </pic:spPr>
                </pic:pic>
              </a:graphicData>
            </a:graphic>
          </wp:inline>
        </w:drawing>
      </w:r>
    </w:p>
    <w:p w:rsidR="003E0EEA" w:rsidRDefault="003E0EEA" w:rsidP="003E0EEA">
      <w:pPr>
        <w:spacing w:line="480" w:lineRule="auto"/>
        <w:ind w:left="360"/>
        <w:jc w:val="center"/>
        <w:rPr>
          <w:rFonts w:asciiTheme="majorBidi" w:hAnsiTheme="majorBidi" w:cstheme="majorBidi"/>
          <w:sz w:val="24"/>
          <w:szCs w:val="24"/>
        </w:rPr>
      </w:pPr>
      <w:r>
        <w:rPr>
          <w:rFonts w:asciiTheme="majorBidi" w:hAnsiTheme="majorBidi" w:cstheme="majorBidi"/>
          <w:sz w:val="24"/>
          <w:szCs w:val="24"/>
        </w:rPr>
        <w:t xml:space="preserve">Figure S3. </w:t>
      </w:r>
      <w:r>
        <w:rPr>
          <w:rFonts w:ascii="Times New Roman" w:hAnsi="Times New Roman" w:cs="Times New Roman"/>
          <w:sz w:val="24"/>
          <w:szCs w:val="24"/>
        </w:rPr>
        <w:t>Comparison between the obtained displacement distributions of gas flow within 20 PPI open-cell foam for different flow rates of 0.1, 0.5, 1 and 1.5 SL/min from NMR experimental measurements and CFD-PT simulations</w:t>
      </w:r>
    </w:p>
    <w:p w:rsidR="003E0EEA" w:rsidRDefault="003E0EEA" w:rsidP="003E0EEA">
      <w:pPr>
        <w:spacing w:line="480" w:lineRule="auto"/>
        <w:rPr>
          <w:rFonts w:ascii="Times New Roman" w:hAnsi="Times New Roman" w:cs="Times New Roman"/>
          <w:sz w:val="24"/>
          <w:szCs w:val="24"/>
        </w:rPr>
      </w:pPr>
    </w:p>
    <w:p w:rsidR="003E0EEA" w:rsidRDefault="003E0EEA" w:rsidP="003E0EEA">
      <w:pPr>
        <w:spacing w:line="480" w:lineRule="auto"/>
        <w:rPr>
          <w:rFonts w:ascii="Times New Roman" w:hAnsi="Times New Roman" w:cs="Times New Roman"/>
          <w:sz w:val="24"/>
          <w:szCs w:val="24"/>
        </w:rPr>
      </w:pPr>
    </w:p>
    <w:p w:rsidR="003E0EEA" w:rsidRDefault="003E0EEA" w:rsidP="003E0EEA">
      <w:pPr>
        <w:spacing w:line="480" w:lineRule="auto"/>
        <w:rPr>
          <w:rFonts w:ascii="Times New Roman" w:hAnsi="Times New Roman" w:cs="Times New Roman"/>
          <w:sz w:val="24"/>
          <w:szCs w:val="24"/>
        </w:rPr>
      </w:pPr>
    </w:p>
    <w:p w:rsidR="003E0EEA" w:rsidRDefault="003E0EEA" w:rsidP="003E0EEA">
      <w:pPr>
        <w:spacing w:line="480" w:lineRule="auto"/>
        <w:rPr>
          <w:rFonts w:ascii="Times New Roman" w:hAnsi="Times New Roman" w:cs="Times New Roman"/>
          <w:sz w:val="24"/>
          <w:szCs w:val="24"/>
        </w:rPr>
      </w:pPr>
      <w:r>
        <w:rPr>
          <w:rFonts w:ascii="Times New Roman" w:hAnsi="Times New Roman" w:cs="Times New Roman"/>
          <w:noProof/>
          <w:sz w:val="24"/>
          <w:szCs w:val="24"/>
          <w:lang w:val="en-IN" w:eastAsia="en-IN"/>
        </w:rPr>
        <w:lastRenderedPageBreak/>
        <w:drawing>
          <wp:inline distT="0" distB="0" distL="0" distR="0" wp14:anchorId="1832E579" wp14:editId="739A2274">
            <wp:extent cx="6120000" cy="2039843"/>
            <wp:effectExtent l="0" t="0" r="0" b="0"/>
            <wp:docPr id="10395701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000" cy="2039843"/>
                    </a:xfrm>
                    <a:prstGeom prst="rect">
                      <a:avLst/>
                    </a:prstGeom>
                    <a:noFill/>
                  </pic:spPr>
                </pic:pic>
              </a:graphicData>
            </a:graphic>
          </wp:inline>
        </w:drawing>
      </w:r>
    </w:p>
    <w:p w:rsidR="003E0EEA" w:rsidRDefault="003E0EEA" w:rsidP="003E0EEA">
      <w:pPr>
        <w:spacing w:line="480" w:lineRule="auto"/>
        <w:jc w:val="center"/>
        <w:rPr>
          <w:rFonts w:ascii="Times New Roman" w:hAnsi="Times New Roman" w:cs="Times New Roman"/>
          <w:sz w:val="24"/>
          <w:szCs w:val="24"/>
        </w:rPr>
      </w:pPr>
      <w:r>
        <w:rPr>
          <w:rFonts w:ascii="Times New Roman" w:hAnsi="Times New Roman" w:cs="Times New Roman"/>
          <w:sz w:val="24"/>
          <w:szCs w:val="24"/>
        </w:rPr>
        <w:t>Figure S4. The effect of ROI sizes on the displacement distributions (a) and relative deviations of FWHM from the NMR data(b).  The green column in section b show the size of ROI interest which had slightly better agreement compared to the considered size of ROI (15</w:t>
      </w:r>
      <w:r>
        <w:rPr>
          <w:rFonts w:ascii="Arial" w:hAnsi="Arial" w:cs="Arial"/>
          <w:sz w:val="24"/>
          <w:szCs w:val="24"/>
        </w:rPr>
        <w:t>×15×14 mm)</w:t>
      </w:r>
    </w:p>
    <w:p w:rsidR="003E0EEA" w:rsidRDefault="003E0EEA" w:rsidP="003E0EEA">
      <w:pPr>
        <w:spacing w:line="480" w:lineRule="auto"/>
        <w:rPr>
          <w:rFonts w:ascii="Times New Roman" w:hAnsi="Times New Roman" w:cs="Times New Roman"/>
          <w:sz w:val="24"/>
          <w:szCs w:val="24"/>
        </w:rPr>
      </w:pPr>
    </w:p>
    <w:p w:rsidR="003E0EEA" w:rsidRDefault="003E0EEA" w:rsidP="003E0EEA">
      <w:pPr>
        <w:spacing w:line="480" w:lineRule="auto"/>
        <w:rPr>
          <w:rFonts w:ascii="Times New Roman" w:hAnsi="Times New Roman" w:cs="Times New Roman"/>
          <w:sz w:val="24"/>
          <w:szCs w:val="24"/>
        </w:rPr>
      </w:pPr>
    </w:p>
    <w:p w:rsidR="003E0EEA" w:rsidRDefault="003E0EEA" w:rsidP="003E0EEA">
      <w:pPr>
        <w:spacing w:line="480" w:lineRule="auto"/>
        <w:rPr>
          <w:rFonts w:ascii="Times New Roman" w:hAnsi="Times New Roman" w:cs="Times New Roman"/>
          <w:sz w:val="24"/>
          <w:szCs w:val="24"/>
        </w:rPr>
      </w:pPr>
    </w:p>
    <w:p w:rsidR="003E0EEA" w:rsidRDefault="003E0EEA" w:rsidP="003E0EEA">
      <w:pPr>
        <w:spacing w:line="480" w:lineRule="auto"/>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7B28B1A0" wp14:editId="63334022">
            <wp:extent cx="6120000" cy="2039843"/>
            <wp:effectExtent l="0" t="0" r="0" b="0"/>
            <wp:docPr id="8205076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000" cy="2039843"/>
                    </a:xfrm>
                    <a:prstGeom prst="rect">
                      <a:avLst/>
                    </a:prstGeom>
                    <a:noFill/>
                  </pic:spPr>
                </pic:pic>
              </a:graphicData>
            </a:graphic>
          </wp:inline>
        </w:drawing>
      </w:r>
    </w:p>
    <w:p w:rsidR="003E0EEA" w:rsidRDefault="003E0EEA" w:rsidP="003E0EEA">
      <w:pPr>
        <w:spacing w:line="480" w:lineRule="auto"/>
        <w:jc w:val="center"/>
        <w:rPr>
          <w:rFonts w:ascii="Times New Roman" w:hAnsi="Times New Roman" w:cs="Times New Roman"/>
          <w:sz w:val="24"/>
          <w:szCs w:val="24"/>
        </w:rPr>
      </w:pPr>
      <w:r>
        <w:rPr>
          <w:rFonts w:ascii="Times New Roman" w:hAnsi="Times New Roman" w:cs="Times New Roman"/>
          <w:sz w:val="24"/>
          <w:szCs w:val="24"/>
        </w:rPr>
        <w:t>Figure S5. The effect of ROI position on the displacement distribution (a) and the relative deviation of FWHM from NMR data (b)</w:t>
      </w:r>
    </w:p>
    <w:p w:rsidR="003E0EEA" w:rsidRDefault="003E0EEA" w:rsidP="003E0EEA">
      <w:pPr>
        <w:spacing w:line="480" w:lineRule="auto"/>
        <w:rPr>
          <w:rFonts w:asciiTheme="majorBidi" w:hAnsiTheme="majorBidi" w:cstheme="majorBidi"/>
          <w:b/>
          <w:bCs/>
          <w:sz w:val="24"/>
          <w:szCs w:val="24"/>
        </w:rPr>
      </w:pPr>
    </w:p>
    <w:p w:rsidR="003E0EEA" w:rsidRDefault="003E0EEA" w:rsidP="003E0EEA">
      <w:pPr>
        <w:spacing w:line="480" w:lineRule="auto"/>
        <w:ind w:left="360"/>
        <w:jc w:val="center"/>
        <w:rPr>
          <w:rFonts w:asciiTheme="majorBidi" w:hAnsiTheme="majorBidi" w:cstheme="majorBidi"/>
          <w:b/>
          <w:bCs/>
          <w:sz w:val="24"/>
          <w:szCs w:val="24"/>
        </w:rPr>
      </w:pPr>
      <w:r>
        <w:rPr>
          <w:rFonts w:asciiTheme="majorBidi" w:hAnsiTheme="majorBidi" w:cstheme="majorBidi"/>
          <w:b/>
          <w:bCs/>
          <w:noProof/>
          <w:sz w:val="24"/>
          <w:szCs w:val="24"/>
          <w:lang w:val="en-IN" w:eastAsia="en-IN"/>
        </w:rPr>
        <w:lastRenderedPageBreak/>
        <w:drawing>
          <wp:inline distT="0" distB="0" distL="0" distR="0" wp14:anchorId="40303FAE" wp14:editId="1607BC32">
            <wp:extent cx="4023995" cy="2743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23995" cy="2743200"/>
                    </a:xfrm>
                    <a:prstGeom prst="rect">
                      <a:avLst/>
                    </a:prstGeom>
                    <a:noFill/>
                  </pic:spPr>
                </pic:pic>
              </a:graphicData>
            </a:graphic>
          </wp:inline>
        </w:drawing>
      </w:r>
    </w:p>
    <w:p w:rsidR="003E0EEA" w:rsidRDefault="003E0EEA" w:rsidP="003E0EEA">
      <w:pPr>
        <w:spacing w:line="480" w:lineRule="auto"/>
        <w:ind w:left="360"/>
        <w:jc w:val="center"/>
        <w:rPr>
          <w:rFonts w:asciiTheme="majorBidi" w:hAnsiTheme="majorBidi" w:cstheme="majorBidi"/>
          <w:sz w:val="24"/>
          <w:szCs w:val="24"/>
        </w:rPr>
      </w:pPr>
      <w:r>
        <w:rPr>
          <w:rFonts w:asciiTheme="majorBidi" w:hAnsiTheme="majorBidi" w:cstheme="majorBidi"/>
          <w:sz w:val="24"/>
          <w:szCs w:val="24"/>
        </w:rPr>
        <w:t xml:space="preserve">Figure S6. </w:t>
      </w:r>
      <w:r>
        <w:rPr>
          <w:rFonts w:ascii="Times New Roman" w:hAnsi="Times New Roman" w:cs="Times New Roman"/>
          <w:sz w:val="24"/>
          <w:szCs w:val="24"/>
        </w:rPr>
        <w:t>Result of the obtained displacement distribution from CFD-PT simulation and NMR measurements for flow rates of a. 0.5 SL/min through an empty pipe.</w:t>
      </w:r>
    </w:p>
    <w:p w:rsidR="003E0EEA" w:rsidRDefault="003E0EEA" w:rsidP="003E0EEA">
      <w:pPr>
        <w:spacing w:line="480" w:lineRule="auto"/>
        <w:jc w:val="both"/>
        <w:rPr>
          <w:rFonts w:asciiTheme="majorBidi" w:hAnsiTheme="majorBidi" w:cstheme="majorBidi"/>
          <w:sz w:val="24"/>
          <w:szCs w:val="24"/>
          <w:lang w:val="en-GB"/>
        </w:rPr>
      </w:pPr>
      <w:r>
        <w:rPr>
          <w:rFonts w:asciiTheme="majorBidi" w:hAnsiTheme="majorBidi" w:cstheme="majorBidi"/>
          <w:noProof/>
          <w:sz w:val="24"/>
          <w:szCs w:val="24"/>
          <w:lang w:val="en-IN" w:eastAsia="en-IN"/>
        </w:rPr>
        <w:lastRenderedPageBreak/>
        <w:drawing>
          <wp:inline distT="0" distB="0" distL="0" distR="0" wp14:anchorId="41CB96AB" wp14:editId="3A5FE30E">
            <wp:extent cx="6120000" cy="6184962"/>
            <wp:effectExtent l="0" t="0" r="0" b="6350"/>
            <wp:docPr id="3470169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000" cy="6184962"/>
                    </a:xfrm>
                    <a:prstGeom prst="rect">
                      <a:avLst/>
                    </a:prstGeom>
                    <a:noFill/>
                  </pic:spPr>
                </pic:pic>
              </a:graphicData>
            </a:graphic>
          </wp:inline>
        </w:drawing>
      </w:r>
    </w:p>
    <w:p w:rsidR="003E0EEA" w:rsidRPr="00C774CD" w:rsidRDefault="003E0EEA" w:rsidP="003E0EEA">
      <w:pPr>
        <w:spacing w:line="480" w:lineRule="auto"/>
        <w:jc w:val="center"/>
        <w:rPr>
          <w:rFonts w:asciiTheme="majorBidi" w:hAnsiTheme="majorBidi" w:cstheme="majorBidi"/>
          <w:sz w:val="24"/>
          <w:szCs w:val="24"/>
          <w:lang w:val="en-GB"/>
        </w:rPr>
      </w:pPr>
      <w:r>
        <w:rPr>
          <w:rFonts w:asciiTheme="majorBidi" w:hAnsiTheme="majorBidi" w:cstheme="majorBidi"/>
          <w:sz w:val="24"/>
          <w:szCs w:val="24"/>
          <w:lang w:val="en-GB"/>
        </w:rPr>
        <w:t>Figure S7. The influence of the implemented molecular diffusion coefficients on the quality of agreement with NMR data. The upper and middle panels show the displacement distribution within 10 PPI and 20 PPI OCFs and flo</w:t>
      </w:r>
      <w:bookmarkStart w:id="0" w:name="_GoBack"/>
      <w:bookmarkEnd w:id="0"/>
      <w:r>
        <w:rPr>
          <w:rFonts w:asciiTheme="majorBidi" w:hAnsiTheme="majorBidi" w:cstheme="majorBidi"/>
          <w:sz w:val="24"/>
          <w:szCs w:val="24"/>
          <w:lang w:val="en-GB"/>
        </w:rPr>
        <w:t xml:space="preserve">w rate of 1.5 SL/min, respectively. Two panels in the bottom show the comparison of </w:t>
      </w:r>
      <w:r>
        <w:rPr>
          <w:rFonts w:asciiTheme="majorBidi" w:hAnsiTheme="majorBidi" w:cstheme="majorBidi"/>
          <w:i/>
          <w:iCs/>
          <w:sz w:val="24"/>
          <w:szCs w:val="24"/>
          <w:lang w:val="en-GB"/>
        </w:rPr>
        <w:t>D</w:t>
      </w:r>
      <w:r>
        <w:rPr>
          <w:rFonts w:asciiTheme="majorBidi" w:hAnsiTheme="majorBidi" w:cstheme="majorBidi"/>
          <w:sz w:val="24"/>
          <w:szCs w:val="24"/>
          <w:vertAlign w:val="subscript"/>
          <w:lang w:val="en-GB"/>
        </w:rPr>
        <w:t xml:space="preserve">ax </w:t>
      </w:r>
      <w:r>
        <w:rPr>
          <w:rFonts w:asciiTheme="majorBidi" w:hAnsiTheme="majorBidi" w:cstheme="majorBidi"/>
          <w:sz w:val="24"/>
          <w:szCs w:val="24"/>
          <w:lang w:val="en-GB"/>
        </w:rPr>
        <w:t xml:space="preserve">/ </w:t>
      </w:r>
      <w:r>
        <w:rPr>
          <w:rFonts w:asciiTheme="majorBidi" w:hAnsiTheme="majorBidi" w:cstheme="majorBidi"/>
          <w:i/>
          <w:iCs/>
          <w:sz w:val="24"/>
          <w:szCs w:val="24"/>
          <w:lang w:val="en-GB"/>
        </w:rPr>
        <w:t>D</w:t>
      </w:r>
      <w:r>
        <w:rPr>
          <w:rFonts w:asciiTheme="majorBidi" w:hAnsiTheme="majorBidi" w:cstheme="majorBidi"/>
          <w:sz w:val="24"/>
          <w:szCs w:val="24"/>
          <w:vertAlign w:val="subscript"/>
          <w:lang w:val="en-GB"/>
        </w:rPr>
        <w:t>eff</w:t>
      </w:r>
      <w:r>
        <w:rPr>
          <w:rFonts w:asciiTheme="majorBidi" w:hAnsiTheme="majorBidi" w:cstheme="majorBidi"/>
          <w:sz w:val="24"/>
          <w:szCs w:val="24"/>
          <w:lang w:val="en-GB"/>
        </w:rPr>
        <w:t xml:space="preserve"> values of CFD-PT with NMR data for all of the investigated OCFs and flow rates.</w:t>
      </w:r>
    </w:p>
    <w:p w:rsidR="008D1218" w:rsidRDefault="008D1218"/>
    <w:sectPr w:rsidR="008D1218">
      <w:footerReference w:type="defaul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6323306"/>
      <w:docPartObj>
        <w:docPartGallery w:val="Page Numbers (Bottom of Page)"/>
        <w:docPartUnique/>
      </w:docPartObj>
    </w:sdtPr>
    <w:sdtEndPr>
      <w:rPr>
        <w:noProof/>
      </w:rPr>
    </w:sdtEndPr>
    <w:sdtContent>
      <w:p w:rsidR="000C5720" w:rsidRDefault="003E0EEA">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rsidR="000C5720" w:rsidRDefault="003E0EEA">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EEA"/>
    <w:rsid w:val="003C7CF8"/>
    <w:rsid w:val="003E0EEA"/>
    <w:rsid w:val="008D1218"/>
    <w:rsid w:val="00F514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317A70-67B1-4F70-9FD1-17DE324A3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EE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E0E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EE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oter" Target="footer1.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Dhivya K.</dc:creator>
  <cp:keywords/>
  <dc:description/>
  <cp:lastModifiedBy>Dhivya K.</cp:lastModifiedBy>
  <cp:revision>1</cp:revision>
  <dcterms:created xsi:type="dcterms:W3CDTF">2023-12-22T01:32:00Z</dcterms:created>
  <dcterms:modified xsi:type="dcterms:W3CDTF">2023-12-22T01:34:00Z</dcterms:modified>
</cp:coreProperties>
</file>