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E91" w:rsidRPr="007E0126" w:rsidRDefault="008B5E91" w:rsidP="008B5E91">
      <w:pPr>
        <w:spacing w:before="170" w:line="480" w:lineRule="auto"/>
        <w:ind w:firstLine="274"/>
        <w:jc w:val="both"/>
        <w:rPr>
          <w:rFonts w:ascii="Times" w:hAnsi="Times" w:cs="Times"/>
          <w:b/>
          <w:sz w:val="28"/>
          <w:szCs w:val="28"/>
        </w:rPr>
      </w:pPr>
      <w:bookmarkStart w:id="0" w:name="_GoBack"/>
      <w:r w:rsidRPr="007E0126">
        <w:rPr>
          <w:rFonts w:ascii="Times" w:hAnsi="Times" w:cs="Times"/>
          <w:b/>
          <w:sz w:val="28"/>
          <w:szCs w:val="28"/>
        </w:rPr>
        <w:t>Supplementary materials</w:t>
      </w:r>
    </w:p>
    <w:p w:rsidR="008B5E91" w:rsidRPr="007E0126" w:rsidRDefault="008B5E91" w:rsidP="008B5E91">
      <w:pPr>
        <w:spacing w:before="170" w:line="480" w:lineRule="auto"/>
        <w:rPr>
          <w:rFonts w:ascii="Times New Roman" w:hAnsi="Times New Roman" w:cs="Times New Roman"/>
          <w:szCs w:val="24"/>
        </w:rPr>
      </w:pPr>
      <w:r w:rsidRPr="007E0126">
        <w:rPr>
          <w:rFonts w:ascii="Times New Roman" w:hAnsi="Times New Roman" w:cs="Times New Roman"/>
          <w:szCs w:val="24"/>
        </w:rPr>
        <w:t>A schematic of the coreflooding setup used in this study is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8B5E91" w:rsidRPr="007E0126" w:rsidTr="008512F1">
        <w:tc>
          <w:tcPr>
            <w:tcW w:w="10194" w:type="dxa"/>
          </w:tcPr>
          <w:p w:rsidR="008B5E91" w:rsidRPr="007E0126" w:rsidRDefault="008B5E91" w:rsidP="008512F1">
            <w:pPr>
              <w:spacing w:before="170" w:line="480" w:lineRule="auto"/>
              <w:rPr>
                <w:rFonts w:cs="Times New Roman"/>
                <w:szCs w:val="24"/>
              </w:rPr>
            </w:pPr>
            <w:r w:rsidRPr="007E0126">
              <w:rPr>
                <w:rFonts w:ascii="Calibri" w:hAnsi="Calibri" w:cs="Calibri"/>
                <w:noProof/>
                <w:sz w:val="22"/>
                <w:szCs w:val="22"/>
                <w:lang w:val="en-IN" w:eastAsia="en-IN"/>
              </w:rPr>
              <w:drawing>
                <wp:inline distT="0" distB="0" distL="0" distR="0" wp14:anchorId="0FF1E06A" wp14:editId="4D3AF190">
                  <wp:extent cx="5943600" cy="3822700"/>
                  <wp:effectExtent l="0" t="0" r="0" b="6350"/>
                  <wp:docPr id="12" name="Picture 12" descr="A diagram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diagram of a machine&#10;&#10;Description automatically generated"/>
                          <pic:cNvPicPr/>
                        </pic:nvPicPr>
                        <pic:blipFill>
                          <a:blip r:embed="rId5"/>
                          <a:stretch>
                            <a:fillRect/>
                          </a:stretch>
                        </pic:blipFill>
                        <pic:spPr>
                          <a:xfrm>
                            <a:off x="0" y="0"/>
                            <a:ext cx="5943600" cy="3822700"/>
                          </a:xfrm>
                          <a:prstGeom prst="rect">
                            <a:avLst/>
                          </a:prstGeom>
                        </pic:spPr>
                      </pic:pic>
                    </a:graphicData>
                  </a:graphic>
                </wp:inline>
              </w:drawing>
            </w:r>
          </w:p>
        </w:tc>
      </w:tr>
      <w:tr w:rsidR="008B5E91" w:rsidRPr="007E0126" w:rsidTr="008512F1">
        <w:tc>
          <w:tcPr>
            <w:tcW w:w="10194" w:type="dxa"/>
          </w:tcPr>
          <w:p w:rsidR="008B5E91" w:rsidRPr="007E0126" w:rsidRDefault="008B5E91" w:rsidP="008512F1">
            <w:pPr>
              <w:spacing w:before="170" w:line="480" w:lineRule="auto"/>
              <w:jc w:val="both"/>
              <w:rPr>
                <w:rFonts w:cs="Times New Roman"/>
                <w:sz w:val="20"/>
                <w:szCs w:val="20"/>
              </w:rPr>
            </w:pPr>
            <w:r w:rsidRPr="007E0126">
              <w:rPr>
                <w:rFonts w:cs="Times New Roman"/>
                <w:b/>
                <w:bCs/>
                <w:color w:val="auto"/>
                <w:sz w:val="20"/>
                <w:szCs w:val="20"/>
              </w:rPr>
              <w:t>Figure S1</w:t>
            </w:r>
            <w:r w:rsidRPr="007E0126">
              <w:rPr>
                <w:rFonts w:cs="Times New Roman"/>
                <w:color w:val="auto"/>
                <w:sz w:val="20"/>
                <w:szCs w:val="20"/>
              </w:rPr>
              <w:t xml:space="preserve">. Schematic diagram of the coreflooding system used in this study “reproduced from </w:t>
            </w:r>
            <w:r w:rsidRPr="007E0126">
              <w:rPr>
                <w:rFonts w:cs="Times New Roman"/>
                <w:sz w:val="20"/>
              </w:rPr>
              <w:fldChar w:fldCharType="begin" w:fldLock="1"/>
            </w:r>
            <w:r w:rsidRPr="007E0126">
              <w:rPr>
                <w:rFonts w:cs="Times New Roman"/>
                <w:color w:val="auto"/>
                <w:sz w:val="20"/>
                <w:szCs w:val="20"/>
              </w:rPr>
              <w:instrText>ADDIN CSL_CITATION {"citationItems":[{"id":"ITEM-1","itemData":{"DOI":"10.1063/5.0265667","ISSN":"1070-6631","abstract":"We present the results of a comprehensive experimental study to investigate the variations in measured absolute permeabilities to incompressible fluids in sandstone and carbonate rock samples under varying surface affinity (i.e., hydrophilic, weakly hydrophobic, and hydrophobic) conditions. Surface affinity on rock pore walls was established by aging the core samples with carefully selected chemical solutions. The efficacy of the aging process was verified through contact angle measurements on rock substrates. Thereafter, coreflooding experiments were conducted, and the results revealed that the measured absolute permeability of a porous medium to a given fluid was directly influenced by the extent of rock affinity to that fluid. Specifically, the measured absolute permeability of the rock samples to a less-wetting fluid was consistently greater than that to the more-wetting fluid, with conductance enhancements ranging up to approximately 50%. Additionally, the results indicated that the impact of rock affinity to fluids on the measured hydraulic conductivity was more pronounced in cores with smaller pore sizes and more angular pore shapes. We observed an inverse logarithmic correlation between the hydraulic conductivity enhancement for the less-wetting fluid and the rock's absolute permeability to the more-wetting fluid. To further bridge the gap between classical slip models in simplified pore geometries and the more pronounced permeability variations observed in experiments, we performed pore-scale flow simulations in different pore structures. The simulation results showed that even a moderate slip length can considerably enhance the hydraulic conductivity of the actual pore element, owing to its intricate geometric and topological characteristics.","author":[{"dropping-particle":"","family":"Ali","given":"Ramzi","non-dropping-particle":"","parse-names":false,"suffix":""},{"dropping-particle":"","family":"Gong","given":"Yanbin","non-dropping-particle":"","parse-names":false,"suffix":""},{"dropping-particle":"","family":"Bai","given":"Shixun","non-dropping-particle":"","parse-names":false,"suffix":""},{"dropping-particle":"","family":"Sabuz","given":"Sagar H.","non-dropping-particle":"","parse-names":false,"suffix":""},{"dropping-particle":"","family":"Mohamed","given":"Abdelhalim I. A.","non-dropping-particle":"","parse-names":false,"suffix":""},{"dropping-particle":"","family":"Alizadeh","given":"Amir H.","non-dropping-particle":"","parse-names":false,"suffix":""},{"dropping-particle":"","family":"Piri","given":"Mohammad","non-dropping-particle":"","parse-names":false,"suffix":""}],"container-title":"Physics of Fluids","id":"ITEM-1","issue":"7","issued":{"date-parts":[["2025","7"]]},"title":"Solid–fluid affinity and its effects on hydraulic conductivity in natural porous media","type":"article-journal","volume":"37"},"uris":["http://www.mendeley.com/documents/?uuid=2611a0d6-2356-4180-8172-44b43e436f55"]}],"mendeley":{"formattedCitation":"(Ali et al., 2025)","manualFormatting":"Ali et al., (2025)","plainTextFormattedCitation":"(Ali et al., 2025)","previouslyFormattedCitation":"(Ali et al., 2025)"},"properties":{"noteIndex":0},"schema":"https://github.com/citation-style-language/schema/raw/master/csl-citation.json"}</w:instrText>
            </w:r>
            <w:r w:rsidRPr="007E0126">
              <w:rPr>
                <w:rFonts w:cs="Times New Roman"/>
                <w:sz w:val="20"/>
              </w:rPr>
              <w:fldChar w:fldCharType="separate"/>
            </w:r>
            <w:r w:rsidRPr="007E0126">
              <w:rPr>
                <w:rFonts w:cs="Times New Roman"/>
                <w:noProof/>
                <w:color w:val="auto"/>
                <w:sz w:val="20"/>
                <w:szCs w:val="20"/>
              </w:rPr>
              <w:t>Ali et al., (2025)</w:t>
            </w:r>
            <w:r w:rsidRPr="007E0126">
              <w:rPr>
                <w:rFonts w:cs="Times New Roman"/>
                <w:sz w:val="20"/>
              </w:rPr>
              <w:fldChar w:fldCharType="end"/>
            </w:r>
            <w:r w:rsidRPr="007E0126">
              <w:rPr>
                <w:rFonts w:cs="Times New Roman"/>
                <w:color w:val="auto"/>
                <w:sz w:val="20"/>
                <w:szCs w:val="20"/>
              </w:rPr>
              <w:t>, with the permission of AIP Publishing”.</w:t>
            </w:r>
          </w:p>
        </w:tc>
      </w:tr>
    </w:tbl>
    <w:p w:rsidR="008B5E91" w:rsidRPr="007E0126" w:rsidRDefault="008B5E91" w:rsidP="008B5E91">
      <w:pPr>
        <w:spacing w:before="170" w:line="480" w:lineRule="auto"/>
        <w:jc w:val="both"/>
        <w:rPr>
          <w:rFonts w:ascii="Times New Roman" w:hAnsi="Times New Roman" w:cs="Times New Roman"/>
          <w:szCs w:val="24"/>
        </w:rPr>
      </w:pPr>
      <w:r w:rsidRPr="007E0126">
        <w:rPr>
          <w:rFonts w:ascii="Times New Roman" w:hAnsi="Times New Roman" w:cs="Times New Roman"/>
          <w:szCs w:val="24"/>
        </w:rPr>
        <w:t xml:space="preserve">Regarding contact angle measurements, rock substrates were prepared by cutting chips from 2-inch core sections (4-inch for Fontainebleau samples). The chips were rinsed with tap water and oven-dried: carbonates at 80 °C for 48 h and sandstones at 40 °C for 96 h to prevent clay swelling. Dried samples were then equilibrated in brine solutions for 7–10 days at ambient conditions, rinsed to prevent salt precipitation, and redried. Wettability alteration of carbonate substrates was achieved by immersion in lauric acid or hexanoic acid dissolved in toluene mixtures to produce SOW and IW conditions, respectively. Sandstone substrates were rendered hydrophobic or weakly hydrophobic by immersion in 0.1 wt.% ODTS-in-toluene or HMDS-in-dehydrated toluene solutions, respectively. These treatments were selected based on their established effectiveness in modifying calcite and quartz surfaces. After aging, all substrates were rinsed with distilled water and methanol, then oven-dried to cure the treated surfaces. Equilibrium contact angles were measured by placing brine droplets on the aged substrates immersed in Soltrol 170. Droplet </w:t>
      </w:r>
      <w:r w:rsidRPr="007E0126">
        <w:rPr>
          <w:rFonts w:ascii="Times New Roman" w:hAnsi="Times New Roman" w:cs="Times New Roman"/>
          <w:szCs w:val="24"/>
        </w:rPr>
        <w:lastRenderedPageBreak/>
        <w:t>images were captured using a high-resolution optical system with controlled illumination and analyzed using PerGeos 2020 and ImageJ software.</w:t>
      </w:r>
    </w:p>
    <w:p w:rsidR="008B5E91" w:rsidRPr="007E0126" w:rsidRDefault="008B5E91" w:rsidP="008B5E91">
      <w:pPr>
        <w:spacing w:before="170" w:line="480" w:lineRule="auto"/>
        <w:jc w:val="center"/>
        <w:rPr>
          <w:rFonts w:ascii="Times" w:hAnsi="Times" w:cs="Times"/>
          <w:sz w:val="20"/>
        </w:rPr>
      </w:pPr>
      <w:r w:rsidRPr="007E0126">
        <w:rPr>
          <w:rFonts w:ascii="Times New Roman" w:hAnsi="Times New Roman" w:cs="Times New Roman"/>
          <w:b/>
          <w:bCs/>
          <w:sz w:val="20"/>
        </w:rPr>
        <w:t>Table S1.</w:t>
      </w:r>
      <w:r w:rsidRPr="007E0126">
        <w:rPr>
          <w:rFonts w:ascii="Times New Roman" w:hAnsi="Times New Roman" w:cs="Times New Roman"/>
          <w:sz w:val="20"/>
        </w:rPr>
        <w:t xml:space="preserve"> Studies were used to determine the optimal wettability condition for waterflooding in carbonate rocks.</w:t>
      </w:r>
    </w:p>
    <w:tbl>
      <w:tblPr>
        <w:tblpPr w:leftFromText="180" w:rightFromText="180" w:vertAnchor="text" w:horzAnchor="margin" w:tblpY="123"/>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3"/>
        <w:gridCol w:w="1179"/>
        <w:gridCol w:w="776"/>
        <w:gridCol w:w="727"/>
        <w:gridCol w:w="613"/>
        <w:gridCol w:w="594"/>
        <w:gridCol w:w="1196"/>
        <w:gridCol w:w="856"/>
        <w:gridCol w:w="637"/>
        <w:gridCol w:w="637"/>
        <w:gridCol w:w="1096"/>
      </w:tblGrid>
      <w:tr w:rsidR="008B5E91" w:rsidRPr="007E0126" w:rsidTr="008512F1">
        <w:trPr>
          <w:trHeight w:val="623"/>
        </w:trPr>
        <w:tc>
          <w:tcPr>
            <w:tcW w:w="928" w:type="pct"/>
            <w:vMerge w:val="restart"/>
            <w:tcBorders>
              <w:top w:val="single" w:sz="12" w:space="0" w:color="auto"/>
              <w:left w:val="nil"/>
              <w:bottom w:val="single" w:sz="12" w:space="0" w:color="auto"/>
            </w:tcBorders>
            <w:vAlign w:val="center"/>
          </w:tcPr>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Author(s)</w:t>
            </w:r>
          </w:p>
        </w:tc>
        <w:tc>
          <w:tcPr>
            <w:tcW w:w="578" w:type="pct"/>
            <w:vMerge w:val="restar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Carbonate rock</w:t>
            </w:r>
          </w:p>
        </w:tc>
        <w:tc>
          <w:tcPr>
            <w:tcW w:w="1328" w:type="pct"/>
            <w:gridSpan w:val="4"/>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Wettability</w:t>
            </w:r>
          </w:p>
        </w:tc>
        <w:tc>
          <w:tcPr>
            <w:tcW w:w="586" w:type="pct"/>
            <w:vMerge w:val="restar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Brine permeability (mD)</w:t>
            </w:r>
          </w:p>
        </w:tc>
        <w:tc>
          <w:tcPr>
            <w:tcW w:w="419" w:type="pct"/>
            <w:vMerge w:val="restar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Porosity</w:t>
            </w:r>
          </w:p>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w:t>
            </w:r>
          </w:p>
        </w:tc>
        <w:tc>
          <w:tcPr>
            <w:tcW w:w="312" w:type="pct"/>
            <w:vMerge w:val="restar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S</w:t>
            </w:r>
            <w:r w:rsidRPr="007E0126">
              <w:rPr>
                <w:rFonts w:ascii="Times" w:hAnsi="Times" w:cs="Times"/>
                <w:b/>
                <w:bCs/>
                <w:sz w:val="18"/>
                <w:szCs w:val="18"/>
                <w:vertAlign w:val="subscript"/>
              </w:rPr>
              <w:t>wi</w:t>
            </w:r>
          </w:p>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w:t>
            </w:r>
          </w:p>
        </w:tc>
        <w:tc>
          <w:tcPr>
            <w:tcW w:w="312" w:type="pct"/>
            <w:vMerge w:val="restar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S</w:t>
            </w:r>
            <w:r w:rsidRPr="007E0126">
              <w:rPr>
                <w:rFonts w:ascii="Times" w:hAnsi="Times" w:cs="Times"/>
                <w:b/>
                <w:bCs/>
                <w:sz w:val="18"/>
                <w:szCs w:val="18"/>
                <w:vertAlign w:val="subscript"/>
              </w:rPr>
              <w:t>orw</w:t>
            </w:r>
          </w:p>
          <w:p w:rsidR="008B5E91" w:rsidRPr="007E0126" w:rsidRDefault="008B5E91" w:rsidP="008512F1">
            <w:pPr>
              <w:snapToGrid w:val="0"/>
              <w:spacing w:line="276" w:lineRule="auto"/>
              <w:jc w:val="center"/>
              <w:rPr>
                <w:rFonts w:ascii="Times" w:hAnsi="Times" w:cs="Times"/>
                <w:b/>
                <w:bCs/>
                <w:sz w:val="18"/>
                <w:szCs w:val="18"/>
              </w:rPr>
            </w:pPr>
            <w:r w:rsidRPr="007E0126">
              <w:rPr>
                <w:rFonts w:ascii="Times" w:hAnsi="Times" w:cs="Times"/>
                <w:b/>
                <w:bCs/>
                <w:sz w:val="18"/>
                <w:szCs w:val="18"/>
              </w:rPr>
              <w:t>(%)</w:t>
            </w:r>
          </w:p>
        </w:tc>
        <w:tc>
          <w:tcPr>
            <w:tcW w:w="538" w:type="pct"/>
            <w:vMerge w:val="restart"/>
            <w:tcBorders>
              <w:top w:val="single" w:sz="12" w:space="0" w:color="auto"/>
              <w:bottom w:val="single" w:sz="12" w:space="0" w:color="auto"/>
              <w:right w:val="nil"/>
            </w:tcBorders>
            <w:vAlign w:val="center"/>
          </w:tcPr>
          <w:p w:rsidR="008B5E91" w:rsidRPr="007E0126" w:rsidRDefault="008B5E91" w:rsidP="008512F1">
            <w:pPr>
              <w:snapToGrid w:val="0"/>
              <w:spacing w:line="276" w:lineRule="auto"/>
              <w:jc w:val="center"/>
              <w:rPr>
                <w:rFonts w:ascii="Times" w:hAnsi="Times" w:cs="Times"/>
                <w:b/>
                <w:bCs/>
                <w:sz w:val="18"/>
                <w:szCs w:val="18"/>
                <w:vertAlign w:val="subscript"/>
              </w:rPr>
            </w:pPr>
            <w:r w:rsidRPr="007E0126">
              <w:rPr>
                <w:rFonts w:ascii="Times" w:hAnsi="Times" w:cs="Times"/>
                <w:b/>
                <w:bCs/>
                <w:sz w:val="18"/>
                <w:szCs w:val="18"/>
              </w:rPr>
              <w:t>S</w:t>
            </w:r>
            <w:r w:rsidRPr="007E0126">
              <w:rPr>
                <w:rFonts w:ascii="Times" w:hAnsi="Times" w:cs="Times"/>
                <w:b/>
                <w:bCs/>
                <w:sz w:val="18"/>
                <w:szCs w:val="18"/>
                <w:vertAlign w:val="subscript"/>
              </w:rPr>
              <w:t>orw</w:t>
            </w:r>
            <w:r w:rsidRPr="007E0126">
              <w:rPr>
                <w:rFonts w:ascii="Times" w:hAnsi="Times" w:cs="Times"/>
                <w:b/>
                <w:bCs/>
                <w:sz w:val="18"/>
                <w:szCs w:val="18"/>
              </w:rPr>
              <w:t>/S</w:t>
            </w:r>
            <w:r w:rsidRPr="007E0126">
              <w:rPr>
                <w:rFonts w:ascii="Times" w:hAnsi="Times" w:cs="Times"/>
                <w:b/>
                <w:bCs/>
                <w:sz w:val="18"/>
                <w:szCs w:val="18"/>
                <w:vertAlign w:val="subscript"/>
              </w:rPr>
              <w:t>oi</w:t>
            </w:r>
          </w:p>
        </w:tc>
      </w:tr>
      <w:tr w:rsidR="008B5E91" w:rsidRPr="007E0126" w:rsidTr="008512F1">
        <w:trPr>
          <w:trHeight w:hRule="exact" w:val="490"/>
        </w:trPr>
        <w:tc>
          <w:tcPr>
            <w:tcW w:w="928" w:type="pct"/>
            <w:vMerge/>
            <w:tcBorders>
              <w:left w:val="nil"/>
              <w:bottom w:val="single" w:sz="12" w:space="0" w:color="auto"/>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Borders>
              <w:bottom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Contact angle</w:t>
            </w:r>
          </w:p>
        </w:tc>
        <w:tc>
          <w:tcPr>
            <w:tcW w:w="356" w:type="pc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USBM</w:t>
            </w:r>
          </w:p>
        </w:tc>
        <w:tc>
          <w:tcPr>
            <w:tcW w:w="301" w:type="pc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rPr>
              <w:t>I</w:t>
            </w:r>
            <w:r w:rsidRPr="007E0126">
              <w:rPr>
                <w:rFonts w:ascii="Times" w:hAnsi="Times" w:cs="Times"/>
                <w:vertAlign w:val="subscript"/>
              </w:rPr>
              <w:t>w</w:t>
            </w:r>
          </w:p>
        </w:tc>
        <w:tc>
          <w:tcPr>
            <w:tcW w:w="291" w:type="pct"/>
            <w:tcBorders>
              <w:top w:val="single" w:sz="12"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rPr>
              <w:t>I</w:t>
            </w:r>
            <w:r w:rsidRPr="007E0126">
              <w:rPr>
                <w:rFonts w:ascii="Times" w:hAnsi="Times" w:cs="Times"/>
                <w:vertAlign w:val="subscript"/>
              </w:rPr>
              <w:t>AH</w:t>
            </w:r>
          </w:p>
        </w:tc>
        <w:tc>
          <w:tcPr>
            <w:tcW w:w="586" w:type="pct"/>
            <w:vMerge/>
            <w:tcBorders>
              <w:bottom w:val="single" w:sz="12" w:space="0" w:color="auto"/>
            </w:tcBorders>
            <w:vAlign w:val="center"/>
          </w:tcPr>
          <w:p w:rsidR="008B5E91" w:rsidRPr="007E0126" w:rsidRDefault="008B5E91" w:rsidP="008512F1">
            <w:pPr>
              <w:snapToGrid w:val="0"/>
              <w:spacing w:line="480" w:lineRule="auto"/>
              <w:jc w:val="center"/>
              <w:rPr>
                <w:rFonts w:ascii="Times" w:hAnsi="Times" w:cs="Times"/>
                <w:sz w:val="18"/>
                <w:szCs w:val="18"/>
              </w:rPr>
            </w:pPr>
          </w:p>
        </w:tc>
        <w:tc>
          <w:tcPr>
            <w:tcW w:w="419" w:type="pct"/>
            <w:vMerge/>
            <w:tcBorders>
              <w:bottom w:val="single" w:sz="12" w:space="0" w:color="auto"/>
            </w:tcBorders>
          </w:tcPr>
          <w:p w:rsidR="008B5E91" w:rsidRPr="007E0126" w:rsidRDefault="008B5E91" w:rsidP="008512F1">
            <w:pPr>
              <w:snapToGrid w:val="0"/>
              <w:spacing w:line="480" w:lineRule="auto"/>
              <w:jc w:val="center"/>
              <w:rPr>
                <w:rFonts w:ascii="Times" w:hAnsi="Times" w:cs="Times"/>
                <w:sz w:val="18"/>
                <w:szCs w:val="18"/>
              </w:rPr>
            </w:pPr>
          </w:p>
        </w:tc>
        <w:tc>
          <w:tcPr>
            <w:tcW w:w="312" w:type="pct"/>
            <w:vMerge/>
            <w:tcBorders>
              <w:bottom w:val="single" w:sz="12" w:space="0" w:color="auto"/>
            </w:tcBorders>
          </w:tcPr>
          <w:p w:rsidR="008B5E91" w:rsidRPr="007E0126" w:rsidRDefault="008B5E91" w:rsidP="008512F1">
            <w:pPr>
              <w:snapToGrid w:val="0"/>
              <w:spacing w:line="480" w:lineRule="auto"/>
              <w:jc w:val="center"/>
              <w:rPr>
                <w:rFonts w:ascii="Times" w:hAnsi="Times" w:cs="Times"/>
                <w:sz w:val="18"/>
                <w:szCs w:val="18"/>
              </w:rPr>
            </w:pPr>
          </w:p>
        </w:tc>
        <w:tc>
          <w:tcPr>
            <w:tcW w:w="312" w:type="pct"/>
            <w:vMerge/>
            <w:tcBorders>
              <w:bottom w:val="single" w:sz="12" w:space="0" w:color="auto"/>
            </w:tcBorders>
          </w:tcPr>
          <w:p w:rsidR="008B5E91" w:rsidRPr="007E0126" w:rsidRDefault="008B5E91" w:rsidP="008512F1">
            <w:pPr>
              <w:snapToGrid w:val="0"/>
              <w:spacing w:line="480" w:lineRule="auto"/>
              <w:jc w:val="center"/>
              <w:rPr>
                <w:rFonts w:ascii="Times" w:hAnsi="Times" w:cs="Times"/>
                <w:sz w:val="18"/>
                <w:szCs w:val="18"/>
              </w:rPr>
            </w:pPr>
          </w:p>
        </w:tc>
        <w:tc>
          <w:tcPr>
            <w:tcW w:w="538" w:type="pct"/>
            <w:vMerge/>
            <w:tcBorders>
              <w:bottom w:val="single" w:sz="12" w:space="0" w:color="auto"/>
              <w:right w:val="nil"/>
            </w:tcBorders>
          </w:tcPr>
          <w:p w:rsidR="008B5E91" w:rsidRPr="007E0126" w:rsidRDefault="008B5E91" w:rsidP="008512F1">
            <w:pPr>
              <w:snapToGrid w:val="0"/>
              <w:spacing w:line="480" w:lineRule="auto"/>
              <w:jc w:val="center"/>
              <w:rPr>
                <w:rFonts w:ascii="Times" w:hAnsi="Times" w:cs="Times"/>
                <w:sz w:val="18"/>
                <w:szCs w:val="18"/>
              </w:rPr>
            </w:pPr>
          </w:p>
        </w:tc>
      </w:tr>
      <w:tr w:rsidR="008B5E91" w:rsidRPr="007E0126" w:rsidTr="008512F1">
        <w:trPr>
          <w:trHeight w:hRule="exact" w:val="288"/>
        </w:trPr>
        <w:tc>
          <w:tcPr>
            <w:tcW w:w="928" w:type="pct"/>
            <w:vMerge w:val="restart"/>
            <w:tcBorders>
              <w:top w:val="single" w:sz="12" w:space="0" w:color="auto"/>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 xml:space="preserve">Morrow et al.,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{"citationItems":[{"id":"ITEM-1","itemData":{"DOI":"10.2118/3993-pa","ISSN":"0197-7520","abstract":"Contact angle studies were made on a variety of polar compounds known to occur in crude oil. On dolomite, octanoic acid was found to give contact angles ranging from 0 degree to 155 degree , depending on concentration. Capillary pressure and relative permeability data obtained for packings of dolomite, using octanoic acid to control wettability, showed systematic change with contact angle.","author":[{"dropping-particle":"","family":"Morrow","given":"N R","non-dropping-particle":"","parse-names":false,"suffix":""},{"dropping-particle":"","family":"Cram","given":"P J","non-dropping-particle":"","parse-names":false,"suffix":""},{"dropping-particle":"","family":"McCaffery","given":"F G","non-dropping-particle":"","parse-names":false,"suffix":""}],"container-title":"Soc Pet Eng J","id":"ITEM-1","issue":"4","issued":{"date-parts":[["1973"]]},"page":"221-232","title":"Displacement Studies in Dolomite With Wettability Control By Octanoic Acid.","type":"article-journal","volume":"13"},"uris":["http://www.mendeley.com/documents/?uuid=20aae741-4043-3ca7-aee6-b3a5b272fbd4"]}],"mendeley":{"formattedCitation":"(N R Morrow et al., 1973)","manualFormatting":"(Morrow et al., 1973)","plainTextFormattedCitation":"(N R Morrow et al., 1973)","previouslyFormattedCitation":"(N R Morrow et al., 1973)"},"properties":{"noteIndex":0},"schema":"https://github.com/citation-style-language/schema/raw/master/csl-citation.json"}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(Morrow et al., 1973)</w:t>
            </w:r>
            <w:r w:rsidRPr="007E0126">
              <w:rPr>
                <w:rFonts w:ascii="Times" w:hAnsi="Times" w:cs="Times"/>
                <w:sz w:val="18"/>
                <w:szCs w:val="18"/>
              </w:rPr>
              <w:fldChar w:fldCharType="end"/>
            </w:r>
          </w:p>
        </w:tc>
        <w:tc>
          <w:tcPr>
            <w:tcW w:w="578" w:type="pct"/>
            <w:vMerge w:val="restart"/>
            <w:tcBorders>
              <w:top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Dolomite</w:t>
            </w:r>
          </w:p>
        </w:tc>
        <w:tc>
          <w:tcPr>
            <w:tcW w:w="380" w:type="pct"/>
            <w:tcBorders>
              <w:top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15</w:t>
            </w:r>
          </w:p>
        </w:tc>
        <w:tc>
          <w:tcPr>
            <w:tcW w:w="356" w:type="pct"/>
            <w:tcBorders>
              <w:top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Borders>
              <w:top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Borders>
              <w:top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Borders>
              <w:top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419" w:type="pct"/>
            <w:tcBorders>
              <w:top w:val="single" w:sz="12" w:space="0" w:color="auto"/>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312" w:type="pct"/>
            <w:tcBorders>
              <w:top w:val="single" w:sz="12" w:space="0" w:color="auto"/>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12.5</w:t>
            </w:r>
          </w:p>
        </w:tc>
        <w:tc>
          <w:tcPr>
            <w:tcW w:w="312" w:type="pct"/>
            <w:tcBorders>
              <w:top w:val="single" w:sz="12" w:space="0" w:color="auto"/>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24.2</w:t>
            </w:r>
          </w:p>
        </w:tc>
        <w:tc>
          <w:tcPr>
            <w:tcW w:w="538" w:type="pct"/>
            <w:tcBorders>
              <w:top w:val="single" w:sz="12" w:space="0" w:color="auto"/>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100</w:t>
            </w:r>
          </w:p>
        </w:tc>
        <w:tc>
          <w:tcPr>
            <w:tcW w:w="356"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11.9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155</w:t>
            </w:r>
          </w:p>
        </w:tc>
        <w:tc>
          <w:tcPr>
            <w:tcW w:w="356"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b/>
                <w:bCs/>
                <w:sz w:val="18"/>
                <w:szCs w:val="18"/>
              </w:rPr>
            </w:pPr>
            <w:r w:rsidRPr="007E0126">
              <w:rPr>
                <w:rFonts w:ascii="Times" w:hAnsi="Times" w:cs="Times"/>
                <w:b/>
                <w:bCs/>
                <w:sz w:val="18"/>
                <w:szCs w:val="18"/>
              </w:rPr>
              <w:t xml:space="preserve">Herbert </w:t>
            </w:r>
            <w:r w:rsidRPr="007E0126">
              <w:rPr>
                <w:rFonts w:ascii="Times" w:hAnsi="Times" w:cs="Times"/>
                <w:b/>
                <w:bCs/>
                <w:sz w:val="18"/>
                <w:szCs w:val="18"/>
              </w:rPr>
              <w:fldChar w:fldCharType="begin" w:fldLock="1"/>
            </w:r>
            <w:r w:rsidRPr="007E0126">
              <w:rPr>
                <w:rFonts w:ascii="Times" w:hAnsi="Times" w:cs="Times"/>
                <w:b/>
                <w:bCs/>
                <w:sz w:val="18"/>
                <w:szCs w:val="18"/>
              </w:rPr>
              <w:instrText>ADDIN CSL_CITATION {"citationItems":[{"id":"ITEM-1","itemData":{"DOI":"10.2118/12171-MS","author":[{"dropping-particle":"","family":"Harbert","given":"L. W.","non-dropping-particle":"","parse-names":false,"suffix":""}],"container-title":"SPE Annual Technical Conference and Exhibition","id":"ITEM-1","issued":{"date-parts":[["1983","10"]]},"publisher":"SPE","title":"Low Interfacial Tension Relative Permeability","type":"paper-conference"},"uris":["http://www.mendeley.com/documents/?uuid=462ded3f-f88f-4382-a2f2-9356c16cb5aa","http://www.mendeley.com/documents/?uuid=20e71348-9694-48e3-9407-e2ad5852c3b5"]}],"mendeley":{"formattedCitation":"(Harbert, 1983)","plainTextFormattedCitation":"(Harbert, 1983)","previouslyFormattedCitation":"(Harbert, 1983)"},"properties":{"noteIndex":0},"schema":"https://github.com/citation-style-language/schema/raw/master/csl-citation.json"}</w:instrText>
            </w:r>
            <w:r w:rsidRPr="007E0126">
              <w:rPr>
                <w:rFonts w:ascii="Times" w:hAnsi="Times" w:cs="Times"/>
                <w:b/>
                <w:bCs/>
                <w:sz w:val="18"/>
                <w:szCs w:val="18"/>
              </w:rPr>
              <w:fldChar w:fldCharType="separate"/>
            </w:r>
            <w:r w:rsidRPr="007E0126">
              <w:rPr>
                <w:rFonts w:ascii="Times" w:hAnsi="Times" w:cs="Times"/>
                <w:bCs/>
                <w:noProof/>
                <w:sz w:val="18"/>
                <w:szCs w:val="18"/>
              </w:rPr>
              <w:t>(Harbert, 1983)</w:t>
            </w:r>
            <w:r w:rsidRPr="007E0126">
              <w:rPr>
                <w:rFonts w:ascii="Times" w:hAnsi="Times" w:cs="Times"/>
                <w:b/>
                <w:bC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J. T. Baker</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143</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21.3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149</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173</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173</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143</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137.0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0.46</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b/>
                <w:bCs/>
                <w:sz w:val="18"/>
                <w:szCs w:val="18"/>
              </w:rPr>
            </w:pPr>
            <w:r w:rsidRPr="007E0126">
              <w:rPr>
                <w:rFonts w:ascii="Times" w:hAnsi="Times" w:cs="Times"/>
                <w:b/>
                <w:bCs/>
                <w:sz w:val="18"/>
                <w:szCs w:val="18"/>
              </w:rPr>
              <w:t xml:space="preserve">Longeron et al., </w:t>
            </w:r>
            <w:r w:rsidRPr="007E0126">
              <w:rPr>
                <w:rFonts w:ascii="Times" w:hAnsi="Times" w:cs="Times"/>
                <w:b/>
                <w:bCs/>
                <w:sz w:val="18"/>
                <w:szCs w:val="18"/>
              </w:rPr>
              <w:fldChar w:fldCharType="begin" w:fldLock="1"/>
            </w:r>
            <w:r w:rsidRPr="007E0126">
              <w:rPr>
                <w:rFonts w:ascii="Times" w:hAnsi="Times" w:cs="Times"/>
                <w:b/>
                <w:bCs/>
                <w:sz w:val="18"/>
                <w:szCs w:val="18"/>
              </w:rPr>
              <w:instrText>ADDIN CSL_CITATION {"citationItems":[{"id":"ITEM-1","itemData":{"DOI":"10.2118/30006-MS","author":[{"dropping-particle":"","family":"Longeron","given":"Daniel","non-dropping-particle":"","parse-names":false,"suffix":""},{"dropping-particle":"","family":"Hammervold","given":"Wibeke L.","non-dropping-particle":"","parse-names":false,"suffix":""},{"dropping-particle":"","family":"Skjaeveland","given":"Svein M.","non-dropping-particle":"","parse-names":false,"suffix":""}],"container-title":"International Meeting on Petroleum Engineering","id":"ITEM-1","issued":{"date-parts":[["1995","11"]]},"publisher":"SPE","title":"Water-Oil Capillary Pressure and Wettability Measurements Using Micropore Membrane Technique","type":"paper-conference"},"uris":["http://www.mendeley.com/documents/?uuid=9e675d7f-78ca-4b41-be0e-2b5342cd9fbf","http://www.mendeley.com/documents/?uuid=2cd2b922-fb68-4adc-b9f8-98058a2c1f54"]}],"mendeley":{"formattedCitation":"(Longeron et al., 1995)","plainTextFormattedCitation":"(Longeron et al., 1995)","previouslyFormattedCitation":"(Longeron et al., 1995)"},"properties":{"noteIndex":0},"schema":"https://github.com/citation-style-language/schema/raw/master/csl-citation.json"}</w:instrText>
            </w:r>
            <w:r w:rsidRPr="007E0126">
              <w:rPr>
                <w:rFonts w:ascii="Times" w:hAnsi="Times" w:cs="Times"/>
                <w:b/>
                <w:bCs/>
                <w:sz w:val="18"/>
                <w:szCs w:val="18"/>
              </w:rPr>
              <w:fldChar w:fldCharType="separate"/>
            </w:r>
            <w:r w:rsidRPr="007E0126">
              <w:rPr>
                <w:rFonts w:ascii="Times" w:hAnsi="Times" w:cs="Times"/>
                <w:bCs/>
                <w:noProof/>
                <w:sz w:val="18"/>
                <w:szCs w:val="18"/>
              </w:rPr>
              <w:t>(Longeron et al., 1995)</w:t>
            </w:r>
            <w:r w:rsidRPr="007E0126">
              <w:rPr>
                <w:rFonts w:ascii="Times" w:hAnsi="Times" w:cs="Times"/>
                <w:b/>
                <w:bC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Estaillades limestone</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54.0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57.0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0.16</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b/>
                <w:bCs/>
                <w:sz w:val="18"/>
                <w:szCs w:val="18"/>
              </w:rPr>
            </w:pPr>
            <w:r w:rsidRPr="007E0126">
              <w:rPr>
                <w:rFonts w:ascii="Times" w:hAnsi="Times" w:cs="Times"/>
                <w:b/>
                <w:bCs/>
                <w:sz w:val="18"/>
                <w:szCs w:val="18"/>
              </w:rPr>
              <w:t xml:space="preserve">Graue et al., </w:t>
            </w:r>
            <w:r w:rsidRPr="007E0126">
              <w:rPr>
                <w:rFonts w:ascii="Times" w:hAnsi="Times" w:cs="Times"/>
                <w:b/>
                <w:bCs/>
                <w:sz w:val="18"/>
                <w:szCs w:val="18"/>
              </w:rPr>
              <w:fldChar w:fldCharType="begin" w:fldLock="1"/>
            </w:r>
            <w:r w:rsidRPr="007E0126">
              <w:rPr>
                <w:rFonts w:ascii="Times" w:hAnsi="Times" w:cs="Times"/>
                <w:b/>
                <w:bCs/>
                <w:sz w:val="18"/>
                <w:szCs w:val="18"/>
              </w:rPr>
              <w:instrText>ADDIN CSL_CITATION {"citationItems":[{"id":"ITEM-1","itemData":{"DOI":"10.1016/S0920-4105(99)00033-9","ISSN":"09204105","abstract":"A reproducible method for selectively altering the wettability of outcrop chalk has been established to obtain stable wettability conditions in the range from strongly water-wet to near-neutral-wet. Aging in different oils and the response to aging in different rocks are reported. The influence of different initial water saturations on the role of wettability alterations has been evaluated. Core plugs were aged in oil, at 90°C, for different time periods in duplicate sets. Oil recovery by spontaneous room temperature imbibition, followed by a waterflood, was studied for aged cores, to obtain Amott-Harvey wettability index to water. The procedure was also performed on cores containing aged crude oil, on cores where the aged crude oil was exchanged with fresh crude oil after aging was completed, but before imbibition testing and for cores where the crude oil was exchanged with decahydronaphthalene which was then displaced by n-decane. Imbibition in water-wet cores with n-decane was used as the baseline experiment. A consistent and reproducible change in wettability, from strongly water-wet to a near-neutral-wet state, with increased aging time was observed for five different outcrop chalks. The altered wettability was stable over several flooding cycles but when the aged crude oil was exchanged by fresh crude oil or decane after aging but before imbibition, results exhibited different but consistent Amott indices. Exchanging crude oil at temperature with decalin, which in turn was exchanged with decane, was found to be the best procedure for reproducible and stable wettability alteration. (C) 1999 Elsevier Science B.V. All rights reserved.","author":[{"dropping-particle":"","family":"Graue","given":"Arne","non-dropping-particle":"","parse-names":false,"suffix":""},{"dropping-particle":"","family":"Viksund","given":"Bjørn Gerry","non-dropping-particle":"","parse-names":false,"suffix":""},{"dropping-particle":"","family":"Eilertsen","given":"Terje","non-dropping-particle":"","parse-names":false,"suffix":""},{"dropping-particle":"","family":"Moe","given":"Robert","non-dropping-particle":"","parse-names":false,"suffix":""}],"container-title":"Journal of Petroleum Science and Engineering","id":"ITEM-1","issue":"2-4","issued":{"date-parts":[["1999"]]},"page":"85-97","title":"Systematic wettability alteration by aging sandstone and carbonate rock in crude oil","type":"article-journal","volume":"24"},"uris":["http://www.mendeley.com/documents/?uuid=21debc54-6c9a-37d8-87c1-eb7198d12d25"]}],"mendeley":{"formattedCitation":"(Arne Graue, Viksund, Eilertsen, et al., 1999)","manualFormatting":"(Graue et al., 1999)","plainTextFormattedCitation":"(Arne Graue, Viksund, Eilertsen, et al., 1999)","previouslyFormattedCitation":"(Arne Graue, Viksund, Eilertsen, et al., 1999)"},"properties":{"noteIndex":0},"schema":"https://github.com/citation-style-language/schema/raw/master/csl-citation.json"}</w:instrText>
            </w:r>
            <w:r w:rsidRPr="007E0126">
              <w:rPr>
                <w:rFonts w:ascii="Times" w:hAnsi="Times" w:cs="Times"/>
                <w:b/>
                <w:bCs/>
                <w:sz w:val="18"/>
                <w:szCs w:val="18"/>
              </w:rPr>
              <w:fldChar w:fldCharType="separate"/>
            </w:r>
            <w:r w:rsidRPr="007E0126">
              <w:rPr>
                <w:rFonts w:ascii="Times" w:hAnsi="Times" w:cs="Times"/>
                <w:bCs/>
                <w:noProof/>
                <w:sz w:val="18"/>
                <w:szCs w:val="18"/>
              </w:rPr>
              <w:t>(Graue et al., 1999)</w:t>
            </w:r>
            <w:r w:rsidRPr="007E0126">
              <w:rPr>
                <w:rFonts w:ascii="Times" w:hAnsi="Times" w:cs="Times"/>
                <w:b/>
                <w:bC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Rørdal 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1.9</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46.4</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2.9</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47.3</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2.1</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47.9</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3.5</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46.7</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46.7</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1.3</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45.1</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1.3</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45.1</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3.4</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47.1</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3.4</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47.1</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1.7</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46.8</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2.0</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47.1</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2.1</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47.5</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2.1</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47.5</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2.4</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47.6</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2.4</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47.6</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47.8</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4.4</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47.3</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3.7</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42.9</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3.0</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45.3</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3.2</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45</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45.2</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3.8</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44.3</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3.7</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45.6</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4.7</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46.6</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31.2</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2.7</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31.5</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2.9</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44.4</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21</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2.8</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46.8</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41.2</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21</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38.9</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38.9</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40.7</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43</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41.4</w:t>
            </w:r>
          </w:p>
        </w:tc>
        <w:tc>
          <w:tcPr>
            <w:tcW w:w="312"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22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0.53</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 xml:space="preserve">Tang and Firoozabadi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10.2118/59291-MS","author":[{"dropping-particle":"","family":"Tang","given":"Guo-Qing","non-dropping-particle":"","parse-names":false,"suffix":""},{"dropping-particle":"","family":"Firoozabadi","given":"Abbas","non-dropping-particle":"","parse-names":false,"suffix":""}],"container-title":"SPE/DOE Improved Oil Recovery Symposium","id":"ITEM-1","issued":{"date-parts":[["2000","4"]]},"publisher":"SPE","title":"Effect of Viscous Forces and Initial Water Saturation on Water Injection in Water-Wet and Mixed-Wet Fractured Porous Media","type":"paper-conference"},"uris":["http://www.mendeley.com/documents/?uuid=ad7dcceb-c6f2-4098-b6f9-1cc8607b8af0","http://www.mendeley.com/documents/?uuid=076523d7-cfc8-46fe-9c7e-2092d1faab6c"]}],"mendeley":{"formattedCitation":"(Tang &amp; Firoozabadi, 2000)","manualFormatting":"(Tang and Firoozabadi, 2000)","plainTextFormattedCitation":"(Tang &amp; Firoozabadi, 2000)","previouslyFormattedCitation":"(Tang &amp; Firoozabadi, 2000)"},"properties":{"noteIndex":0},"schema":"https://github.com/citation-style-language/schema/raw/master/csl-citation.json"}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(Tang and Firoozabadi, 2000)</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Kansas 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33.4</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40.0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0.85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9.7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60.9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0.67</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Oseto et al.,</w:t>
            </w:r>
            <w:r w:rsidRPr="007E0126">
              <w:rPr>
                <w:rFonts w:ascii="Times" w:hAnsi="Times" w:cs="Times"/>
                <w:sz w:val="18"/>
                <w:szCs w:val="18"/>
              </w:rPr>
              <w:t xml:space="preserve">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10.2118/101287-MS","author":[{"dropping-particle":"","family":"Oseto","given":"K.","non-dropping-particle":"","parse-names":false,"suffix":""},{"dropping-particle":"","family":"Al-Amoudi","given":"A.","non-dropping-particle":"","parse-names":false,"suffix":""},{"dropping-particle":"","family":"Suzuki","given":"M.","non-dropping-particle":"","parse-names":false,"suffix":""}],"container-title":"Abu Dhabi International Petroleum Exhibition and Conference","id":"ITEM-1","issued":{"date-parts":[["2006","11"]]},"publisher":"SPE","title":"Comprehensive Approach of Core Analysis to Predict Waterflooding Performance in a Heterogeneous Carbonate Reservoir, Offshore Abu Dhabi","type":"paper-conference"},"uris":["http://www.mendeley.com/documents/?uuid=433c3523-2d43-4fa7-8b09-24e4720aef99","http://www.mendeley.com/documents/?uuid=a08dc94e-f822-4b6f-b3b5-d4fb27505e65"]}],"mendeley":{"formattedCitation":"(Oseto et al., 2006)","plainTextFormattedCitation":"(Oseto et al., 2006)","previouslyFormattedCitation":"(Oseto et al., 2006)"},"properties":{"noteIndex":0},"schema":"https://github.com/citation-style-language/schema/raw/master/csl-citation.json"}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(Oseto et al., 2006)</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Carbonate</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0.46</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0.89</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54.2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25.3</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-0.33</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-0.41</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42.3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0.26</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Johannesen and Graue</w:t>
            </w:r>
            <w:r w:rsidRPr="007E0126">
              <w:rPr>
                <w:rFonts w:ascii="Times" w:hAnsi="Times" w:cs="Times"/>
                <w:sz w:val="18"/>
                <w:szCs w:val="18"/>
              </w:rPr>
              <w:t xml:space="preserve">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{"citationItems":[{"id":"ITEM-1","itemData":{"DOI":"10.2118/108593-MS","author":[{"dropping-particle":"","family":"Johannesen","given":"Else B.","non-dropping-particle":"","parse-names":false,"suffix":""},{"dropping-particle":"","family":"Graue","given":"Arne","non-dropping-particle":"","parse-names":false,"suffix":""}],"container-title":"SPE Offshore Europe Oil and Gas Conference and Exhibition","id":"ITEM-1","issued":{"date-parts":[["2007","9"]]},"publisher":"SPE","title":"Systematic Investigation of Waterflood Reducing Residual Oil Saturations by Increasing Differential Pressures at Various Wettabilities","type":"paper-conference"},"uris":["http://www.mendeley.com/documents/?uuid=69c62ed7-8e9f-42f6-a227-1141b79c2020","http://www.mendeley.com/documents/?uuid=4504681d-c0d6-4169-aa90-986f02fa0693"]}],"mendeley":{"formattedCitation":"(Johannesen &amp; Graue, 2007)","manualFormatting":"(Johannesen and Graue, 2007)","plainTextFormattedCitation":"(Johannesen &amp; Graue, 2007)","previouslyFormattedCitation":"(Johannesen &amp; Graue, 2007)"},"properties":{"noteIndex":0},"schema":"https://github.com/citation-style-language/schema/raw/master/csl-citation.json"}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(Johannesen and Graue, 2007)</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Rørdal 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40.6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24.4</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24.4</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30.1</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37.6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19.4</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19.4</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20.3</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23.1</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20.1</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20.3</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16.3</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22.4</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34.5</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Cs/>
                <w:sz w:val="18"/>
                <w:szCs w:val="18"/>
              </w:rPr>
              <w:t>-</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0.35</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b/>
                <w:bCs/>
                <w:sz w:val="18"/>
                <w:szCs w:val="18"/>
              </w:rPr>
            </w:pPr>
            <w:r w:rsidRPr="007E0126">
              <w:rPr>
                <w:rFonts w:ascii="Times" w:hAnsi="Times" w:cs="Times"/>
                <w:b/>
                <w:bCs/>
                <w:sz w:val="18"/>
                <w:szCs w:val="18"/>
              </w:rPr>
              <w:t xml:space="preserve">Brautaset et al., </w:t>
            </w:r>
            <w:r w:rsidRPr="007E0126">
              <w:rPr>
                <w:rFonts w:ascii="Times" w:hAnsi="Times" w:cs="Times"/>
                <w:b/>
                <w:bCs/>
                <w:sz w:val="18"/>
                <w:szCs w:val="18"/>
              </w:rPr>
              <w:fldChar w:fldCharType="begin" w:fldLock="1"/>
            </w:r>
            <w:r w:rsidRPr="007E0126">
              <w:rPr>
                <w:rFonts w:ascii="Times" w:hAnsi="Times" w:cs="Times"/>
                <w:b/>
                <w:bCs/>
                <w:sz w:val="18"/>
                <w:szCs w:val="18"/>
              </w:rPr>
              <w:instrText>ADDIN CSL_CITATION {"citationItems":[{"id":"ITEM-1","itemData":{"author":[{"dropping-particle":"","family":"Brautaset","given":"A","non-dropping-particle":"","parse-names":false,"suffix":""},{"dropping-particle":"","family":"Ersland","given":"G","non-dropping-particle":"","parse-names":false,"suffix":""},{"dropping-particle":"","family":"Graue","given":"A","non-dropping-particle":"","parse-names":false,"suffix":""},{"dropping-particle":"","family":"Stevens","given":"J","non-dropping-particle":"","parse-names":false,"suffix":""},{"dropping-particle":"","family":"Howard","given":"J","non-dropping-particle":"","parse-names":false,"suffix":""}],"container-title":"Int. Symp. Soc. Core Anal. Abu Dhabi, UAE","id":"ITEM-1","issued":{"date-parts":[["2008"]]},"title":"Using MRI to study in situ oil recovery during CO2 injection in carbonates","type":"paper-conference"},"uris":["http://www.mendeley.com/documents/?uuid=692fdf00-32ca-4bf3-8163-3d7699398f4d"]}],"mendeley":{"formattedCitation":"(Brautaset et al., 2008)","plainTextFormattedCitation":"(Brautaset et al., 2008)","previouslyFormattedCitation":"(Brautaset et al., 2008)"},"properties":{"noteIndex":0},"schema":"https://github.com/citation-style-language/schema/raw/master/csl-citation.json"}</w:instrText>
            </w:r>
            <w:r w:rsidRPr="007E0126">
              <w:rPr>
                <w:rFonts w:ascii="Times" w:hAnsi="Times" w:cs="Times"/>
                <w:b/>
                <w:bCs/>
                <w:sz w:val="18"/>
                <w:szCs w:val="18"/>
              </w:rPr>
              <w:fldChar w:fldCharType="separate"/>
            </w:r>
            <w:r w:rsidRPr="007E0126">
              <w:rPr>
                <w:rFonts w:ascii="Times" w:hAnsi="Times" w:cs="Times"/>
                <w:bCs/>
                <w:noProof/>
                <w:sz w:val="18"/>
                <w:szCs w:val="18"/>
              </w:rPr>
              <w:t>(Brautaset et al., 2008)</w:t>
            </w:r>
            <w:r w:rsidRPr="007E0126">
              <w:rPr>
                <w:rFonts w:ascii="Times" w:hAnsi="Times" w:cs="Times"/>
                <w:b/>
                <w:bC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Portland 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0.25</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48.4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0.15</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53.2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0.67</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Haugen et al.,</w:t>
            </w:r>
            <w:r w:rsidRPr="007E0126">
              <w:rPr>
                <w:rFonts w:ascii="Times" w:hAnsi="Times" w:cs="Times"/>
                <w:sz w:val="18"/>
                <w:szCs w:val="18"/>
              </w:rPr>
              <w:t xml:space="preserve">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{"citationItems":[{"id":"ITEM-1","itemData":{"DOI":"10.1021/ef1000453","ISSN":"0887-0624","author":[{"dropping-particle":"","family":"Haugen","given":"Åsmund","non-dropping-particle":"","parse-names":false,"suffix":""},{"dropping-particle":"","family":"Fernø","given":"Martin A.","non-dropping-particle":"","parse-names":false,"suffix":""},{"dropping-particle":"","family":"Bull","given":"Øyvind","non-dropping-particle":"","parse-names":false,"suffix":""},{"dropping-particle":"","family":"Graue","given":"Arne","non-dropping-particle":"","parse-names":false,"suffix":""}],"container-title":"Energy &amp; Fuels","id":"ITEM-1","issue":"5","issued":{"date-parts":[["2010","5"]]},"page":"3020-3027","title":"Wettability Impacts on Oil Displacement in Large Fractured Carbonate Blocks","type":"article-journal","volume":"24"},"uris":["http://www.mendeley.com/documents/?uuid=61c1bcbf-b9ae-4f22-bc57-29fc3f9b5c7e","http://www.mendeley.com/documents/?uuid=2c003c90-4dc2-4ba1-89e8-47fc8942ba6c"]}],"mendeley":{"formattedCitation":"(Haugen et al., 2010)","plainTextFormattedCitation":"(Haugen et al., 2010)","previouslyFormattedCitation":"(Haugen et al., 2010)"},"properties":{"noteIndex":0},"schema":"https://github.com/citation-style-language/schema/raw/master/csl-citation.json"}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(Haugen et al., 2010)</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Portland 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0.18</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Edwards</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b/>
                <w:bCs/>
                <w:sz w:val="18"/>
                <w:szCs w:val="18"/>
              </w:rPr>
            </w:pPr>
            <w:r w:rsidRPr="007E0126">
              <w:rPr>
                <w:rFonts w:ascii="Times" w:hAnsi="Times" w:cs="Times"/>
                <w:b/>
                <w:bCs/>
                <w:sz w:val="18"/>
                <w:szCs w:val="18"/>
              </w:rPr>
              <w:t xml:space="preserve">Fernø et al., </w:t>
            </w:r>
            <w:r w:rsidRPr="007E0126">
              <w:rPr>
                <w:rFonts w:ascii="Times" w:hAnsi="Times" w:cs="Times"/>
                <w:b/>
                <w:bCs/>
                <w:sz w:val="18"/>
                <w:szCs w:val="18"/>
              </w:rPr>
              <w:fldChar w:fldCharType="begin" w:fldLock="1"/>
            </w:r>
            <w:r w:rsidRPr="007E0126">
              <w:rPr>
                <w:rFonts w:ascii="Times" w:hAnsi="Times" w:cs="Times"/>
                <w:b/>
                <w:bCs/>
                <w:sz w:val="18"/>
                <w:szCs w:val="18"/>
              </w:rPr>
              <w:instrText>ADDIN CSL_CITATION {"citationItems":[{"id":"ITEM-1","itemData":{"DOI":"10.1021/ef200136w","ISSN":"0887-0624","author":[{"dropping-particle":"","family":"Fernø","given":"M. A.","non-dropping-particle":"","parse-names":false,"suffix":""},{"dropping-particle":"","family":"Grønsdal","given":"R.","non-dropping-particle":"","parse-names":false,"suffix":""},{"dropping-particle":"","family":"Åsheim","given":"J.","non-dropping-particle":"","parse-names":false,"suffix":""},{"dropping-particle":"","family":"Nyheim","given":"A.","non-dropping-particle":"","parse-names":false,"suffix":""},{"dropping-particle":"","family":"Berge","given":"M.","non-dropping-particle":"","parse-names":false,"suffix":""},{"dropping-particle":"","family":"Graue","given":"A.","non-dropping-particle":"","parse-names":false,"suffix":""}],"container-title":"Energy &amp; Fuels","id":"ITEM-1","issue":"4","issued":{"date-parts":[["2011","4"]]},"page":"1697-1706","title":"Use of Sulfate for Water Based Enhanced Oil Recovery during Spontaneous Imbibition in Chalk","type":"article-journal","volume":"25"},"uris":["http://www.mendeley.com/documents/?uuid=0ed806c7-fbc8-4cb1-acdf-4987b3fa7af9","http://www.mendeley.com/documents/?uuid=718b7e9a-ce64-42ca-ab45-19d71f77a25c"]}],"mendeley":{"formattedCitation":"(Fernø et al., 2011)","plainTextFormattedCitation":"(Fernø et al., 2011)","previouslyFormattedCitation":"(Fernø et al., 2011)"},"properties":{"noteIndex":0},"schema":"https://github.com/citation-style-language/schema/raw/master/csl-citation.json"}</w:instrText>
            </w:r>
            <w:r w:rsidRPr="007E0126">
              <w:rPr>
                <w:rFonts w:ascii="Times" w:hAnsi="Times" w:cs="Times"/>
                <w:b/>
                <w:bCs/>
                <w:sz w:val="18"/>
                <w:szCs w:val="18"/>
              </w:rPr>
              <w:fldChar w:fldCharType="separate"/>
            </w:r>
            <w:r w:rsidRPr="007E0126">
              <w:rPr>
                <w:rFonts w:ascii="Times" w:hAnsi="Times" w:cs="Times"/>
                <w:bCs/>
                <w:noProof/>
                <w:sz w:val="18"/>
                <w:szCs w:val="18"/>
              </w:rPr>
              <w:t>(Fernø et al., 2011)</w:t>
            </w:r>
            <w:r w:rsidRPr="007E0126">
              <w:rPr>
                <w:rFonts w:ascii="Times" w:hAnsi="Times" w:cs="Times"/>
                <w:b/>
                <w:bC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Stevens 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42.6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0.57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0.18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42.5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41.3</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0.58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0.14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43.2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50.0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0.70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0.15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7.4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52.1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0.72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0.31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45.1</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39.7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0.55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4.1</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45.8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51.0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0.67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46.2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44.6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0.59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6.5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47.7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34.6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46.8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12.0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41.7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0.08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49.9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10.0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61.7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0.69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0.11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48.5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16.0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53.2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0.63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0.14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49.7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23.9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0.31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0.09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48.8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28.8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0.38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R</w:t>
            </w:r>
            <w:r w:rsidRPr="007E0126">
              <w:rPr>
                <w:rFonts w:ascii="Times" w:hAnsi="Times" w:cs="Times"/>
                <w:bCs/>
                <w:sz w:val="18"/>
                <w:szCs w:val="18"/>
              </w:rPr>
              <w:t>ø</w:t>
            </w:r>
            <w:r w:rsidRPr="007E0126">
              <w:rPr>
                <w:sz w:val="18"/>
                <w:szCs w:val="18"/>
              </w:rPr>
              <w:t>rdal 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6.3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45.9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36.7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47.1</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0.05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46.4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36.3</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0.11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5.1</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46.5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18.0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39.6</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0.15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46.7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32.2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0.11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5.2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45.5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Niobrara</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36.6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38.2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0.50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0.32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36.9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37.8</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0.26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37.8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34.3</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0.34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37.2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39.1</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0.52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0.32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37.3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32.9</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0.48</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38.8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38.7</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0.48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sz w:val="18"/>
                <w:szCs w:val="18"/>
              </w:rPr>
              <w:t>0.4</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2.6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37.5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19.0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40.2</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sz w:val="18"/>
                <w:szCs w:val="18"/>
              </w:rPr>
              <w:t>0.50</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Graue et al.,</w:t>
            </w:r>
            <w:r w:rsidRPr="007E0126">
              <w:rPr>
                <w:rFonts w:ascii="Times" w:hAnsi="Times" w:cs="Times"/>
                <w:sz w:val="18"/>
                <w:szCs w:val="18"/>
              </w:rPr>
              <w:t xml:space="preserve">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10.1016/j.petrol.2012.06.020","ISSN":"09204105","author":[{"dropping-particle":"","family":"Graue","given":"A.","non-dropping-particle":"","parse-names":false,"suffix":""},{"dropping-particle":"","family":"Fernø","given":"M.A.","non-dropping-particle":"","parse-names":false,"suffix":""},{"dropping-particle":"","family":"Aspenes","given":"E.","non-dropping-particle":"","parse-names":false,"suffix":""},{"dropping-particle":"","family":"Needham","given":"R.","non-dropping-particle":"","parse-names":false,"suffix":""}],"container-title":"Journal of Petroleum Science and Engineering","id":"ITEM-1","issued":{"date-parts":[["2012","9"]]},"page":"89-99","title":"Wettability effects on water mixing during waterflood oil recovery","type":"article-journal","volume":"94-95"},"uris":["http://www.mendeley.com/documents/?uuid=9d32ea15-0ce9-4166-a4f7-3ce065ea7811","http://www.mendeley.com/documents/?uuid=d91df278-5f55-454f-bade-dda399179412"]}],"mendeley":{"formattedCitation":"(A. Graue et al., 2012)","manualFormatting":"(Graue et al., 2012)","plainTextFormattedCitation":"(A. Graue et al., 2012)","previouslyFormattedCitation":"(A. Graue et al., 2012)"},"properties":{"noteIndex":0},"schema":"https://github.com/citation-style-language/schema/raw/master/csl-citation.json"}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(Graue et al., 2012)</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45.6</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0.28</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0.44</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0.65</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0.33</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0.24</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b/>
                <w:bCs/>
                <w:sz w:val="18"/>
                <w:szCs w:val="18"/>
              </w:rPr>
            </w:pPr>
            <w:r w:rsidRPr="007E0126">
              <w:rPr>
                <w:rFonts w:ascii="Times" w:hAnsi="Times" w:cs="Times"/>
                <w:b/>
                <w:bCs/>
                <w:sz w:val="18"/>
                <w:szCs w:val="18"/>
              </w:rPr>
              <w:t xml:space="preserve">Kasmaei and Rao </w:t>
            </w:r>
            <w:r w:rsidRPr="007E0126">
              <w:rPr>
                <w:rFonts w:ascii="Times" w:hAnsi="Times" w:cs="Times"/>
                <w:b/>
                <w:bCs/>
                <w:sz w:val="18"/>
                <w:szCs w:val="18"/>
              </w:rPr>
              <w:fldChar w:fldCharType="begin" w:fldLock="1"/>
            </w:r>
            <w:r w:rsidRPr="007E0126">
              <w:rPr>
                <w:rFonts w:ascii="Times" w:hAnsi="Times" w:cs="Times"/>
                <w:b/>
                <w:bCs/>
                <w:sz w:val="18"/>
                <w:szCs w:val="18"/>
              </w:rPr>
              <w:instrText>ADDIN CSL_CITATION {"citationItems":[{"id":"ITEM-1","itemData":{"DOI":"10.2118/169120-PA","ISSN":"1094-6470","abstract":"Low-salinity waterflooding is gaining some attention in the recent literature as a means of improving oil recoveries. However, a clear understanding of the key mechanism(s) of low-salinity waterflooding does not seem to have emerged, although wettability alteration is repeatedly cited as the cause for the observed effects, though without much experimental evidence. Moreover, much of the reported low-salinity work appears to be related to sandstone reservoirs (Morrow and Buckley 2011).","author":[{"dropping-particle":"","family":"Kafili Kasmaei","given":"A..","non-dropping-particle":"","parse-names":false,"suffix":""},{"dropping-particle":"","family":"Rao","given":"D.N.. N.","non-dropping-particle":"","parse-names":false,"suffix":""}],"container-title":"SPE Reservoir Evaluation &amp; Engineering","id":"ITEM-1","issue":"02","issued":{"date-parts":[["2015","5"]]},"page":"228-235","title":"Is Wettability Alteration the Main Cause for Enhanced Recovery in Low-Salinity Waterflooding?","type":"article-journal","volume":"18"},"uris":["http://www.mendeley.com/documents/?uuid=8cfb257a-498b-4ba0-be34-ae9bea98ec39","http://www.mendeley.com/documents/?uuid=49ff36da-f6b2-403e-97ed-d2a779f2f7ec"]}],"mendeley":{"formattedCitation":"(Kafili Kasmaei &amp; Rao, 2015)","manualFormatting":"(Kasmaei and Rao, 2015)","plainTextFormattedCitation":"(Kafili Kasmaei &amp; Rao, 2015)","previouslyFormattedCitation":"(Kafili Kasmaei &amp; Rao, 2015)"},"properties":{"noteIndex":0},"schema":"https://github.com/citation-style-language/schema/raw/master/csl-citation.json"}</w:instrText>
            </w:r>
            <w:r w:rsidRPr="007E0126">
              <w:rPr>
                <w:rFonts w:ascii="Times" w:hAnsi="Times" w:cs="Times"/>
                <w:b/>
                <w:bCs/>
                <w:sz w:val="18"/>
                <w:szCs w:val="18"/>
              </w:rPr>
              <w:fldChar w:fldCharType="separate"/>
            </w:r>
            <w:r w:rsidRPr="007E0126">
              <w:rPr>
                <w:rFonts w:ascii="Times" w:hAnsi="Times" w:cs="Times"/>
                <w:bCs/>
                <w:noProof/>
                <w:sz w:val="18"/>
                <w:szCs w:val="18"/>
              </w:rPr>
              <w:t>(Kasmaei and Rao, 2015)</w:t>
            </w:r>
            <w:r w:rsidRPr="007E0126">
              <w:rPr>
                <w:rFonts w:ascii="Times" w:hAnsi="Times" w:cs="Times"/>
                <w:b/>
                <w:bC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Silurian dolomite</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158</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45-100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115</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45-100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0.26</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b/>
                <w:bCs/>
                <w:sz w:val="18"/>
                <w:szCs w:val="18"/>
              </w:rPr>
            </w:pPr>
            <w:r w:rsidRPr="007E0126">
              <w:rPr>
                <w:rFonts w:ascii="Times" w:hAnsi="Times" w:cs="Times"/>
                <w:b/>
                <w:bCs/>
                <w:sz w:val="18"/>
                <w:szCs w:val="18"/>
              </w:rPr>
              <w:t xml:space="preserve">Al Mahrouqi et al., </w:t>
            </w:r>
            <w:r w:rsidRPr="007E0126">
              <w:rPr>
                <w:rFonts w:ascii="Times" w:hAnsi="Times" w:cs="Times"/>
                <w:b/>
                <w:bCs/>
                <w:sz w:val="18"/>
                <w:szCs w:val="18"/>
              </w:rPr>
              <w:fldChar w:fldCharType="begin" w:fldLock="1"/>
            </w:r>
            <w:r w:rsidRPr="007E0126">
              <w:rPr>
                <w:rFonts w:ascii="Times" w:hAnsi="Times" w:cs="Times"/>
                <w:b/>
                <w:bCs/>
                <w:sz w:val="18"/>
                <w:szCs w:val="18"/>
              </w:rPr>
              <w:instrText>ADDIN CSL_CITATION {"citationItems":[{"id":"ITEM-1","itemData":{"DOI":"10.2118/177242-MS","author":[{"dropping-particle":"","family":"Mahrouqi","given":"D. A.","non-dropping-particle":"Al","parse-names":false,"suffix":""},{"dropping-particle":"","family":"Vinogradov","given":"J.","non-dropping-particle":"","parse-names":false,"suffix":""},{"dropping-particle":"","family":"Jackson","given":"M. D.","non-dropping-particle":"","parse-names":false,"suffix":""}],"container-title":"SPE Latin American and Caribbean Petroleum Engineering Conference","id":"ITEM-1","issued":{"date-parts":[["2015","11","18"]]},"publisher":"SPE","title":"Understanding Controlled Salinity Waterflooding in Carbonates Using Streaming Potential Measurements","type":"paper-conference"},"uris":["http://www.mendeley.com/documents/?uuid=fa1b405b-6348-4699-b2ee-2661e8f11d8a"]}],"mendeley":{"formattedCitation":"(Al Mahrouqi et al., 2015)","plainTextFormattedCitation":"(Al Mahrouqi et al., 2015)","previouslyFormattedCitation":"(Al Mahrouqi et al., 2015)"},"properties":{"noteIndex":0},"schema":"https://github.com/citation-style-language/schema/raw/master/csl-citation.json"}</w:instrText>
            </w:r>
            <w:r w:rsidRPr="007E0126">
              <w:rPr>
                <w:rFonts w:ascii="Times" w:hAnsi="Times" w:cs="Times"/>
                <w:b/>
                <w:bCs/>
                <w:sz w:val="18"/>
                <w:szCs w:val="18"/>
              </w:rPr>
              <w:fldChar w:fldCharType="separate"/>
            </w:r>
            <w:r w:rsidRPr="007E0126">
              <w:rPr>
                <w:rFonts w:ascii="Times" w:hAnsi="Times" w:cs="Times"/>
                <w:bCs/>
                <w:noProof/>
                <w:sz w:val="18"/>
                <w:szCs w:val="18"/>
              </w:rPr>
              <w:t>(Al Mahrouqi et al., 2015)</w:t>
            </w:r>
            <w:r w:rsidRPr="007E0126">
              <w:rPr>
                <w:rFonts w:ascii="Times" w:hAnsi="Times" w:cs="Times"/>
                <w:b/>
                <w:bC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Estaillades</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0.87</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0.81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0.01</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0.78</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0.64</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0.61</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Graue et al.,</w:t>
            </w:r>
            <w:r w:rsidRPr="007E0126">
              <w:rPr>
                <w:rFonts w:ascii="Times" w:hAnsi="Times" w:cs="Times"/>
                <w:sz w:val="18"/>
                <w:szCs w:val="18"/>
              </w:rPr>
              <w:t xml:space="preserve">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{"citationItems":[{"id":"ITEM-1","itemData":{"DOI":"10.2118/170249-PA","ISSN":"1086-055X","abstract":"In a series of laboratory waterfloods, we investigate the extent of mixing of injection water and connate water, connate-water mobility, and connate-water banking during water injection for enhanced oil recovery (EOR). Local dynamic water saturations of connate water and injected water were imaged individually by use of a nuclear-tracer technique. The connate water was displaced from the pore space by the injected water and accumulated downstream in a connate-water bank that advanced toward the production end. The connate-water bank significantly reduced the contact between the injected water and mobile oil. During capillary displacement—i.e., during spontaneous imbibition without a viscous pressure drop—the connate water was also mobilized and accumulated downstream in the core. During viscous displacement—i.e. with a pressure gradient as small as 0.3 mbar/cm—the accumulated connate water was mobilized in a miscible displacement and produced from the core. Only a small mixing zone was observed between the injected and connate waters, even with fully miscible conditions by use of identical brine compositions. The results of the displacement mechanisms experimentally visualized in this work are important for water-based EOR techniques, including low-salinity-water and polymer injections, as well as any tertiary oil-recovery method based on chemical injection.","author":[{"dropping-particle":"","family":"Graue","given":"Arne","non-dropping-particle":"","parse-names":false,"suffix":""},{"dropping-particle":"","family":"Ramsdal","given":"Johannes","non-dropping-particle":"","parse-names":false,"suffix":""},{"dropping-particle":"","family":"Fernø","given":"Martin A.","non-dropping-particle":"","parse-names":false,"suffix":""}],"container-title":"SPE Journal","id":"ITEM-1","issue":"01","issued":{"date-parts":[["2015","2"]]},"page":"88-98","title":"Mobilization of Immobile Water: Connate-Water Mobility During Waterfloods In Heterogeneous Reservoirs","type":"article-journal","volume":"20"},"uris":["http://www.mendeley.com/documents/?uuid=659783db-3b93-48e5-8f02-de43050762db","http://www.mendeley.com/documents/?uuid=c9b817d3-b0e4-40a0-8355-5c8a0c06fd59"]}],"mendeley":{"formattedCitation":"(Arne Graue et al., 2015)","manualFormatting":"(Graue et al., 2015)","plainTextFormattedCitation":"(Arne Graue et al., 2015)","previouslyFormattedCitation":"(Arne Graue et al., 2015)"},"properties":{"noteIndex":0},"schema":"https://github.com/citation-style-language/schema/raw/master/csl-citation.json"}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(Graue et al., 2015)</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Chalk</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w:t>
            </w:r>
          </w:p>
        </w:tc>
        <w:tc>
          <w:tcPr>
            <w:tcW w:w="586"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0.33</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0.33</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0.65</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0.65</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0.50</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Alyafei and Blunt</w:t>
            </w:r>
            <w:r w:rsidRPr="007E0126">
              <w:rPr>
                <w:rFonts w:ascii="Times" w:hAnsi="Times" w:cs="Times"/>
                <w:sz w:val="18"/>
                <w:szCs w:val="18"/>
              </w:rPr>
              <w:t xml:space="preserve">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10.1016/j.advwatres.2016.02.001","ISSN":"03091708","author":[{"dropping-particle":"","family":"Alyafei","given":"Nayef","non-dropping-particle":"","parse-names":false,"suffix":""},{"dropping-particle":"","family":"Blunt","given":"Martin J.","non-dropping-particle":"","parse-names":false,"suffix":""}],"container-title":"Advances in Water Resources","id":"ITEM-1","issued":{"date-parts":[["2016","4"]]},"page":"36-50","title":"The effect of wettability on capillary trapping in carbonates","type":"article-journal","volume":"90"},"uris":["http://www.mendeley.com/documents/?uuid=0e586f63-9919-4ec0-ba8f-34432b85909e","http://www.mendeley.com/documents/?uuid=5a60c554-d33e-42ec-bea2-57140b0a2c64"]}],"mendeley":{"formattedCitation":"(Alyafei &amp; Blunt, 2016)","manualFormatting":"(Alyafei and Blunt, 2016)","plainTextFormattedCitation":"(Alyafei &amp; Blunt, 2016)","previouslyFormattedCitation":"(Alyafei &amp; Blunt, 2016)"},"properties":{"noteIndex":0},"schema":"https://github.com/citation-style-language/schema/raw/master/csl-citation.json"}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(Alyafei and Blunt, 2016)</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 xml:space="preserve">Estaillades </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209.7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171.2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261.4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299.9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0.96</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196.6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179.4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205.7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123.6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228.0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171.2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208.7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Ketton</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1398.3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1084.2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1084.2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1297.0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2127.8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3597.0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1560.4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2634.4</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Portland</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73.0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0.92</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60.0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19.8</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0.95</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7.3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75.0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0.64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13.2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0.55</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0.13</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0.11</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71.0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0.09</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3.6</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0.17</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0.41</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 xml:space="preserve">Christensen and Tanino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10.1021/acs.energyfuels.6b03249","ISSN":"0887-0624","author":[{"dropping-particle":"","family":"Christensen","given":"Magali","non-dropping-particle":"","parse-names":false,"suffix":""},{"dropping-particle":"","family":"Tanino","given":"Yukie","non-dropping-particle":"","parse-names":false,"suffix":""}],"container-title":"Energy &amp; Fuels","id":"ITEM-1","issue":"2","issued":{"date-parts":[["2017","2"]]},"page":"1529-1535","title":"Waterflood Oil Recovery from Mixed-Wet Limestone: Dependence upon the Contact Angle","type":"article-journal","volume":"31"},"uris":["http://www.mendeley.com/documents/?uuid=a11ddb03-f34a-4e13-a232-e0e410e6014b","http://www.mendeley.com/documents/?uuid=4f3eac4e-250e-4544-88b5-eeb59186d0c4"]}],"mendeley":{"formattedCitation":"(Christensen &amp; Tanino, 2017)","manualFormatting":"(Christensen and Tanino, 2017)","plainTextFormattedCitation":"(Christensen &amp; Tanino, 2017)","previouslyFormattedCitation":"(Christensen &amp; Tanino, 2017)"},"properties":{"noteIndex":0},"schema":"https://github.com/citation-style-language/schema/raw/master/csl-citation.json"}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(Christensen and Tanino, 2017)</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Indiana limestone</w:t>
            </w:r>
          </w:p>
        </w:tc>
        <w:tc>
          <w:tcPr>
            <w:tcW w:w="380"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54</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8.8</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15.2</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7.2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47.0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108</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8.0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6.3</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15.5</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127</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11.0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30.0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8.5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15.4</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7.5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134</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1.1</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15.6</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28.0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4.2</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14.7</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13.0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29.0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13.9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150</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1.7</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13.3</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9.0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35.0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0.38</w:t>
            </w:r>
          </w:p>
        </w:tc>
      </w:tr>
      <w:tr w:rsidR="008B5E91" w:rsidRPr="007E0126" w:rsidTr="008512F1">
        <w:trPr>
          <w:trHeight w:hRule="exact" w:val="288"/>
        </w:trPr>
        <w:tc>
          <w:tcPr>
            <w:tcW w:w="928" w:type="pct"/>
            <w:vMerge/>
            <w:tcBorders>
              <w:left w:val="nil"/>
              <w:bottom w:val="single" w:sz="4" w:space="0" w:color="auto"/>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Borders>
              <w:bottom w:val="single" w:sz="4" w:space="0" w:color="auto"/>
            </w:tcBorders>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w:t>
            </w:r>
          </w:p>
        </w:tc>
        <w:tc>
          <w:tcPr>
            <w:tcW w:w="419"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13.9</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7.0</w:t>
            </w:r>
          </w:p>
        </w:tc>
        <w:tc>
          <w:tcPr>
            <w:tcW w:w="312" w:type="pct"/>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538" w:type="pct"/>
            <w:tcBorders>
              <w:right w:val="nil"/>
            </w:tcBorders>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0.34</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rPr>
                <w:rFonts w:ascii="Times" w:hAnsi="Times" w:cs="Times"/>
                <w:b/>
                <w:bCs/>
                <w:sz w:val="18"/>
                <w:szCs w:val="18"/>
              </w:rPr>
            </w:pPr>
            <w:r w:rsidRPr="007E0126">
              <w:rPr>
                <w:rFonts w:ascii="Times" w:hAnsi="Times" w:cs="Times"/>
                <w:b/>
                <w:bCs/>
                <w:sz w:val="18"/>
                <w:szCs w:val="18"/>
              </w:rPr>
              <w:t xml:space="preserve">Tetteh and Barati </w:t>
            </w:r>
            <w:r w:rsidRPr="007E0126">
              <w:rPr>
                <w:rFonts w:ascii="Times" w:hAnsi="Times" w:cs="Times"/>
                <w:b/>
                <w:bCs/>
                <w:sz w:val="18"/>
                <w:szCs w:val="18"/>
              </w:rPr>
              <w:fldChar w:fldCharType="begin" w:fldLock="1"/>
            </w:r>
            <w:r w:rsidRPr="007E0126">
              <w:rPr>
                <w:rFonts w:ascii="Times" w:hAnsi="Times" w:cs="Times"/>
                <w:b/>
                <w:bCs/>
                <w:sz w:val="18"/>
                <w:szCs w:val="18"/>
              </w:rPr>
              <w:instrText>ADDIN CSL_CITATION {"citationItems":[{"id":"ITEM-1","itemData":{"DOI":"10.2118/194006-PA","ISSN":"1094-6470","abstract":"Low-salinity waterflooding in limestone formations has been less explored and hence less understood in enhanced-oil-recovery (EOR) literature. The mechanisms leading to improved recovery have been mostly attributed to wettability alteration, with less attention given to fluid/fluid-interaction mechanisms. In this work, we present a thorough investigation of the formation of water-in-oil microdispersions generated when low-salinity brine encounters crude oil and the suppressed snap-off effect caused by the presence of sulfate content in seawater-equivalent-salinity brines as recovery mechanisms in limestone rocks. We believe this is a mechanism that leads to the improved oil recovery experienced with low-salinity waterflooding and seawaterflooding in carbonate formations. This novel interpretation was studied by integrating petrographic and spectroscopic observations, dynamic interfacial-tension (IFT) measurements, thermogravimetrical analyses, and coreflooding techniques.","author":[{"dropping-particle":"","family":"Tetteh","given":"Joel T.","non-dropping-particle":"","parse-names":false,"suffix":""},{"dropping-particle":"","family":"Barati","given":"Reza","non-dropping-particle":"","parse-names":false,"suffix":""}],"container-title":"SPE Reservoir Evaluation &amp; Engineering","id":"ITEM-1","issue":"03","issued":{"date-parts":[["2019","8","15"]]},"page":"877-896","title":"Crude-Oil/Brine Interaction as a Recovery Mechanism for Low-Salinity Waterflooding of Carbonate Reservoirs","type":"article-journal","volume":"22"},"uris":["http://www.mendeley.com/documents/?uuid=da669510-be03-4a5a-9534-de907e82eb19"]}],"mendeley":{"formattedCitation":"(Tetteh &amp; Barati, 2019)","manualFormatting":"(Tetteh and Barati, 2019)","plainTextFormattedCitation":"(Tetteh &amp; Barati, 2019)","previouslyFormattedCitation":"(Tetteh &amp; Barati, 2019)"},"properties":{"noteIndex":0},"schema":"https://github.com/citation-style-language/schema/raw/master/csl-citation.json"}</w:instrText>
            </w:r>
            <w:r w:rsidRPr="007E0126">
              <w:rPr>
                <w:rFonts w:ascii="Times" w:hAnsi="Times" w:cs="Times"/>
                <w:b/>
                <w:bCs/>
                <w:sz w:val="18"/>
                <w:szCs w:val="18"/>
              </w:rPr>
              <w:fldChar w:fldCharType="separate"/>
            </w:r>
            <w:r w:rsidRPr="007E0126">
              <w:rPr>
                <w:rFonts w:ascii="Times" w:hAnsi="Times" w:cs="Times"/>
                <w:bCs/>
                <w:noProof/>
                <w:sz w:val="18"/>
                <w:szCs w:val="18"/>
              </w:rPr>
              <w:t>(Tetteh and Barati, 2019)</w:t>
            </w:r>
            <w:r w:rsidRPr="007E0126">
              <w:rPr>
                <w:rFonts w:ascii="Times" w:hAnsi="Times" w:cs="Times"/>
                <w:b/>
                <w:bC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Indiana limestone</w:t>
            </w:r>
          </w:p>
        </w:tc>
        <w:tc>
          <w:tcPr>
            <w:tcW w:w="380" w:type="pc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125</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88.9</w:t>
            </w:r>
          </w:p>
        </w:tc>
        <w:tc>
          <w:tcPr>
            <w:tcW w:w="419"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18.8</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31.0</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41.5</w:t>
            </w:r>
          </w:p>
        </w:tc>
        <w:tc>
          <w:tcPr>
            <w:tcW w:w="538" w:type="pct"/>
            <w:tcBorders>
              <w:right w:val="nil"/>
            </w:tcBorders>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0.60</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60</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106.9</w:t>
            </w:r>
          </w:p>
        </w:tc>
        <w:tc>
          <w:tcPr>
            <w:tcW w:w="419"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18.9</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43.0</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35.9</w:t>
            </w:r>
          </w:p>
        </w:tc>
        <w:tc>
          <w:tcPr>
            <w:tcW w:w="538" w:type="pct"/>
            <w:tcBorders>
              <w:right w:val="nil"/>
            </w:tcBorders>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0.63</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126.4</w:t>
            </w:r>
          </w:p>
        </w:tc>
        <w:tc>
          <w:tcPr>
            <w:tcW w:w="419"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19.3</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31.0</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46.2</w:t>
            </w:r>
          </w:p>
        </w:tc>
        <w:tc>
          <w:tcPr>
            <w:tcW w:w="538" w:type="pct"/>
            <w:tcBorders>
              <w:right w:val="nil"/>
            </w:tcBorders>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0.67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23.5</w:t>
            </w:r>
          </w:p>
        </w:tc>
        <w:tc>
          <w:tcPr>
            <w:tcW w:w="419"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16.9</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39.0</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37.9</w:t>
            </w:r>
          </w:p>
        </w:tc>
        <w:tc>
          <w:tcPr>
            <w:tcW w:w="538" w:type="pct"/>
            <w:tcBorders>
              <w:right w:val="nil"/>
            </w:tcBorders>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0.62</w:t>
            </w:r>
          </w:p>
        </w:tc>
      </w:tr>
      <w:tr w:rsidR="008B5E91" w:rsidRPr="007E0126" w:rsidTr="008512F1">
        <w:trPr>
          <w:trHeight w:hRule="exact" w:val="288"/>
        </w:trPr>
        <w:tc>
          <w:tcPr>
            <w:tcW w:w="928" w:type="pct"/>
            <w:vMerge/>
            <w:tcBorders>
              <w:left w:val="nil"/>
              <w:bottom w:val="single" w:sz="4" w:space="0" w:color="auto"/>
            </w:tcBorders>
            <w:vAlign w:val="center"/>
          </w:tcPr>
          <w:p w:rsidR="008B5E91" w:rsidRPr="007E0126" w:rsidRDefault="008B5E91" w:rsidP="008512F1">
            <w:pPr>
              <w:snapToGrid w:val="0"/>
              <w:spacing w:line="276" w:lineRule="auto"/>
              <w:rPr>
                <w:rFonts w:ascii="Times" w:hAnsi="Times" w:cs="Times"/>
                <w:b/>
                <w:bCs/>
                <w:sz w:val="18"/>
                <w:szCs w:val="18"/>
              </w:rPr>
            </w:pPr>
          </w:p>
        </w:tc>
        <w:tc>
          <w:tcPr>
            <w:tcW w:w="578" w:type="pct"/>
            <w:vMerge/>
            <w:tcBorders>
              <w:bottom w:val="single" w:sz="4" w:space="0" w:color="auto"/>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380" w:type="pct"/>
            <w:vMerge/>
            <w:vAlign w:val="center"/>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117.4</w:t>
            </w:r>
          </w:p>
        </w:tc>
        <w:tc>
          <w:tcPr>
            <w:tcW w:w="419"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19.5</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44.0</w:t>
            </w:r>
          </w:p>
        </w:tc>
        <w:tc>
          <w:tcPr>
            <w:tcW w:w="312" w:type="pct"/>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33.6</w:t>
            </w:r>
          </w:p>
        </w:tc>
        <w:tc>
          <w:tcPr>
            <w:tcW w:w="538" w:type="pct"/>
            <w:tcBorders>
              <w:right w:val="nil"/>
            </w:tcBorders>
          </w:tcPr>
          <w:p w:rsidR="008B5E91" w:rsidRPr="007E0126" w:rsidRDefault="008B5E91" w:rsidP="008512F1">
            <w:pPr>
              <w:snapToGrid w:val="0"/>
              <w:spacing w:line="276" w:lineRule="auto"/>
              <w:jc w:val="center"/>
              <w:rPr>
                <w:rFonts w:ascii="Times New Roman" w:hAnsi="Times New Roman" w:cs="Times New Roman"/>
                <w:sz w:val="18"/>
                <w:szCs w:val="18"/>
              </w:rPr>
            </w:pPr>
            <w:r w:rsidRPr="007E0126">
              <w:rPr>
                <w:rFonts w:ascii="Times New Roman" w:hAnsi="Times New Roman" w:cs="Times New Roman"/>
                <w:sz w:val="18"/>
                <w:szCs w:val="18"/>
              </w:rPr>
              <w:t>0.60</w:t>
            </w:r>
          </w:p>
        </w:tc>
      </w:tr>
      <w:tr w:rsidR="008B5E91" w:rsidRPr="007E0126" w:rsidTr="008512F1">
        <w:trPr>
          <w:trHeight w:hRule="exact" w:val="288"/>
        </w:trPr>
        <w:tc>
          <w:tcPr>
            <w:tcW w:w="928" w:type="pct"/>
            <w:vMerge w:val="restart"/>
            <w:tcBorders>
              <w:top w:val="single" w:sz="4" w:space="0" w:color="auto"/>
              <w:left w:val="nil"/>
              <w:bottom w:val="single" w:sz="12" w:space="0" w:color="auto"/>
            </w:tcBorders>
            <w:vAlign w:val="center"/>
          </w:tcPr>
          <w:p w:rsidR="008B5E91" w:rsidRPr="007E0126" w:rsidRDefault="008B5E91" w:rsidP="008512F1">
            <w:pPr>
              <w:snapToGrid w:val="0"/>
              <w:spacing w:line="276" w:lineRule="auto"/>
              <w:rPr>
                <w:rFonts w:ascii="Times" w:hAnsi="Times" w:cs="Times"/>
                <w:sz w:val="18"/>
                <w:szCs w:val="18"/>
              </w:rPr>
            </w:pPr>
            <w:r w:rsidRPr="007E0126">
              <w:rPr>
                <w:rFonts w:ascii="Times" w:hAnsi="Times" w:cs="Times"/>
                <w:b/>
                <w:bCs/>
                <w:sz w:val="18"/>
                <w:szCs w:val="18"/>
              </w:rPr>
              <w:t>Ekechukwu et al.,</w:t>
            </w:r>
            <w:r w:rsidRPr="007E0126">
              <w:rPr>
                <w:rFonts w:ascii="Times" w:hAnsi="Times" w:cs="Times"/>
                <w:sz w:val="18"/>
                <w:szCs w:val="18"/>
              </w:rPr>
              <w:t xml:space="preserve">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{"citationItems":[{"id":"ITEM-1","itemData":{"DOI":"10.1007/s11242-021-01612-3","ISBN":"0123456789","ISSN":"15731634","abstract":"The effect of wettability on waterflooding oil recovery and the associated pore-scale displacement mechanisms are systematically investigated during flow processes in limestone core samples with a broad spectrum of wettability. Using a miniature core-flooding setup integrated with micro-computed tomography (CT) imaging apparatus, we, for the first time, characterize in situ equilibrium wettability states and demonstrate capillary interactions of the flowing phases in strongly water-wet (SWW), intermediate-wet (IW), weakly oil-wet (WOW), and strongly oil-wet (SOW) systems. The microscale observations were then employed to explain the recovery results obtained from replicate, macroscale experiments. The waterflooding parameters, such as experimental temperature, brine composition, defending and invading phase properties, and the initial water saturation, were maintained nearly identical in all of the waterflooding tests, thereby ensuring that the wettability state was the only factor that controlled the variations in waterflood oil recoveries. We provide pore-scale evidences of various pore-scale displacement mechanisms and the consequent fluid configurations in systems with different wettability states. These findings are then linked to the recovery trends of macroscale experiments. The production from IW, WOW, and SOW cases portrayed a prolonged oil recovery owing to the gradual invasion of brine into small and intermediate-sized oil-wet pores. The IW case showed the highest oil recovery among all cases. Moreover, when the injection flow rate was increased, the oil recovery was gradually increased for the IW, WOW, and SOW systems, whereas no significant additional production was observed in the case of SWW.","author":[{"dropping-particle":"","family":"Ekechukwu","given":"Gerald K","non-dropping-particle":"","parse-names":false,"suffix":""},{"dropping-particle":"","family":"Khishvand","given":"Mahdi","non-dropping-particle":"","parse-names":false,"suffix":""},{"dropping-particle":"","family":"Kuang","given":"Wendi","non-dropping-particle":"","parse-names":false,"suffix":""},{"dropping-particle":"","family":"Piri","given":"Mohammad","non-dropping-particle":"","parse-names":false,"suffix":""},{"dropping-particle":"","family":"Masalmeh","given":"Shehadeh","non-dropping-particle":"","parse-names":false,"suffix":""}],"container-title":"Transport in Porous Media","id":"ITEM-1","issue":"2","issued":{"date-parts":[["2021"]]},"number-of-pages":"369-400","publisher":"Springer Netherlands","title":"The Effect of Wettability on Waterflood Oil Recovery in Carbonate Rock Samples: A Systematic Multi-scale Experimental Investigation","type":"book","volume":"138"},"uris":["http://www.mendeley.com/documents/?uuid=bb20c2c2-f70c-3cc8-a59b-42df616664e2"]}],"mendeley":{"formattedCitation":"(Ekechukwu et al., 2021)","plainTextFormattedCitation":"(Ekechukwu et al., 2021)","previouslyFormattedCitation":"(Ekechukwu et al., 2021)"},"properties":{"noteIndex":0},"schema":"https://github.com/citation-style-language/schema/raw/master/csl-citation.json"}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(Ekechukwu et al., 2021)</w:t>
            </w:r>
            <w:r w:rsidRPr="007E0126">
              <w:rPr>
                <w:rFonts w:ascii="Times" w:hAnsi="Times" w:cs="Times"/>
                <w:sz w:val="18"/>
                <w:szCs w:val="18"/>
              </w:rPr>
              <w:fldChar w:fldCharType="end"/>
            </w:r>
            <w:r w:rsidRPr="007E0126">
              <w:rPr>
                <w:rFonts w:ascii="Times" w:hAnsi="Times" w:cs="Times"/>
                <w:sz w:val="18"/>
                <w:szCs w:val="18"/>
              </w:rPr>
              <w:t xml:space="preserve"> </w:t>
            </w:r>
          </w:p>
        </w:tc>
        <w:tc>
          <w:tcPr>
            <w:tcW w:w="578" w:type="pct"/>
            <w:vMerge w:val="restart"/>
            <w:tcBorders>
              <w:top w:val="single" w:sz="4" w:space="0" w:color="auto"/>
              <w:bottom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Indiana limestone</w:t>
            </w:r>
          </w:p>
        </w:tc>
        <w:tc>
          <w:tcPr>
            <w:tcW w:w="380"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45</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160.1</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49.0</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0.74</w:t>
            </w:r>
          </w:p>
        </w:tc>
      </w:tr>
      <w:tr w:rsidR="008B5E91" w:rsidRPr="007E0126" w:rsidTr="008512F1">
        <w:trPr>
          <w:trHeight w:hRule="exact" w:val="288"/>
        </w:trPr>
        <w:tc>
          <w:tcPr>
            <w:tcW w:w="928" w:type="pct"/>
            <w:vMerge/>
            <w:tcBorders>
              <w:left w:val="nil"/>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155.0</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33.0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52.0</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0.78</w:t>
            </w:r>
          </w:p>
        </w:tc>
      </w:tr>
      <w:tr w:rsidR="008B5E91" w:rsidRPr="007E0126" w:rsidTr="008512F1">
        <w:trPr>
          <w:trHeight w:hRule="exact" w:val="288"/>
        </w:trPr>
        <w:tc>
          <w:tcPr>
            <w:tcW w:w="928" w:type="pct"/>
            <w:vMerge/>
            <w:tcBorders>
              <w:left w:val="nil"/>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87</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157.1</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31.0</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0.47</w:t>
            </w:r>
          </w:p>
        </w:tc>
      </w:tr>
      <w:tr w:rsidR="008B5E91" w:rsidRPr="007E0126" w:rsidTr="008512F1">
        <w:trPr>
          <w:trHeight w:hRule="exact" w:val="288"/>
        </w:trPr>
        <w:tc>
          <w:tcPr>
            <w:tcW w:w="928" w:type="pct"/>
            <w:vMerge/>
            <w:tcBorders>
              <w:left w:val="nil"/>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p>
        </w:tc>
        <w:tc>
          <w:tcPr>
            <w:tcW w:w="380" w:type="pct"/>
            <w:tcBorders>
              <w:bottom w:val="single" w:sz="4" w:space="0" w:color="auto"/>
            </w:tcBorders>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119</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159.1</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32.0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40.0</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0.59</w:t>
            </w:r>
          </w:p>
        </w:tc>
      </w:tr>
      <w:tr w:rsidR="008B5E91" w:rsidRPr="007E0126" w:rsidTr="008512F1">
        <w:trPr>
          <w:trHeight w:hRule="exact" w:val="288"/>
        </w:trPr>
        <w:tc>
          <w:tcPr>
            <w:tcW w:w="928" w:type="pct"/>
            <w:vMerge/>
            <w:tcBorders>
              <w:left w:val="nil"/>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val="restart"/>
            <w:tcBorders>
              <w:bottom w:val="single" w:sz="12" w:space="0" w:color="auto"/>
            </w:tcBorders>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144</w:t>
            </w:r>
          </w:p>
        </w:tc>
        <w:tc>
          <w:tcPr>
            <w:tcW w:w="356" w:type="pct"/>
            <w:tcBorders>
              <w:bottom w:val="single" w:sz="4" w:space="0" w:color="auto"/>
            </w:tcBorders>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Borders>
              <w:bottom w:val="single" w:sz="4" w:space="0" w:color="auto"/>
            </w:tcBorders>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Borders>
              <w:bottom w:val="single" w:sz="4" w:space="0" w:color="auto"/>
            </w:tcBorders>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tcBorders>
              <w:bottom w:val="single" w:sz="4"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152.0</w:t>
            </w:r>
          </w:p>
        </w:tc>
        <w:tc>
          <w:tcPr>
            <w:tcW w:w="419" w:type="pct"/>
            <w:tcBorders>
              <w:bottom w:val="single" w:sz="4"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312" w:type="pct"/>
            <w:tcBorders>
              <w:bottom w:val="single" w:sz="4"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31.0</w:t>
            </w:r>
          </w:p>
        </w:tc>
        <w:tc>
          <w:tcPr>
            <w:tcW w:w="312" w:type="pct"/>
            <w:tcBorders>
              <w:bottom w:val="single" w:sz="4"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49.0</w:t>
            </w:r>
          </w:p>
        </w:tc>
        <w:tc>
          <w:tcPr>
            <w:tcW w:w="538" w:type="pct"/>
            <w:tcBorders>
              <w:bottom w:val="single" w:sz="4" w:space="0" w:color="auto"/>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0.71</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vMerge/>
          </w:tcPr>
          <w:p w:rsidR="008B5E91" w:rsidRPr="007E0126" w:rsidRDefault="008B5E91" w:rsidP="008512F1">
            <w:pPr>
              <w:snapToGrid w:val="0"/>
              <w:spacing w:line="276" w:lineRule="auto"/>
              <w:jc w:val="center"/>
              <w:rPr>
                <w:rFonts w:ascii="Times" w:hAnsi="Times" w:cs="Times"/>
                <w:bCs/>
                <w:sz w:val="18"/>
                <w:szCs w:val="18"/>
              </w:rPr>
            </w:pP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144.9</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34.0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50.0</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0.76</w:t>
            </w:r>
          </w:p>
        </w:tc>
      </w:tr>
      <w:tr w:rsidR="008B5E91" w:rsidRPr="007E0126" w:rsidTr="008512F1">
        <w:trPr>
          <w:trHeight w:hRule="exact" w:val="288"/>
        </w:trPr>
        <w:tc>
          <w:tcPr>
            <w:tcW w:w="928" w:type="pct"/>
            <w:vMerge w:val="restart"/>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b/>
                <w:bCs/>
                <w:sz w:val="18"/>
                <w:szCs w:val="18"/>
              </w:rPr>
              <w:t>Isah et al.,</w:t>
            </w:r>
            <w:r w:rsidRPr="007E0126">
              <w:rPr>
                <w:rFonts w:ascii="Times" w:hAnsi="Times" w:cs="Times"/>
                <w:sz w:val="18"/>
                <w:szCs w:val="18"/>
              </w:rPr>
              <w:t xml:space="preserve"> </w:t>
            </w:r>
            <w:r w:rsidRPr="007E0126">
              <w:rPr>
                <w:rFonts w:ascii="Times" w:hAnsi="Times" w:cs="Times"/>
                <w:sz w:val="18"/>
                <w:szCs w:val="18"/>
              </w:rPr>
              <w:fldChar w:fldCharType="begin" w:fldLock="1"/>
            </w:r>
            <w:r w:rsidRPr="007E0126">
              <w:rPr>
                <w:rFonts w:ascii="Times" w:hAnsi="Times" w:cs="Times"/>
                <w:sz w:val="18"/>
                <w:szCs w:val="18"/>
              </w:rPr>
              <w:instrText>ADDIN CSL_CITATION {"citationItems":[{"id":"ITEM-1","itemData":{"DOI":"10.1016/j.geoen.2023.211892","ISSN":"29498910","author":[{"dropping-particle":"","family":"Isah","given":"Abubakar","non-dropping-particle":"","parse-names":false,"suffix":""},{"dropping-particle":"","family":"Arif","given":"Muhammad","non-dropping-particle":"","parse-names":false,"suffix":""},{"dropping-particle":"","family":"Mahmoud","given":"Mohamed","non-dropping-particle":"","parse-names":false,"suffix":""},{"dropping-particle":"","family":"Kamal","given":"Muhammad Shahzad","non-dropping-particle":"","parse-names":false,"suffix":""}],"container-title":"Geoenergy Science and Engineering","id":"ITEM-1","issued":{"date-parts":[["2023","8"]]},"page":"211892","title":"Influence of rock permeability and surface conditioning on carbonate wettability: A link between contact angle and Amott-index","type":"article-journal","volume":"227"},"uris":["http://www.mendeley.com/documents/?uuid=fe655879-9a91-49f9-91fe-7a91eadb9850","http://www.mendeley.com/documents/?uuid=6f860339-b80b-46b9-afd2-fb8d444f31a9"]}],"mendeley":{"formattedCitation":"(Isah et al., 2023)","plainTextFormattedCitation":"(Isah et al., 2023)","previouslyFormattedCitation":"(Isah et al., 2023)"},"properties":{"noteIndex":0},"schema":"https://github.com/citation-style-language/schema/raw/master/csl-citation.json"}</w:instrText>
            </w:r>
            <w:r w:rsidRPr="007E0126">
              <w:rPr>
                <w:rFonts w:ascii="Times" w:hAnsi="Times" w:cs="Times"/>
                <w:sz w:val="18"/>
                <w:szCs w:val="18"/>
              </w:rPr>
              <w:fldChar w:fldCharType="separate"/>
            </w:r>
            <w:r w:rsidRPr="007E0126">
              <w:rPr>
                <w:rFonts w:ascii="Times" w:hAnsi="Times" w:cs="Times"/>
                <w:noProof/>
                <w:sz w:val="18"/>
                <w:szCs w:val="18"/>
              </w:rPr>
              <w:t>(Isah et al., 2023)</w:t>
            </w:r>
            <w:r w:rsidRPr="007E0126">
              <w:rPr>
                <w:rFonts w:ascii="Times" w:hAnsi="Times" w:cs="Times"/>
                <w:sz w:val="18"/>
                <w:szCs w:val="18"/>
              </w:rPr>
              <w:fldChar w:fldCharType="end"/>
            </w:r>
          </w:p>
        </w:tc>
        <w:tc>
          <w:tcPr>
            <w:tcW w:w="578" w:type="pct"/>
            <w:vMerge w:val="restart"/>
            <w:vAlign w:val="center"/>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Indiana limestone</w:t>
            </w: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0.29</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15.8</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20.8</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0.16</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15.8</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21.5</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-0.41</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3.9</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15.8</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22.0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25.2</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0.32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0.41</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15.2</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15.1</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0.19</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0.16</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15.2</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19.6</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0.24</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15.2</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14.0</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0.52</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9.7</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15.2</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0.17</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0.08</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9.7</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16.3</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0.18</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-0.61</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9.7</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18.0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11.0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14.5</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0.16</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0.63</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216.9</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9.0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10.7</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0.12</w:t>
            </w:r>
          </w:p>
        </w:tc>
      </w:tr>
      <w:tr w:rsidR="008B5E91" w:rsidRPr="007E0126" w:rsidTr="008512F1">
        <w:trPr>
          <w:trHeight w:hRule="exact" w:val="288"/>
        </w:trPr>
        <w:tc>
          <w:tcPr>
            <w:tcW w:w="928" w:type="pct"/>
            <w:vMerge/>
            <w:tcBorders>
              <w:left w:val="nil"/>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Pr>
          <w:p w:rsidR="008B5E91" w:rsidRPr="007E0126" w:rsidRDefault="008B5E91" w:rsidP="008512F1">
            <w:pPr>
              <w:snapToGrid w:val="0"/>
              <w:spacing w:line="276" w:lineRule="auto"/>
              <w:jc w:val="center"/>
              <w:rPr>
                <w:rFonts w:ascii="Times" w:hAnsi="Times" w:cs="Times"/>
                <w:bCs/>
                <w:sz w:val="18"/>
                <w:szCs w:val="18"/>
              </w:rPr>
            </w:pPr>
          </w:p>
        </w:tc>
        <w:tc>
          <w:tcPr>
            <w:tcW w:w="380"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0.06</w:t>
            </w:r>
          </w:p>
        </w:tc>
        <w:tc>
          <w:tcPr>
            <w:tcW w:w="586"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216.9</w:t>
            </w:r>
          </w:p>
        </w:tc>
        <w:tc>
          <w:tcPr>
            <w:tcW w:w="419"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11.0</w:t>
            </w:r>
          </w:p>
        </w:tc>
        <w:tc>
          <w:tcPr>
            <w:tcW w:w="312" w:type="pct"/>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12.3</w:t>
            </w:r>
          </w:p>
        </w:tc>
        <w:tc>
          <w:tcPr>
            <w:tcW w:w="538" w:type="pct"/>
            <w:tcBorders>
              <w:right w:val="nil"/>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0.14</w:t>
            </w:r>
          </w:p>
        </w:tc>
      </w:tr>
      <w:tr w:rsidR="008B5E91" w:rsidRPr="009640DC" w:rsidTr="008512F1">
        <w:trPr>
          <w:trHeight w:hRule="exact" w:val="288"/>
        </w:trPr>
        <w:tc>
          <w:tcPr>
            <w:tcW w:w="928" w:type="pct"/>
            <w:vMerge/>
            <w:tcBorders>
              <w:left w:val="nil"/>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p>
        </w:tc>
        <w:tc>
          <w:tcPr>
            <w:tcW w:w="578" w:type="pct"/>
            <w:vMerge/>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p>
        </w:tc>
        <w:tc>
          <w:tcPr>
            <w:tcW w:w="380" w:type="pct"/>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56" w:type="pct"/>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301" w:type="pct"/>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sz w:val="18"/>
                <w:szCs w:val="18"/>
              </w:rPr>
              <w:t>-</w:t>
            </w:r>
          </w:p>
        </w:tc>
        <w:tc>
          <w:tcPr>
            <w:tcW w:w="291" w:type="pct"/>
            <w:tcBorders>
              <w:bottom w:val="single" w:sz="12" w:space="0" w:color="auto"/>
            </w:tcBorders>
          </w:tcPr>
          <w:p w:rsidR="008B5E91" w:rsidRPr="007E0126" w:rsidRDefault="008B5E91" w:rsidP="008512F1">
            <w:pPr>
              <w:snapToGrid w:val="0"/>
              <w:spacing w:line="276" w:lineRule="auto"/>
              <w:jc w:val="center"/>
              <w:rPr>
                <w:rFonts w:ascii="Times" w:hAnsi="Times" w:cs="Times"/>
                <w:bCs/>
                <w:sz w:val="18"/>
                <w:szCs w:val="18"/>
              </w:rPr>
            </w:pPr>
            <w:r w:rsidRPr="007E0126">
              <w:rPr>
                <w:rFonts w:ascii="Times" w:hAnsi="Times" w:cs="Times"/>
                <w:bCs/>
                <w:sz w:val="18"/>
                <w:szCs w:val="18"/>
              </w:rPr>
              <w:t>-0.61</w:t>
            </w:r>
          </w:p>
        </w:tc>
        <w:tc>
          <w:tcPr>
            <w:tcW w:w="586" w:type="pct"/>
            <w:tcBorders>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216.9</w:t>
            </w:r>
          </w:p>
        </w:tc>
        <w:tc>
          <w:tcPr>
            <w:tcW w:w="419" w:type="pct"/>
            <w:tcBorders>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16.0</w:t>
            </w:r>
          </w:p>
        </w:tc>
        <w:tc>
          <w:tcPr>
            <w:tcW w:w="312" w:type="pct"/>
            <w:tcBorders>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10.0</w:t>
            </w:r>
          </w:p>
        </w:tc>
        <w:tc>
          <w:tcPr>
            <w:tcW w:w="312" w:type="pct"/>
            <w:tcBorders>
              <w:bottom w:val="single" w:sz="12" w:space="0" w:color="auto"/>
            </w:tcBorders>
            <w:vAlign w:val="center"/>
          </w:tcPr>
          <w:p w:rsidR="008B5E91" w:rsidRPr="007E0126"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16.3</w:t>
            </w:r>
          </w:p>
        </w:tc>
        <w:tc>
          <w:tcPr>
            <w:tcW w:w="538" w:type="pct"/>
            <w:tcBorders>
              <w:bottom w:val="single" w:sz="12" w:space="0" w:color="auto"/>
              <w:right w:val="nil"/>
            </w:tcBorders>
            <w:vAlign w:val="center"/>
          </w:tcPr>
          <w:p w:rsidR="008B5E91" w:rsidRPr="00A5724D" w:rsidRDefault="008B5E91" w:rsidP="008512F1">
            <w:pPr>
              <w:snapToGrid w:val="0"/>
              <w:spacing w:line="276" w:lineRule="auto"/>
              <w:jc w:val="center"/>
              <w:rPr>
                <w:rFonts w:ascii="Times" w:hAnsi="Times" w:cs="Times"/>
                <w:sz w:val="18"/>
                <w:szCs w:val="18"/>
              </w:rPr>
            </w:pPr>
            <w:r w:rsidRPr="007E0126">
              <w:rPr>
                <w:rFonts w:ascii="Times" w:hAnsi="Times" w:cs="Times"/>
                <w:sz w:val="18"/>
                <w:szCs w:val="18"/>
              </w:rPr>
              <w:t>0.18</w:t>
            </w:r>
          </w:p>
        </w:tc>
      </w:tr>
    </w:tbl>
    <w:p w:rsidR="008B5E91" w:rsidRDefault="008B5E91" w:rsidP="008B5E91">
      <w:pPr>
        <w:spacing w:before="170" w:line="480" w:lineRule="auto"/>
        <w:jc w:val="both"/>
        <w:rPr>
          <w:rFonts w:ascii="Times" w:hAnsi="Times" w:cs="Times"/>
          <w:szCs w:val="24"/>
        </w:rPr>
        <w:sectPr w:rsidR="008B5E91" w:rsidSect="008B5E91">
          <w:headerReference w:type="default" r:id="rId6"/>
          <w:footerReference w:type="default" r:id="rId7"/>
          <w:footerReference w:type="first" r:id="rId8"/>
          <w:pgSz w:w="11906" w:h="16838"/>
          <w:pgMar w:top="1418" w:right="851" w:bottom="1134" w:left="851" w:header="680" w:footer="680" w:gutter="0"/>
          <w:cols w:space="454"/>
          <w:formProt w:val="0"/>
          <w:docGrid w:linePitch="360"/>
        </w:sectPr>
      </w:pPr>
    </w:p>
    <w:p w:rsidR="008B5E91" w:rsidRDefault="008B5E91" w:rsidP="008B5E91">
      <w:pPr>
        <w:spacing w:before="170" w:line="480" w:lineRule="auto"/>
        <w:jc w:val="both"/>
        <w:rPr>
          <w:rFonts w:ascii="Times" w:hAnsi="Times" w:cs="Times"/>
          <w:szCs w:val="24"/>
        </w:rPr>
      </w:pPr>
    </w:p>
    <w:bookmarkEnd w:id="0"/>
    <w:p w:rsidR="001217A4" w:rsidRDefault="001217A4"/>
    <w:sectPr w:rsidR="001217A4" w:rsidSect="008B5E91">
      <w:pgSz w:w="11906" w:h="16838"/>
      <w:pgMar w:top="1418" w:right="851" w:bottom="1134" w:left="851" w:header="680" w:footer="680" w:gutter="0"/>
      <w:cols w:space="454"/>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itstream Vera Sans">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3625803"/>
      <w:docPartObj>
        <w:docPartGallery w:val="Page Numbers (Bottom of Page)"/>
        <w:docPartUnique/>
      </w:docPartObj>
    </w:sdtPr>
    <w:sdtEndPr/>
    <w:sdtContent>
      <w:p w:rsidR="00C86DD4" w:rsidRPr="00002FB5" w:rsidRDefault="008B5E91">
        <w:pPr>
          <w:pStyle w:val="Footer"/>
          <w:jc w:val="center"/>
        </w:pPr>
        <w:r w:rsidRPr="00002FB5">
          <w:fldChar w:fldCharType="begin"/>
        </w:r>
        <w:r w:rsidRPr="00002FB5">
          <w:instrText xml:space="preserve"> PAGE   \* MERGEFORMAT </w:instrText>
        </w:r>
        <w:r w:rsidRPr="00002FB5">
          <w:fldChar w:fldCharType="separate"/>
        </w:r>
        <w:r>
          <w:rPr>
            <w:noProof/>
          </w:rPr>
          <w:t>7</w:t>
        </w:r>
        <w:r w:rsidRPr="00002FB5">
          <w:fldChar w:fldCharType="end"/>
        </w:r>
      </w:p>
    </w:sdtContent>
  </w:sdt>
  <w:p w:rsidR="00C86DD4" w:rsidRPr="00002FB5" w:rsidRDefault="008B5E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DD4" w:rsidRPr="00002FB5" w:rsidRDefault="008B5E91">
    <w:pPr>
      <w:pStyle w:val="Footer"/>
      <w:jc w:val="center"/>
    </w:pPr>
    <w:r w:rsidRPr="00002FB5">
      <w:fldChar w:fldCharType="begin"/>
    </w:r>
    <w:r w:rsidRPr="00002FB5">
      <w:instrText xml:space="preserve"> PAGE   \* MERGEFORMAT </w:instrText>
    </w:r>
    <w:r w:rsidRPr="00002FB5">
      <w:fldChar w:fldCharType="separate"/>
    </w:r>
    <w:r w:rsidRPr="00002FB5">
      <w:t>2</w:t>
    </w:r>
    <w:r w:rsidRPr="00002FB5">
      <w:fldChar w:fldCharType="end"/>
    </w:r>
  </w:p>
  <w:p w:rsidR="00C86DD4" w:rsidRPr="00002FB5" w:rsidRDefault="008B5E91" w:rsidP="00E32FF8">
    <w:pPr>
      <w:pStyle w:val="Footer"/>
      <w:rPr>
        <w:rFonts w:ascii="Times" w:hAnsi="Times" w:cs="Times"/>
        <w:sz w:val="18"/>
        <w:szCs w:val="18"/>
      </w:rPr>
    </w:pPr>
    <w:r w:rsidRPr="00002FB5">
      <w:rPr>
        <w:noProof/>
        <w:lang w:eastAsia="en-IN"/>
      </w:rPr>
      <mc:AlternateContent>
        <mc:Choice Requires="wps">
          <w:drawing>
            <wp:anchor distT="0" distB="0" distL="0" distR="0" simplePos="0" relativeHeight="251659264" behindDoc="1" locked="0" layoutInCell="1" allowOverlap="1" wp14:anchorId="4D21F0AC" wp14:editId="2A1ADFD6">
              <wp:simplePos x="0" y="0"/>
              <wp:positionH relativeFrom="column">
                <wp:posOffset>-635</wp:posOffset>
              </wp:positionH>
              <wp:positionV relativeFrom="paragraph">
                <wp:posOffset>-13335</wp:posOffset>
              </wp:positionV>
              <wp:extent cx="1800860" cy="1270"/>
              <wp:effectExtent l="8890" t="12700" r="10160" b="6350"/>
              <wp:wrapNone/>
              <wp:docPr id="1" name="Freeform: Shape 1"/>
              <wp:cNvGraphicFramePr/>
              <a:graphic xmlns:a="http://schemas.openxmlformats.org/drawingml/2006/main">
                <a:graphicData uri="http://schemas.microsoft.com/office/word/2010/wordprocessingShape">
                  <wps:wsp>
                    <wps:cNvSpPr/>
                    <wps:spPr>
                      <a:xfrm>
                        <a:off x="0" y="0"/>
                        <a:ext cx="1800860" cy="1270"/>
                      </a:xfrm>
                      <a:custGeom>
                        <a:avLst/>
                        <a:gdLst/>
                        <a:ahLst/>
                        <a:cxnLst/>
                        <a:rect l="l" t="t" r="r" b="b"/>
                        <a:pathLst>
                          <a:path w="21600" h="21600">
                            <a:moveTo>
                              <a:pt x="0" y="0"/>
                            </a:moveTo>
                            <a:lnTo>
                              <a:pt x="21600" y="21600"/>
                            </a:lnTo>
                          </a:path>
                        </a:pathLst>
                      </a:cu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6D6AE0D2" id="Freeform: Shape 1" o:spid="_x0000_s1026" style="position:absolute;margin-left:-.05pt;margin-top:-1.05pt;width:141.8pt;height:.1pt;z-index:-251657216;visibility:visible;mso-wrap-style:square;mso-wrap-distance-left:0;mso-wrap-distance-top:0;mso-wrap-distance-right:0;mso-wrap-distance-bottom:0;mso-position-horizontal:absolute;mso-position-horizontal-relative:text;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" path="m,l21600,21600e" filled="f" strokeweight=".26mm">
              <v:path arrowok="t"/>
            </v:shape>
          </w:pict>
        </mc:Fallback>
      </mc:AlternateContent>
    </w:r>
    <w:r w:rsidRPr="00002FB5">
      <w:rPr>
        <w:rFonts w:ascii="Times" w:hAnsi="Times" w:cs="Times"/>
        <w:vertAlign w:val="superscript"/>
      </w:rPr>
      <w:t>*</w:t>
    </w:r>
    <w:r w:rsidRPr="00002FB5">
      <w:rPr>
        <w:rFonts w:ascii="Times" w:hAnsi="Times" w:cs="Times"/>
        <w:sz w:val="18"/>
        <w:szCs w:val="18"/>
      </w:rPr>
      <w:t xml:space="preserve"> Ramzi Ali: </w:t>
    </w:r>
    <w:hyperlink r:id="rId1" w:history="1">
      <w:r w:rsidRPr="00002FB5">
        <w:rPr>
          <w:rStyle w:val="Hyperlink"/>
          <w:rFonts w:ascii="Times" w:hAnsi="Times" w:cs="Times"/>
          <w:sz w:val="18"/>
          <w:szCs w:val="18"/>
        </w:rPr>
        <w:t>rali@uwyo.edu</w:t>
      </w:r>
    </w:hyperlink>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DD4" w:rsidRPr="00002FB5" w:rsidRDefault="008B5E91">
    <w:pPr>
      <w:pStyle w:val="Header"/>
      <w:ind w:right="360"/>
      <w:jc w:val="cent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400E5"/>
    <w:multiLevelType w:val="hybridMultilevel"/>
    <w:tmpl w:val="F014C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6792B"/>
    <w:multiLevelType w:val="multilevel"/>
    <w:tmpl w:val="5A38A26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EE51E0E"/>
    <w:multiLevelType w:val="hybridMultilevel"/>
    <w:tmpl w:val="6F22C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B2F08"/>
    <w:multiLevelType w:val="hybridMultilevel"/>
    <w:tmpl w:val="F5766C2E"/>
    <w:lvl w:ilvl="0" w:tplc="A58C79BC">
      <w:start w:val="1"/>
      <w:numFmt w:val="bullet"/>
      <w:lvlText w:val=""/>
      <w:lvlJc w:val="left"/>
      <w:pPr>
        <w:ind w:left="144" w:hanging="360"/>
      </w:pPr>
      <w:rPr>
        <w:rFonts w:ascii="Symbol" w:hAnsi="Symbol" w:hint="default"/>
      </w:rPr>
    </w:lvl>
    <w:lvl w:ilvl="1" w:tplc="04090003" w:tentative="1">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4" w15:restartNumberingAfterBreak="0">
    <w:nsid w:val="1B067782"/>
    <w:multiLevelType w:val="multilevel"/>
    <w:tmpl w:val="29E2077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B385ECB"/>
    <w:multiLevelType w:val="multilevel"/>
    <w:tmpl w:val="CD84D8FE"/>
    <w:lvl w:ilvl="0">
      <w:start w:val="1"/>
      <w:numFmt w:val="decimal"/>
      <w:lvlText w:val="%1.0"/>
      <w:lvlJc w:val="left"/>
      <w:pPr>
        <w:ind w:left="360" w:hanging="360"/>
      </w:pPr>
      <w:rPr>
        <w:rFonts w:hint="default"/>
      </w:rPr>
    </w:lvl>
    <w:lvl w:ilvl="1">
      <w:start w:val="1"/>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072" w:hanging="1440"/>
      </w:pPr>
      <w:rPr>
        <w:rFonts w:hint="default"/>
      </w:rPr>
    </w:lvl>
  </w:abstractNum>
  <w:abstractNum w:abstractNumId="6" w15:restartNumberingAfterBreak="0">
    <w:nsid w:val="1D684F73"/>
    <w:multiLevelType w:val="hybridMultilevel"/>
    <w:tmpl w:val="B218D706"/>
    <w:lvl w:ilvl="0" w:tplc="46A0C262">
      <w:numFmt w:val="bullet"/>
      <w:lvlText w:val="-"/>
      <w:lvlJc w:val="left"/>
      <w:pPr>
        <w:ind w:left="810" w:hanging="450"/>
      </w:pPr>
      <w:rPr>
        <w:rFonts w:ascii="Times" w:eastAsia="Times New Roman"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7E4FA6"/>
    <w:multiLevelType w:val="hybridMultilevel"/>
    <w:tmpl w:val="FA425EC8"/>
    <w:lvl w:ilvl="0" w:tplc="6A2EC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A1623"/>
    <w:multiLevelType w:val="hybridMultilevel"/>
    <w:tmpl w:val="FECC7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C23462"/>
    <w:multiLevelType w:val="hybridMultilevel"/>
    <w:tmpl w:val="9BDE0C9A"/>
    <w:lvl w:ilvl="0" w:tplc="D3306542">
      <w:start w:val="1"/>
      <w:numFmt w:val="decimal"/>
      <w:lvlText w:val="%1."/>
      <w:lvlJc w:val="left"/>
      <w:pPr>
        <w:ind w:left="1020" w:hanging="360"/>
      </w:pPr>
    </w:lvl>
    <w:lvl w:ilvl="1" w:tplc="0D2463CE">
      <w:start w:val="1"/>
      <w:numFmt w:val="decimal"/>
      <w:lvlText w:val="%2."/>
      <w:lvlJc w:val="left"/>
      <w:pPr>
        <w:ind w:left="1020" w:hanging="360"/>
      </w:pPr>
    </w:lvl>
    <w:lvl w:ilvl="2" w:tplc="5842744C">
      <w:start w:val="1"/>
      <w:numFmt w:val="decimal"/>
      <w:lvlText w:val="%3."/>
      <w:lvlJc w:val="left"/>
      <w:pPr>
        <w:ind w:left="1020" w:hanging="360"/>
      </w:pPr>
    </w:lvl>
    <w:lvl w:ilvl="3" w:tplc="EFF6516E">
      <w:start w:val="1"/>
      <w:numFmt w:val="decimal"/>
      <w:lvlText w:val="%4."/>
      <w:lvlJc w:val="left"/>
      <w:pPr>
        <w:ind w:left="1020" w:hanging="360"/>
      </w:pPr>
    </w:lvl>
    <w:lvl w:ilvl="4" w:tplc="60A4C930">
      <w:start w:val="1"/>
      <w:numFmt w:val="decimal"/>
      <w:lvlText w:val="%5."/>
      <w:lvlJc w:val="left"/>
      <w:pPr>
        <w:ind w:left="1020" w:hanging="360"/>
      </w:pPr>
    </w:lvl>
    <w:lvl w:ilvl="5" w:tplc="B1881DCA">
      <w:start w:val="1"/>
      <w:numFmt w:val="decimal"/>
      <w:lvlText w:val="%6."/>
      <w:lvlJc w:val="left"/>
      <w:pPr>
        <w:ind w:left="1020" w:hanging="360"/>
      </w:pPr>
    </w:lvl>
    <w:lvl w:ilvl="6" w:tplc="429824D0">
      <w:start w:val="1"/>
      <w:numFmt w:val="decimal"/>
      <w:lvlText w:val="%7."/>
      <w:lvlJc w:val="left"/>
      <w:pPr>
        <w:ind w:left="1020" w:hanging="360"/>
      </w:pPr>
    </w:lvl>
    <w:lvl w:ilvl="7" w:tplc="966425DE">
      <w:start w:val="1"/>
      <w:numFmt w:val="decimal"/>
      <w:lvlText w:val="%8."/>
      <w:lvlJc w:val="left"/>
      <w:pPr>
        <w:ind w:left="1020" w:hanging="360"/>
      </w:pPr>
    </w:lvl>
    <w:lvl w:ilvl="8" w:tplc="3A82EDDC">
      <w:start w:val="1"/>
      <w:numFmt w:val="decimal"/>
      <w:lvlText w:val="%9."/>
      <w:lvlJc w:val="left"/>
      <w:pPr>
        <w:ind w:left="1020" w:hanging="360"/>
      </w:pPr>
    </w:lvl>
  </w:abstractNum>
  <w:abstractNum w:abstractNumId="10" w15:restartNumberingAfterBreak="0">
    <w:nsid w:val="2FC72817"/>
    <w:multiLevelType w:val="hybridMultilevel"/>
    <w:tmpl w:val="BF8C01BE"/>
    <w:lvl w:ilvl="0" w:tplc="A4F00FF6">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06C6031"/>
    <w:multiLevelType w:val="hybridMultilevel"/>
    <w:tmpl w:val="111CB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0B35AD"/>
    <w:multiLevelType w:val="hybridMultilevel"/>
    <w:tmpl w:val="0C74420A"/>
    <w:lvl w:ilvl="0" w:tplc="3FCCC924">
      <w:start w:val="1"/>
      <w:numFmt w:val="bullet"/>
      <w:lvlText w:val=""/>
      <w:lvlJc w:val="left"/>
      <w:pPr>
        <w:ind w:left="720" w:hanging="360"/>
      </w:pPr>
      <w:rPr>
        <w:rFonts w:ascii="Symbol" w:eastAsia="Times New Roman" w:hAnsi="Symbol"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1C4C81"/>
    <w:multiLevelType w:val="hybridMultilevel"/>
    <w:tmpl w:val="C7BC2E94"/>
    <w:lvl w:ilvl="0" w:tplc="07B6380E">
      <w:start w:val="1"/>
      <w:numFmt w:val="bullet"/>
      <w:lvlText w:val=""/>
      <w:lvlJc w:val="left"/>
      <w:pPr>
        <w:ind w:left="720" w:hanging="360"/>
      </w:pPr>
      <w:rPr>
        <w:rFonts w:ascii="Symbol" w:eastAsia="Times New Roman" w:hAnsi="Symbol"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1A6568"/>
    <w:multiLevelType w:val="hybridMultilevel"/>
    <w:tmpl w:val="C14AB7F2"/>
    <w:lvl w:ilvl="0" w:tplc="B6069AC4">
      <w:start w:val="1"/>
      <w:numFmt w:val="bullet"/>
      <w:lvlText w:val=""/>
      <w:lvlJc w:val="left"/>
      <w:pPr>
        <w:ind w:left="720" w:hanging="360"/>
      </w:pPr>
      <w:rPr>
        <w:rFonts w:ascii="Symbol" w:eastAsia="Times New Roman" w:hAnsi="Symbol"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A0291"/>
    <w:multiLevelType w:val="hybridMultilevel"/>
    <w:tmpl w:val="5A8C2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8B66EA"/>
    <w:multiLevelType w:val="hybridMultilevel"/>
    <w:tmpl w:val="6498A664"/>
    <w:lvl w:ilvl="0" w:tplc="CA84D4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E66D8E"/>
    <w:multiLevelType w:val="hybridMultilevel"/>
    <w:tmpl w:val="41E20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13"/>
  </w:num>
  <w:num w:numId="4">
    <w:abstractNumId w:val="10"/>
  </w:num>
  <w:num w:numId="5">
    <w:abstractNumId w:val="7"/>
  </w:num>
  <w:num w:numId="6">
    <w:abstractNumId w:val="11"/>
  </w:num>
  <w:num w:numId="7">
    <w:abstractNumId w:val="17"/>
  </w:num>
  <w:num w:numId="8">
    <w:abstractNumId w:val="15"/>
  </w:num>
  <w:num w:numId="9">
    <w:abstractNumId w:val="5"/>
  </w:num>
  <w:num w:numId="10">
    <w:abstractNumId w:val="0"/>
  </w:num>
  <w:num w:numId="11">
    <w:abstractNumId w:val="6"/>
  </w:num>
  <w:num w:numId="12">
    <w:abstractNumId w:val="3"/>
  </w:num>
  <w:num w:numId="13">
    <w:abstractNumId w:val="9"/>
  </w:num>
  <w:num w:numId="14">
    <w:abstractNumId w:val="16"/>
  </w:num>
  <w:num w:numId="15">
    <w:abstractNumId w:val="8"/>
  </w:num>
  <w:num w:numId="16">
    <w:abstractNumId w:val="14"/>
  </w:num>
  <w:num w:numId="17">
    <w:abstractNumId w:val="12"/>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E91"/>
    <w:rsid w:val="000061C7"/>
    <w:rsid w:val="00053E19"/>
    <w:rsid w:val="00111AA5"/>
    <w:rsid w:val="001217A4"/>
    <w:rsid w:val="00135781"/>
    <w:rsid w:val="00164C07"/>
    <w:rsid w:val="002D10E8"/>
    <w:rsid w:val="002D6604"/>
    <w:rsid w:val="0033364D"/>
    <w:rsid w:val="00377A07"/>
    <w:rsid w:val="003F7486"/>
    <w:rsid w:val="00414D22"/>
    <w:rsid w:val="004346E7"/>
    <w:rsid w:val="004630B6"/>
    <w:rsid w:val="004D3FC8"/>
    <w:rsid w:val="00531517"/>
    <w:rsid w:val="005616C5"/>
    <w:rsid w:val="005E66AD"/>
    <w:rsid w:val="0061602C"/>
    <w:rsid w:val="006E016D"/>
    <w:rsid w:val="00754CCE"/>
    <w:rsid w:val="0077580A"/>
    <w:rsid w:val="0078139D"/>
    <w:rsid w:val="008634A9"/>
    <w:rsid w:val="008662F3"/>
    <w:rsid w:val="008B5E91"/>
    <w:rsid w:val="008E3D9E"/>
    <w:rsid w:val="00922C0F"/>
    <w:rsid w:val="00980A40"/>
    <w:rsid w:val="009853FD"/>
    <w:rsid w:val="009A0E72"/>
    <w:rsid w:val="009E56CB"/>
    <w:rsid w:val="009F0A21"/>
    <w:rsid w:val="00A17A3C"/>
    <w:rsid w:val="00A22153"/>
    <w:rsid w:val="00A27B0F"/>
    <w:rsid w:val="00A4161B"/>
    <w:rsid w:val="00A771BC"/>
    <w:rsid w:val="00B33035"/>
    <w:rsid w:val="00B6188F"/>
    <w:rsid w:val="00B64C5C"/>
    <w:rsid w:val="00BB486D"/>
    <w:rsid w:val="00C171E7"/>
    <w:rsid w:val="00C369CD"/>
    <w:rsid w:val="00D107E1"/>
    <w:rsid w:val="00D83248"/>
    <w:rsid w:val="00D93F7E"/>
    <w:rsid w:val="00DD0273"/>
    <w:rsid w:val="00E04691"/>
    <w:rsid w:val="00ED4AD4"/>
    <w:rsid w:val="00ED676B"/>
    <w:rsid w:val="00EE4A89"/>
    <w:rsid w:val="00F064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E68C19-0E40-4955-B112-5EC3A8AB2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rsid w:val="008B5E91"/>
  </w:style>
  <w:style w:type="character" w:customStyle="1" w:styleId="WW-Absatz-Standardschriftart">
    <w:name w:val="WW-Absatz-Standardschriftart"/>
    <w:qFormat/>
    <w:rsid w:val="008B5E91"/>
  </w:style>
  <w:style w:type="character" w:customStyle="1" w:styleId="WW-Absatz-Standardschriftart1">
    <w:name w:val="WW-Absatz-Standardschriftart1"/>
    <w:qFormat/>
    <w:rsid w:val="008B5E91"/>
  </w:style>
  <w:style w:type="character" w:customStyle="1" w:styleId="WW-Absatz-Standardschriftart11">
    <w:name w:val="WW-Absatz-Standardschriftart11"/>
    <w:qFormat/>
    <w:rsid w:val="008B5E91"/>
  </w:style>
  <w:style w:type="character" w:customStyle="1" w:styleId="WW-Absatz-Standardschriftart111">
    <w:name w:val="WW-Absatz-Standardschriftart111"/>
    <w:qFormat/>
    <w:rsid w:val="008B5E91"/>
  </w:style>
  <w:style w:type="character" w:customStyle="1" w:styleId="WW8Num1z1">
    <w:name w:val="WW8Num1z1"/>
    <w:qFormat/>
    <w:rsid w:val="008B5E91"/>
    <w:rPr>
      <w:rFonts w:ascii="Courier New" w:hAnsi="Courier New" w:cs="Courier New"/>
    </w:rPr>
  </w:style>
  <w:style w:type="character" w:customStyle="1" w:styleId="WW8Num1z2">
    <w:name w:val="WW8Num1z2"/>
    <w:qFormat/>
    <w:rsid w:val="008B5E91"/>
    <w:rPr>
      <w:rFonts w:ascii="Wingdings" w:hAnsi="Wingdings"/>
    </w:rPr>
  </w:style>
  <w:style w:type="character" w:customStyle="1" w:styleId="WW8Num1z3">
    <w:name w:val="WW8Num1z3"/>
    <w:qFormat/>
    <w:rsid w:val="008B5E91"/>
    <w:rPr>
      <w:rFonts w:ascii="Symbol" w:hAnsi="Symbol"/>
    </w:rPr>
  </w:style>
  <w:style w:type="character" w:customStyle="1" w:styleId="WW8Num2z0">
    <w:name w:val="WW8Num2z0"/>
    <w:qFormat/>
    <w:rsid w:val="008B5E91"/>
    <w:rPr>
      <w:rFonts w:ascii="Times New Roman" w:eastAsia="Times New Roman" w:hAnsi="Times New Roman" w:cs="Times New Roman"/>
    </w:rPr>
  </w:style>
  <w:style w:type="character" w:customStyle="1" w:styleId="WW8Num2z1">
    <w:name w:val="WW8Num2z1"/>
    <w:qFormat/>
    <w:rsid w:val="008B5E91"/>
    <w:rPr>
      <w:rFonts w:ascii="Courier New" w:hAnsi="Courier New" w:cs="Courier New"/>
    </w:rPr>
  </w:style>
  <w:style w:type="character" w:customStyle="1" w:styleId="WW8Num2z2">
    <w:name w:val="WW8Num2z2"/>
    <w:qFormat/>
    <w:rsid w:val="008B5E91"/>
    <w:rPr>
      <w:rFonts w:ascii="Wingdings" w:hAnsi="Wingdings"/>
    </w:rPr>
  </w:style>
  <w:style w:type="character" w:customStyle="1" w:styleId="WW8Num2z3">
    <w:name w:val="WW8Num2z3"/>
    <w:qFormat/>
    <w:rsid w:val="008B5E91"/>
    <w:rPr>
      <w:rFonts w:ascii="Symbol" w:hAnsi="Symbol"/>
    </w:rPr>
  </w:style>
  <w:style w:type="character" w:customStyle="1" w:styleId="WW8Num3z0">
    <w:name w:val="WW8Num3z0"/>
    <w:qFormat/>
    <w:rsid w:val="008B5E91"/>
    <w:rPr>
      <w:rFonts w:ascii="Wingdings" w:hAnsi="Wingdings"/>
    </w:rPr>
  </w:style>
  <w:style w:type="character" w:customStyle="1" w:styleId="WW8Num3z1">
    <w:name w:val="WW8Num3z1"/>
    <w:qFormat/>
    <w:rsid w:val="008B5E91"/>
    <w:rPr>
      <w:rFonts w:ascii="Courier New" w:hAnsi="Courier New" w:cs="Courier New"/>
    </w:rPr>
  </w:style>
  <w:style w:type="character" w:customStyle="1" w:styleId="WW8Num3z3">
    <w:name w:val="WW8Num3z3"/>
    <w:qFormat/>
    <w:rsid w:val="008B5E91"/>
    <w:rPr>
      <w:rFonts w:ascii="Symbol" w:hAnsi="Symbol"/>
    </w:rPr>
  </w:style>
  <w:style w:type="character" w:customStyle="1" w:styleId="WW8Num8z0">
    <w:name w:val="WW8Num8z0"/>
    <w:qFormat/>
    <w:rsid w:val="008B5E91"/>
    <w:rPr>
      <w:rFonts w:ascii="Wingdings" w:hAnsi="Wingdings"/>
    </w:rPr>
  </w:style>
  <w:style w:type="character" w:customStyle="1" w:styleId="WW8Num8z1">
    <w:name w:val="WW8Num8z1"/>
    <w:qFormat/>
    <w:rsid w:val="008B5E91"/>
    <w:rPr>
      <w:rFonts w:ascii="Courier New" w:hAnsi="Courier New" w:cs="Courier New"/>
    </w:rPr>
  </w:style>
  <w:style w:type="character" w:customStyle="1" w:styleId="WW8Num8z3">
    <w:name w:val="WW8Num8z3"/>
    <w:qFormat/>
    <w:rsid w:val="008B5E91"/>
    <w:rPr>
      <w:rFonts w:ascii="Symbol" w:hAnsi="Symbol"/>
    </w:rPr>
  </w:style>
  <w:style w:type="character" w:customStyle="1" w:styleId="WW8Num9z0">
    <w:name w:val="WW8Num9z0"/>
    <w:qFormat/>
    <w:rsid w:val="008B5E91"/>
    <w:rPr>
      <w:rFonts w:ascii="Wingdings" w:hAnsi="Wingdings"/>
    </w:rPr>
  </w:style>
  <w:style w:type="character" w:customStyle="1" w:styleId="WW8Num9z1">
    <w:name w:val="WW8Num9z1"/>
    <w:qFormat/>
    <w:rsid w:val="008B5E91"/>
    <w:rPr>
      <w:rFonts w:ascii="Courier New" w:hAnsi="Courier New" w:cs="Courier New"/>
    </w:rPr>
  </w:style>
  <w:style w:type="character" w:customStyle="1" w:styleId="WW8Num9z3">
    <w:name w:val="WW8Num9z3"/>
    <w:qFormat/>
    <w:rsid w:val="008B5E91"/>
    <w:rPr>
      <w:rFonts w:ascii="Symbol" w:hAnsi="Symbol"/>
    </w:rPr>
  </w:style>
  <w:style w:type="character" w:customStyle="1" w:styleId="WW8Num10z0">
    <w:name w:val="WW8Num10z0"/>
    <w:qFormat/>
    <w:rsid w:val="008B5E91"/>
    <w:rPr>
      <w:rFonts w:ascii="Wingdings" w:hAnsi="Wingdings"/>
    </w:rPr>
  </w:style>
  <w:style w:type="character" w:customStyle="1" w:styleId="WW8Num10z1">
    <w:name w:val="WW8Num10z1"/>
    <w:qFormat/>
    <w:rsid w:val="008B5E91"/>
    <w:rPr>
      <w:rFonts w:ascii="Courier New" w:hAnsi="Courier New" w:cs="Courier New"/>
    </w:rPr>
  </w:style>
  <w:style w:type="character" w:customStyle="1" w:styleId="WW8Num10z3">
    <w:name w:val="WW8Num10z3"/>
    <w:qFormat/>
    <w:rsid w:val="008B5E91"/>
    <w:rPr>
      <w:rFonts w:ascii="Symbol" w:hAnsi="Symbol"/>
    </w:rPr>
  </w:style>
  <w:style w:type="character" w:customStyle="1" w:styleId="Policepardfaut1">
    <w:name w:val="Police par défaut1"/>
    <w:qFormat/>
    <w:rsid w:val="008B5E91"/>
  </w:style>
  <w:style w:type="character" w:customStyle="1" w:styleId="FootnoteCharacters">
    <w:name w:val="Footnote Characters"/>
    <w:semiHidden/>
    <w:qFormat/>
    <w:rsid w:val="008B5E91"/>
    <w:rPr>
      <w:vertAlign w:val="superscript"/>
    </w:rPr>
  </w:style>
  <w:style w:type="character" w:styleId="PageNumber">
    <w:name w:val="page number"/>
    <w:basedOn w:val="Policepardfaut1"/>
    <w:qFormat/>
    <w:rsid w:val="008B5E91"/>
  </w:style>
  <w:style w:type="character" w:customStyle="1" w:styleId="CarCar1">
    <w:name w:val="Car Car1"/>
    <w:qFormat/>
    <w:rsid w:val="008B5E91"/>
    <w:rPr>
      <w:sz w:val="24"/>
    </w:rPr>
  </w:style>
  <w:style w:type="character" w:customStyle="1" w:styleId="CarCar">
    <w:name w:val="Car Car"/>
    <w:qFormat/>
    <w:rsid w:val="008B5E91"/>
    <w:rPr>
      <w:rFonts w:ascii="Tahoma" w:hAnsi="Tahoma" w:cs="Tahoma"/>
      <w:sz w:val="16"/>
      <w:szCs w:val="16"/>
    </w:rPr>
  </w:style>
  <w:style w:type="character" w:customStyle="1" w:styleId="stitrecomplet">
    <w:name w:val="stitre_complet"/>
    <w:basedOn w:val="Policepardfaut1"/>
    <w:qFormat/>
    <w:rsid w:val="008B5E91"/>
  </w:style>
  <w:style w:type="character" w:customStyle="1" w:styleId="FootnoteAnchor">
    <w:name w:val="Footnote Anchor"/>
    <w:rsid w:val="008B5E91"/>
    <w:rPr>
      <w:vertAlign w:val="superscript"/>
    </w:rPr>
  </w:style>
  <w:style w:type="character" w:customStyle="1" w:styleId="EndnoteCharacters">
    <w:name w:val="Endnote Characters"/>
    <w:semiHidden/>
    <w:qFormat/>
    <w:rsid w:val="008B5E91"/>
    <w:rPr>
      <w:vertAlign w:val="superscript"/>
    </w:rPr>
  </w:style>
  <w:style w:type="character" w:customStyle="1" w:styleId="WW-EndnoteCharacters">
    <w:name w:val="WW-Endnote Characters"/>
    <w:qFormat/>
    <w:rsid w:val="008B5E91"/>
  </w:style>
  <w:style w:type="character" w:customStyle="1" w:styleId="EndnoteAnchor">
    <w:name w:val="Endnote Anchor"/>
    <w:rsid w:val="008B5E91"/>
    <w:rPr>
      <w:vertAlign w:val="superscript"/>
    </w:rPr>
  </w:style>
  <w:style w:type="character" w:styleId="Strong">
    <w:name w:val="Strong"/>
    <w:uiPriority w:val="22"/>
    <w:qFormat/>
    <w:rsid w:val="008B5E91"/>
    <w:rPr>
      <w:b/>
      <w:bCs/>
    </w:rPr>
  </w:style>
  <w:style w:type="character" w:styleId="Hyperlink">
    <w:name w:val="Hyperlink"/>
    <w:rsid w:val="008B5E91"/>
    <w:rPr>
      <w:color w:val="0000FF"/>
      <w:u w:val="single"/>
    </w:rPr>
  </w:style>
  <w:style w:type="character" w:customStyle="1" w:styleId="FooterChar">
    <w:name w:val="Footer Char"/>
    <w:link w:val="Footer"/>
    <w:uiPriority w:val="99"/>
    <w:qFormat/>
    <w:rsid w:val="008B5E91"/>
    <w:rPr>
      <w:rFonts w:ascii="New York" w:hAnsi="New York" w:cs="New York"/>
      <w:sz w:val="24"/>
      <w:lang w:eastAsia="ar-SA"/>
    </w:rPr>
  </w:style>
  <w:style w:type="character" w:customStyle="1" w:styleId="HeaderChar">
    <w:name w:val="Header Char"/>
    <w:basedOn w:val="DefaultParagraphFont"/>
    <w:link w:val="Header"/>
    <w:uiPriority w:val="99"/>
    <w:qFormat/>
    <w:rsid w:val="008B5E91"/>
    <w:rPr>
      <w:rFonts w:ascii="New York" w:hAnsi="New York" w:cs="New York"/>
      <w:sz w:val="24"/>
      <w:lang w:val="fr-FR" w:eastAsia="ar-SA"/>
    </w:rPr>
  </w:style>
  <w:style w:type="character" w:styleId="PlaceholderText">
    <w:name w:val="Placeholder Text"/>
    <w:basedOn w:val="DefaultParagraphFont"/>
    <w:uiPriority w:val="99"/>
    <w:semiHidden/>
    <w:qFormat/>
    <w:rsid w:val="008B5E91"/>
    <w:rPr>
      <w:color w:val="808080"/>
    </w:rPr>
  </w:style>
  <w:style w:type="character" w:customStyle="1" w:styleId="SCAChar">
    <w:name w:val="SCA Char"/>
    <w:basedOn w:val="HeaderChar"/>
    <w:link w:val="SCA"/>
    <w:qFormat/>
    <w:rsid w:val="008B5E91"/>
    <w:rPr>
      <w:rFonts w:ascii="Times" w:hAnsi="Times" w:cs="Times"/>
      <w:sz w:val="24"/>
      <w:lang w:val="fr-FR" w:eastAsia="ar-SA"/>
    </w:rPr>
  </w:style>
  <w:style w:type="paragraph" w:customStyle="1" w:styleId="Heading">
    <w:name w:val="Heading"/>
    <w:basedOn w:val="Normal"/>
    <w:next w:val="BodyText"/>
    <w:qFormat/>
    <w:rsid w:val="008B5E91"/>
    <w:pPr>
      <w:keepNext/>
      <w:suppressAutoHyphens/>
      <w:spacing w:before="240" w:after="120" w:line="240" w:lineRule="auto"/>
    </w:pPr>
    <w:rPr>
      <w:rFonts w:ascii="Arial" w:eastAsia="Bitstream Vera Sans" w:hAnsi="Arial" w:cs="Bitstream Vera Sans"/>
      <w:sz w:val="28"/>
      <w:szCs w:val="28"/>
      <w:lang w:val="en-US" w:eastAsia="ar-SA"/>
    </w:rPr>
  </w:style>
  <w:style w:type="paragraph" w:styleId="BodyText">
    <w:name w:val="Body Text"/>
    <w:basedOn w:val="Normal"/>
    <w:link w:val="BodyTextChar"/>
    <w:rsid w:val="008B5E91"/>
    <w:pPr>
      <w:suppressAutoHyphens/>
      <w:spacing w:after="0" w:line="240" w:lineRule="auto"/>
      <w:jc w:val="both"/>
    </w:pPr>
    <w:rPr>
      <w:rFonts w:ascii="Times" w:eastAsia="Times New Roman" w:hAnsi="Times" w:cs="New York"/>
      <w:sz w:val="20"/>
      <w:szCs w:val="20"/>
      <w:lang w:val="en-GB" w:eastAsia="ar-SA"/>
    </w:rPr>
  </w:style>
  <w:style w:type="character" w:customStyle="1" w:styleId="BodyTextChar">
    <w:name w:val="Body Text Char"/>
    <w:basedOn w:val="DefaultParagraphFont"/>
    <w:link w:val="BodyText"/>
    <w:rsid w:val="008B5E91"/>
    <w:rPr>
      <w:rFonts w:ascii="Times" w:eastAsia="Times New Roman" w:hAnsi="Times" w:cs="New York"/>
      <w:sz w:val="20"/>
      <w:szCs w:val="20"/>
      <w:lang w:val="en-GB" w:eastAsia="ar-SA"/>
    </w:rPr>
  </w:style>
  <w:style w:type="paragraph" w:styleId="List">
    <w:name w:val="List"/>
    <w:basedOn w:val="BodyText"/>
    <w:rsid w:val="008B5E91"/>
  </w:style>
  <w:style w:type="paragraph" w:styleId="Caption">
    <w:name w:val="caption"/>
    <w:basedOn w:val="Normal"/>
    <w:qFormat/>
    <w:rsid w:val="008B5E91"/>
    <w:pPr>
      <w:suppressLineNumbers/>
      <w:suppressAutoHyphens/>
      <w:spacing w:before="120" w:after="120" w:line="240" w:lineRule="auto"/>
    </w:pPr>
    <w:rPr>
      <w:rFonts w:ascii="New York" w:eastAsia="Times New Roman" w:hAnsi="New York" w:cs="Lohit Devanagari"/>
      <w:i/>
      <w:iCs/>
      <w:sz w:val="24"/>
      <w:szCs w:val="24"/>
      <w:lang w:val="en-US" w:eastAsia="ar-SA"/>
    </w:rPr>
  </w:style>
  <w:style w:type="paragraph" w:customStyle="1" w:styleId="Index">
    <w:name w:val="Index"/>
    <w:basedOn w:val="Normal"/>
    <w:qFormat/>
    <w:rsid w:val="008B5E91"/>
    <w:pPr>
      <w:suppressLineNumbers/>
      <w:suppressAutoHyphens/>
      <w:spacing w:after="0" w:line="240" w:lineRule="auto"/>
    </w:pPr>
    <w:rPr>
      <w:rFonts w:ascii="New York" w:eastAsia="Times New Roman" w:hAnsi="New York" w:cs="New York"/>
      <w:sz w:val="24"/>
      <w:szCs w:val="20"/>
      <w:lang w:val="en-US" w:eastAsia="ar-SA"/>
    </w:rPr>
  </w:style>
  <w:style w:type="paragraph" w:customStyle="1" w:styleId="Caption1">
    <w:name w:val="Caption1"/>
    <w:basedOn w:val="Normal"/>
    <w:qFormat/>
    <w:rsid w:val="008B5E91"/>
    <w:pPr>
      <w:suppressLineNumbers/>
      <w:suppressAutoHyphens/>
      <w:spacing w:before="120" w:after="120" w:line="240" w:lineRule="auto"/>
    </w:pPr>
    <w:rPr>
      <w:rFonts w:ascii="New York" w:eastAsia="Times New Roman" w:hAnsi="New York" w:cs="New York"/>
      <w:i/>
      <w:iCs/>
      <w:sz w:val="24"/>
      <w:szCs w:val="24"/>
      <w:lang w:val="en-US" w:eastAsia="ar-SA"/>
    </w:rPr>
  </w:style>
  <w:style w:type="paragraph" w:customStyle="1" w:styleId="HeaderandFooter">
    <w:name w:val="Header and Footer"/>
    <w:basedOn w:val="Normal"/>
    <w:qFormat/>
    <w:rsid w:val="008B5E91"/>
    <w:pPr>
      <w:suppressAutoHyphens/>
      <w:spacing w:after="0" w:line="240" w:lineRule="auto"/>
    </w:pPr>
    <w:rPr>
      <w:rFonts w:ascii="New York" w:eastAsia="Times New Roman" w:hAnsi="New York" w:cs="New York"/>
      <w:sz w:val="24"/>
      <w:szCs w:val="20"/>
      <w:lang w:val="en-US" w:eastAsia="ar-SA"/>
    </w:rPr>
  </w:style>
  <w:style w:type="paragraph" w:styleId="Footer">
    <w:name w:val="footer"/>
    <w:basedOn w:val="Normal"/>
    <w:link w:val="FooterChar"/>
    <w:uiPriority w:val="99"/>
    <w:rsid w:val="008B5E91"/>
    <w:pPr>
      <w:suppressAutoHyphens/>
      <w:spacing w:after="0" w:line="240" w:lineRule="auto"/>
    </w:pPr>
    <w:rPr>
      <w:rFonts w:ascii="New York" w:hAnsi="New York" w:cs="New York"/>
      <w:sz w:val="24"/>
      <w:lang w:eastAsia="ar-SA"/>
    </w:rPr>
  </w:style>
  <w:style w:type="character" w:customStyle="1" w:styleId="FooterChar1">
    <w:name w:val="Footer Char1"/>
    <w:basedOn w:val="DefaultParagraphFont"/>
    <w:uiPriority w:val="99"/>
    <w:semiHidden/>
    <w:rsid w:val="008B5E91"/>
  </w:style>
  <w:style w:type="paragraph" w:styleId="FootnoteText">
    <w:name w:val="footnote text"/>
    <w:basedOn w:val="Normal"/>
    <w:link w:val="FootnoteTextChar"/>
    <w:semiHidden/>
    <w:rsid w:val="008B5E91"/>
    <w:pPr>
      <w:suppressAutoHyphens/>
      <w:spacing w:after="0" w:line="240" w:lineRule="auto"/>
    </w:pPr>
    <w:rPr>
      <w:rFonts w:ascii="New York" w:eastAsia="Times New Roman" w:hAnsi="New York" w:cs="New York"/>
      <w:sz w:val="20"/>
      <w:szCs w:val="20"/>
      <w:lang w:val="en-US" w:eastAsia="ar-SA"/>
    </w:rPr>
  </w:style>
  <w:style w:type="character" w:customStyle="1" w:styleId="FootnoteTextChar">
    <w:name w:val="Footnote Text Char"/>
    <w:basedOn w:val="DefaultParagraphFont"/>
    <w:link w:val="FootnoteText"/>
    <w:semiHidden/>
    <w:rsid w:val="008B5E91"/>
    <w:rPr>
      <w:rFonts w:ascii="New York" w:eastAsia="Times New Roman" w:hAnsi="New York" w:cs="New York"/>
      <w:sz w:val="20"/>
      <w:szCs w:val="20"/>
      <w:lang w:val="en-US" w:eastAsia="ar-SA"/>
    </w:rPr>
  </w:style>
  <w:style w:type="paragraph" w:customStyle="1" w:styleId="ref">
    <w:name w:val="ref"/>
    <w:basedOn w:val="Normal"/>
    <w:qFormat/>
    <w:rsid w:val="008B5E91"/>
    <w:pPr>
      <w:suppressAutoHyphens/>
      <w:spacing w:after="0" w:line="480" w:lineRule="atLeast"/>
      <w:jc w:val="both"/>
    </w:pPr>
    <w:rPr>
      <w:rFonts w:ascii="Times" w:eastAsia="Times New Roman" w:hAnsi="Times" w:cs="New York"/>
      <w:sz w:val="24"/>
      <w:szCs w:val="20"/>
      <w:lang w:val="en-US" w:eastAsia="ar-SA"/>
    </w:rPr>
  </w:style>
  <w:style w:type="paragraph" w:styleId="Header">
    <w:name w:val="header"/>
    <w:basedOn w:val="Normal"/>
    <w:link w:val="HeaderChar"/>
    <w:uiPriority w:val="99"/>
    <w:rsid w:val="008B5E91"/>
    <w:pPr>
      <w:suppressAutoHyphens/>
      <w:spacing w:after="0" w:line="240" w:lineRule="auto"/>
    </w:pPr>
    <w:rPr>
      <w:rFonts w:ascii="New York" w:hAnsi="New York" w:cs="New York"/>
      <w:sz w:val="24"/>
      <w:lang w:val="fr-FR" w:eastAsia="ar-SA"/>
    </w:rPr>
  </w:style>
  <w:style w:type="character" w:customStyle="1" w:styleId="HeaderChar1">
    <w:name w:val="Header Char1"/>
    <w:basedOn w:val="DefaultParagraphFont"/>
    <w:uiPriority w:val="99"/>
    <w:semiHidden/>
    <w:rsid w:val="008B5E91"/>
  </w:style>
  <w:style w:type="paragraph" w:styleId="BalloonText">
    <w:name w:val="Balloon Text"/>
    <w:basedOn w:val="Normal"/>
    <w:link w:val="BalloonTextChar"/>
    <w:qFormat/>
    <w:rsid w:val="008B5E91"/>
    <w:pPr>
      <w:suppressAutoHyphens/>
      <w:spacing w:after="0" w:line="240" w:lineRule="auto"/>
    </w:pPr>
    <w:rPr>
      <w:rFonts w:ascii="Tahoma" w:eastAsia="Times New Roman" w:hAnsi="Tahoma" w:cs="Tahoma"/>
      <w:sz w:val="16"/>
      <w:szCs w:val="16"/>
      <w:lang w:val="en-US" w:eastAsia="ar-SA"/>
    </w:rPr>
  </w:style>
  <w:style w:type="character" w:customStyle="1" w:styleId="BalloonTextChar">
    <w:name w:val="Balloon Text Char"/>
    <w:basedOn w:val="DefaultParagraphFont"/>
    <w:link w:val="BalloonText"/>
    <w:rsid w:val="008B5E91"/>
    <w:rPr>
      <w:rFonts w:ascii="Tahoma" w:eastAsia="Times New Roman" w:hAnsi="Tahoma" w:cs="Tahoma"/>
      <w:sz w:val="16"/>
      <w:szCs w:val="16"/>
      <w:lang w:val="en-US" w:eastAsia="ar-SA"/>
    </w:rPr>
  </w:style>
  <w:style w:type="paragraph" w:styleId="ListParagraph">
    <w:name w:val="List Paragraph"/>
    <w:basedOn w:val="Normal"/>
    <w:link w:val="ListParagraphChar"/>
    <w:uiPriority w:val="34"/>
    <w:qFormat/>
    <w:rsid w:val="008B5E91"/>
    <w:pPr>
      <w:suppressAutoHyphens/>
      <w:spacing w:after="0" w:line="240" w:lineRule="auto"/>
      <w:ind w:left="720"/>
    </w:pPr>
    <w:rPr>
      <w:rFonts w:ascii="New York" w:eastAsia="Times New Roman" w:hAnsi="New York" w:cs="New York"/>
      <w:sz w:val="24"/>
      <w:szCs w:val="20"/>
      <w:lang w:val="en-US" w:eastAsia="ar-SA"/>
    </w:rPr>
  </w:style>
  <w:style w:type="paragraph" w:customStyle="1" w:styleId="TableContents">
    <w:name w:val="Table Contents"/>
    <w:basedOn w:val="Normal"/>
    <w:qFormat/>
    <w:rsid w:val="008B5E91"/>
    <w:pPr>
      <w:suppressLineNumbers/>
      <w:suppressAutoHyphens/>
      <w:spacing w:after="0" w:line="240" w:lineRule="auto"/>
    </w:pPr>
    <w:rPr>
      <w:rFonts w:ascii="New York" w:eastAsia="Times New Roman" w:hAnsi="New York" w:cs="New York"/>
      <w:sz w:val="24"/>
      <w:szCs w:val="20"/>
      <w:lang w:val="en-US" w:eastAsia="ar-SA"/>
    </w:rPr>
  </w:style>
  <w:style w:type="paragraph" w:customStyle="1" w:styleId="TableHeading">
    <w:name w:val="Table Heading"/>
    <w:basedOn w:val="TableContents"/>
    <w:qFormat/>
    <w:rsid w:val="008B5E91"/>
    <w:pPr>
      <w:jc w:val="center"/>
    </w:pPr>
    <w:rPr>
      <w:b/>
      <w:bCs/>
    </w:rPr>
  </w:style>
  <w:style w:type="paragraph" w:customStyle="1" w:styleId="SCA">
    <w:name w:val="SCA"/>
    <w:basedOn w:val="Header"/>
    <w:link w:val="SCAChar"/>
    <w:qFormat/>
    <w:rsid w:val="008B5E91"/>
    <w:rPr>
      <w:rFonts w:ascii="Times" w:hAnsi="Times" w:cs="Times"/>
    </w:rPr>
  </w:style>
  <w:style w:type="character" w:customStyle="1" w:styleId="UnresolvedMention1">
    <w:name w:val="Unresolved Mention1"/>
    <w:basedOn w:val="DefaultParagraphFont"/>
    <w:uiPriority w:val="99"/>
    <w:semiHidden/>
    <w:unhideWhenUsed/>
    <w:rsid w:val="008B5E91"/>
    <w:rPr>
      <w:color w:val="605E5C"/>
      <w:shd w:val="clear" w:color="auto" w:fill="E1DFDD"/>
    </w:rPr>
  </w:style>
  <w:style w:type="character" w:styleId="CommentReference">
    <w:name w:val="annotation reference"/>
    <w:basedOn w:val="DefaultParagraphFont"/>
    <w:uiPriority w:val="99"/>
    <w:rsid w:val="008B5E91"/>
    <w:rPr>
      <w:sz w:val="16"/>
      <w:szCs w:val="16"/>
    </w:rPr>
  </w:style>
  <w:style w:type="paragraph" w:styleId="CommentText">
    <w:name w:val="annotation text"/>
    <w:basedOn w:val="Normal"/>
    <w:link w:val="CommentTextChar"/>
    <w:uiPriority w:val="99"/>
    <w:rsid w:val="008B5E91"/>
    <w:pPr>
      <w:suppressAutoHyphens/>
      <w:spacing w:after="0" w:line="240" w:lineRule="auto"/>
    </w:pPr>
    <w:rPr>
      <w:rFonts w:ascii="New York" w:eastAsia="Times New Roman" w:hAnsi="New York" w:cs="New York"/>
      <w:sz w:val="20"/>
      <w:szCs w:val="20"/>
      <w:lang w:val="en-US" w:eastAsia="ar-SA"/>
    </w:rPr>
  </w:style>
  <w:style w:type="character" w:customStyle="1" w:styleId="CommentTextChar">
    <w:name w:val="Comment Text Char"/>
    <w:basedOn w:val="DefaultParagraphFont"/>
    <w:link w:val="CommentText"/>
    <w:uiPriority w:val="99"/>
    <w:rsid w:val="008B5E91"/>
    <w:rPr>
      <w:rFonts w:ascii="New York" w:eastAsia="Times New Roman" w:hAnsi="New York" w:cs="New York"/>
      <w:sz w:val="20"/>
      <w:szCs w:val="20"/>
      <w:lang w:val="en-US" w:eastAsia="ar-SA"/>
    </w:rPr>
  </w:style>
  <w:style w:type="paragraph" w:styleId="CommentSubject">
    <w:name w:val="annotation subject"/>
    <w:basedOn w:val="CommentText"/>
    <w:next w:val="CommentText"/>
    <w:link w:val="CommentSubjectChar"/>
    <w:rsid w:val="008B5E91"/>
    <w:rPr>
      <w:b/>
      <w:bCs/>
    </w:rPr>
  </w:style>
  <w:style w:type="character" w:customStyle="1" w:styleId="CommentSubjectChar">
    <w:name w:val="Comment Subject Char"/>
    <w:basedOn w:val="CommentTextChar"/>
    <w:link w:val="CommentSubject"/>
    <w:rsid w:val="008B5E91"/>
    <w:rPr>
      <w:rFonts w:ascii="New York" w:eastAsia="Times New Roman" w:hAnsi="New York" w:cs="New York"/>
      <w:b/>
      <w:bCs/>
      <w:sz w:val="20"/>
      <w:szCs w:val="20"/>
      <w:lang w:val="en-US" w:eastAsia="ar-SA"/>
    </w:rPr>
  </w:style>
  <w:style w:type="table" w:styleId="TableGrid">
    <w:name w:val="Table Grid"/>
    <w:basedOn w:val="TableNormal"/>
    <w:uiPriority w:val="39"/>
    <w:rsid w:val="008B5E91"/>
    <w:pPr>
      <w:spacing w:after="0" w:line="240" w:lineRule="auto"/>
    </w:pPr>
    <w:rPr>
      <w:rFonts w:ascii="Times New Roman" w:eastAsia="SimSun" w:hAnsi="Times New Roman" w:cstheme="majorBidi"/>
      <w:color w:val="2E74B5" w:themeColor="accent1" w:themeShade="BF"/>
      <w:sz w:val="32"/>
      <w:szCs w:val="3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8B5E91"/>
    <w:rPr>
      <w:rFonts w:ascii="New York" w:eastAsia="Times New Roman" w:hAnsi="New York" w:cs="New York"/>
      <w:sz w:val="24"/>
      <w:szCs w:val="20"/>
      <w:lang w:val="en-US" w:eastAsia="ar-SA"/>
    </w:rPr>
  </w:style>
  <w:style w:type="paragraph" w:styleId="Revision">
    <w:name w:val="Revision"/>
    <w:hidden/>
    <w:uiPriority w:val="99"/>
    <w:semiHidden/>
    <w:rsid w:val="008B5E91"/>
    <w:pPr>
      <w:spacing w:after="0" w:line="240" w:lineRule="auto"/>
    </w:pPr>
    <w:rPr>
      <w:rFonts w:ascii="New York" w:eastAsia="Times New Roman" w:hAnsi="New York" w:cs="New York"/>
      <w:sz w:val="24"/>
      <w:szCs w:val="20"/>
      <w:lang w:val="en-US" w:eastAsia="ar-SA"/>
    </w:rPr>
  </w:style>
  <w:style w:type="character" w:customStyle="1" w:styleId="normaltextrun">
    <w:name w:val="normaltextrun"/>
    <w:basedOn w:val="DefaultParagraphFont"/>
    <w:rsid w:val="008B5E91"/>
  </w:style>
  <w:style w:type="character" w:customStyle="1" w:styleId="eop">
    <w:name w:val="eop"/>
    <w:basedOn w:val="DefaultParagraphFont"/>
    <w:rsid w:val="008B5E91"/>
  </w:style>
  <w:style w:type="character" w:customStyle="1" w:styleId="tabchar">
    <w:name w:val="tabchar"/>
    <w:basedOn w:val="DefaultParagraphFont"/>
    <w:rsid w:val="008B5E91"/>
  </w:style>
  <w:style w:type="character" w:customStyle="1" w:styleId="cf01">
    <w:name w:val="cf01"/>
    <w:basedOn w:val="DefaultParagraphFont"/>
    <w:rsid w:val="008B5E91"/>
    <w:rPr>
      <w:rFonts w:ascii="Segoe UI" w:hAnsi="Segoe UI" w:cs="Segoe UI" w:hint="default"/>
      <w:sz w:val="18"/>
      <w:szCs w:val="18"/>
    </w:rPr>
  </w:style>
  <w:style w:type="character" w:styleId="LineNumber">
    <w:name w:val="line number"/>
    <w:basedOn w:val="DefaultParagraphFont"/>
    <w:rsid w:val="008B5E91"/>
  </w:style>
  <w:style w:type="character" w:styleId="FootnoteReference">
    <w:name w:val="footnote reference"/>
    <w:basedOn w:val="DefaultParagraphFont"/>
    <w:rsid w:val="008B5E91"/>
    <w:rPr>
      <w:vertAlign w:val="superscript"/>
    </w:rPr>
  </w:style>
  <w:style w:type="character" w:customStyle="1" w:styleId="UnresolvedMention">
    <w:name w:val="Unresolved Mention"/>
    <w:basedOn w:val="DefaultParagraphFont"/>
    <w:uiPriority w:val="99"/>
    <w:semiHidden/>
    <w:unhideWhenUsed/>
    <w:rsid w:val="008B5E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rali@uwy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6843</Words>
  <Characters>39007</Characters>
  <Application>Microsoft Office Word</Application>
  <DocSecurity>0</DocSecurity>
  <Lines>325</Lines>
  <Paragraphs>91</Paragraphs>
  <ScaleCrop>false</ScaleCrop>
  <Company/>
  <LinksUpToDate>false</LinksUpToDate>
  <CharactersWithSpaces>45759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Surya P</dc:creator>
  <cp:keywords/>
  <dc:description/>
  <cp:lastModifiedBy>Surya P</cp:lastModifiedBy>
  <cp:revision>1</cp:revision>
  <dcterms:created xsi:type="dcterms:W3CDTF">2026-02-25T07:18:00Z</dcterms:created>
  <dcterms:modified xsi:type="dcterms:W3CDTF">2026-02-25T07:19:00Z</dcterms:modified>
</cp:coreProperties>
</file>