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5C731" w14:textId="44B704D5" w:rsidR="00374356" w:rsidRDefault="00374356" w:rsidP="0037435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38752673"/>
      <w:r>
        <w:rPr>
          <w:rFonts w:ascii="Times New Roman" w:hAnsi="Times New Roman" w:cs="Times New Roman"/>
          <w:sz w:val="32"/>
          <w:szCs w:val="32"/>
        </w:rPr>
        <w:t>Supporting Information</w:t>
      </w:r>
    </w:p>
    <w:p w14:paraId="63A3692D" w14:textId="77777777" w:rsidR="00374356" w:rsidRDefault="00374356" w:rsidP="0037435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E2B78E" w14:textId="1F6793F2" w:rsidR="00374356" w:rsidRPr="00A24A02" w:rsidRDefault="00374356" w:rsidP="00374356">
      <w:pPr>
        <w:jc w:val="both"/>
        <w:rPr>
          <w:rFonts w:ascii="Times New Roman" w:hAnsi="Times New Roman" w:cs="Times New Roman"/>
          <w:sz w:val="32"/>
          <w:szCs w:val="32"/>
        </w:rPr>
      </w:pPr>
      <w:r w:rsidRPr="00A24A02">
        <w:rPr>
          <w:rFonts w:ascii="Times New Roman" w:hAnsi="Times New Roman" w:cs="Times New Roman"/>
          <w:sz w:val="32"/>
          <w:szCs w:val="32"/>
        </w:rPr>
        <w:t>CO</w:t>
      </w:r>
      <w:r w:rsidRPr="00A24A02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A24A02">
        <w:rPr>
          <w:rFonts w:ascii="Times New Roman" w:hAnsi="Times New Roman" w:cs="Times New Roman"/>
          <w:sz w:val="32"/>
          <w:szCs w:val="32"/>
        </w:rPr>
        <w:t xml:space="preserve"> Conversion via Low-Temperature RWGS</w:t>
      </w:r>
      <w:r>
        <w:rPr>
          <w:rFonts w:ascii="Times New Roman" w:hAnsi="Times New Roman" w:cs="Times New Roman"/>
          <w:sz w:val="32"/>
          <w:szCs w:val="32"/>
        </w:rPr>
        <w:t xml:space="preserve"> enabled by multicomponent catalysts: Could transition metals outperform Pt? </w:t>
      </w:r>
    </w:p>
    <w:p w14:paraId="61A89D8C" w14:textId="77777777" w:rsidR="00374356" w:rsidRPr="00A24A02" w:rsidRDefault="00374356" w:rsidP="0037435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B0F155" w14:textId="335404B3" w:rsidR="00374356" w:rsidRPr="00A24A02" w:rsidRDefault="00374356" w:rsidP="00374356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A24A02">
        <w:rPr>
          <w:rFonts w:ascii="Times New Roman" w:hAnsi="Times New Roman" w:cs="Times New Roman"/>
          <w:sz w:val="24"/>
          <w:szCs w:val="24"/>
          <w:lang w:val="es-ES"/>
        </w:rPr>
        <w:t>G. Torres-Sempere</w:t>
      </w:r>
      <w:r>
        <w:rPr>
          <w:rFonts w:ascii="Times New Roman" w:hAnsi="Times New Roman" w:cs="Times New Roman"/>
          <w:sz w:val="24"/>
          <w:szCs w:val="24"/>
          <w:lang w:val="es-ES"/>
        </w:rPr>
        <w:t>*</w:t>
      </w:r>
      <w:r w:rsidRPr="00A24A02">
        <w:rPr>
          <w:rFonts w:ascii="Times New Roman" w:hAnsi="Times New Roman" w:cs="Times New Roman"/>
          <w:sz w:val="24"/>
          <w:szCs w:val="24"/>
          <w:lang w:val="es-ES"/>
        </w:rPr>
        <w:t xml:space="preserve">, J. González-Arias, </w:t>
      </w:r>
      <w:r w:rsidR="001A66CB">
        <w:rPr>
          <w:rFonts w:ascii="Times New Roman" w:hAnsi="Times New Roman" w:cs="Times New Roman"/>
          <w:sz w:val="24"/>
          <w:szCs w:val="24"/>
          <w:lang w:val="es-ES"/>
        </w:rPr>
        <w:t xml:space="preserve">A. </w:t>
      </w:r>
      <w:proofErr w:type="spellStart"/>
      <w:r w:rsidR="001A66CB">
        <w:rPr>
          <w:rFonts w:ascii="Times New Roman" w:hAnsi="Times New Roman" w:cs="Times New Roman"/>
          <w:sz w:val="24"/>
          <w:szCs w:val="24"/>
          <w:lang w:val="es-ES"/>
        </w:rPr>
        <w:t>Penkova</w:t>
      </w:r>
      <w:proofErr w:type="spellEnd"/>
      <w:r w:rsidR="001A66CB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J.L. Santos, L.F. Bobadilla, J.A.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Odriozola,  L.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Pastor-Pérez, T.R. Reina</w:t>
      </w:r>
      <w:r w:rsidR="00184E4B">
        <w:rPr>
          <w:rFonts w:ascii="Times New Roman" w:hAnsi="Times New Roman" w:cs="Times New Roman"/>
          <w:sz w:val="24"/>
          <w:szCs w:val="24"/>
          <w:lang w:val="es-ES"/>
        </w:rPr>
        <w:t>*</w:t>
      </w:r>
    </w:p>
    <w:p w14:paraId="4B270BD1" w14:textId="77777777" w:rsidR="00374356" w:rsidRDefault="00374356" w:rsidP="00374356">
      <w:pPr>
        <w:jc w:val="both"/>
        <w:rPr>
          <w:rFonts w:ascii="Times New Roman" w:hAnsi="Times New Roman" w:cs="Times New Roman"/>
          <w:i/>
          <w:iCs/>
        </w:rPr>
      </w:pPr>
      <w:r w:rsidRPr="00A24A02">
        <w:rPr>
          <w:rFonts w:ascii="Times New Roman" w:hAnsi="Times New Roman" w:cs="Times New Roman"/>
          <w:i/>
          <w:iCs/>
        </w:rPr>
        <w:t>Inorganic Chemistry Department and Materials Sciences Institute, University of Seville-CSIC, Seville, Spain</w:t>
      </w:r>
    </w:p>
    <w:p w14:paraId="33FD24C6" w14:textId="298F6F91" w:rsidR="00374356" w:rsidRPr="00A24A02" w:rsidRDefault="00374356" w:rsidP="003743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Co-corresponding authors:</w:t>
      </w:r>
      <w:hyperlink r:id="rId4" w:history="1">
        <w:r w:rsidRPr="00997684">
          <w:rPr>
            <w:rStyle w:val="Hyperlink"/>
            <w:rFonts w:ascii="Times New Roman" w:hAnsi="Times New Roman" w:cs="Times New Roman"/>
          </w:rPr>
          <w:t>gtorres1@us.es</w:t>
        </w:r>
      </w:hyperlink>
      <w:r>
        <w:rPr>
          <w:rFonts w:ascii="Times New Roman" w:hAnsi="Times New Roman" w:cs="Times New Roman"/>
        </w:rPr>
        <w:t xml:space="preserve"> </w:t>
      </w:r>
      <w:r w:rsidR="00184E4B">
        <w:rPr>
          <w:rFonts w:ascii="Times New Roman" w:hAnsi="Times New Roman" w:cs="Times New Roman"/>
        </w:rPr>
        <w:t xml:space="preserve">, </w:t>
      </w:r>
      <w:hyperlink r:id="rId5" w:history="1">
        <w:r w:rsidR="00184E4B" w:rsidRPr="00575FF6">
          <w:rPr>
            <w:rStyle w:val="Hyperlink"/>
            <w:rFonts w:ascii="Times New Roman" w:hAnsi="Times New Roman" w:cs="Times New Roman"/>
          </w:rPr>
          <w:t>tramirez@us.es</w:t>
        </w:r>
      </w:hyperlink>
      <w:r w:rsidR="00184E4B">
        <w:rPr>
          <w:rFonts w:ascii="Times New Roman" w:hAnsi="Times New Roman" w:cs="Times New Roman"/>
        </w:rPr>
        <w:t xml:space="preserve"> </w:t>
      </w:r>
    </w:p>
    <w:bookmarkEnd w:id="0"/>
    <w:p w14:paraId="785ADCE1" w14:textId="77777777" w:rsidR="003279AB" w:rsidRDefault="003279AB" w:rsidP="003279AB">
      <w:pPr>
        <w:keepNext/>
        <w:jc w:val="center"/>
      </w:pPr>
      <w:r w:rsidRPr="004930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63974C" wp14:editId="3EB00D49">
            <wp:extent cx="5153660" cy="3387437"/>
            <wp:effectExtent l="0" t="0" r="0" b="0"/>
            <wp:docPr id="1720175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6" b="4389"/>
                    <a:stretch/>
                  </pic:blipFill>
                  <pic:spPr bwMode="auto">
                    <a:xfrm>
                      <a:off x="0" y="0"/>
                      <a:ext cx="5153660" cy="338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8ACA2" w14:textId="696E92B4" w:rsidR="003279AB" w:rsidRPr="003279AB" w:rsidRDefault="003279AB" w:rsidP="003279AB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3279A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Figure S1. N</w:t>
      </w:r>
      <w:r w:rsidRPr="003279A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</w:rPr>
        <w:t>2</w:t>
      </w:r>
      <w:r w:rsidRPr="003279A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adsorption isotherms at 77k for the multicomponent catalysts</w:t>
      </w:r>
    </w:p>
    <w:p w14:paraId="1A26D4F3" w14:textId="77777777" w:rsidR="000F49EB" w:rsidRDefault="000F49EB"/>
    <w:p w14:paraId="57F8984D" w14:textId="77777777" w:rsidR="00374356" w:rsidRDefault="00374356"/>
    <w:p w14:paraId="14664922" w14:textId="6C9AC96E" w:rsidR="00374356" w:rsidRDefault="00374356" w:rsidP="00374356">
      <w:pPr>
        <w:jc w:val="center"/>
      </w:pPr>
    </w:p>
    <w:p w14:paraId="0FF0F988" w14:textId="77777777" w:rsidR="00087496" w:rsidRDefault="00087496" w:rsidP="00374356">
      <w:pPr>
        <w:jc w:val="center"/>
      </w:pPr>
    </w:p>
    <w:p w14:paraId="1084482D" w14:textId="4D5401A0" w:rsidR="00087496" w:rsidRDefault="00F53062" w:rsidP="00087496">
      <w:r>
        <w:rPr>
          <w:noProof/>
        </w:rPr>
        <w:lastRenderedPageBreak/>
        <w:drawing>
          <wp:inline distT="0" distB="0" distL="0" distR="0" wp14:anchorId="4E33256C" wp14:editId="0D174DD7">
            <wp:extent cx="2616200" cy="1622743"/>
            <wp:effectExtent l="0" t="0" r="0" b="0"/>
            <wp:docPr id="13139981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86" cy="1629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58B629" wp14:editId="1B865FD6">
            <wp:extent cx="2673350" cy="1569791"/>
            <wp:effectExtent l="0" t="0" r="0" b="0"/>
            <wp:docPr id="2321814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78" cy="1572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7D995" w14:textId="76C2589A" w:rsidR="00F53062" w:rsidRDefault="00F53062" w:rsidP="00087496">
      <w:r>
        <w:rPr>
          <w:noProof/>
        </w:rPr>
        <w:drawing>
          <wp:inline distT="0" distB="0" distL="0" distR="0" wp14:anchorId="74A6CD6A" wp14:editId="415CADDA">
            <wp:extent cx="2686050" cy="1622020"/>
            <wp:effectExtent l="0" t="0" r="0" b="0"/>
            <wp:docPr id="13069469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34" cy="1623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CC4D2D" wp14:editId="28D9AA08">
            <wp:extent cx="2676397" cy="1695450"/>
            <wp:effectExtent l="0" t="0" r="0" b="0"/>
            <wp:docPr id="17300371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53" cy="1698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62957" w14:textId="2A99CA6F" w:rsidR="00087496" w:rsidRDefault="00F84B55" w:rsidP="00087496">
      <w:r>
        <w:rPr>
          <w:noProof/>
        </w:rPr>
        <w:drawing>
          <wp:inline distT="0" distB="0" distL="0" distR="0" wp14:anchorId="276D02A8" wp14:editId="0EBDF7D7">
            <wp:extent cx="2686050" cy="1675953"/>
            <wp:effectExtent l="0" t="0" r="0" b="635"/>
            <wp:docPr id="836698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77" cy="1698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DB4F6" wp14:editId="73EAB8BC">
            <wp:extent cx="2694940" cy="1681500"/>
            <wp:effectExtent l="0" t="0" r="0" b="0"/>
            <wp:docPr id="1411923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81" cy="1688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FAD62" w14:textId="30CD6B4C" w:rsidR="00374356" w:rsidRPr="00374356" w:rsidRDefault="00374356" w:rsidP="003743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3279AB"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 xml:space="preserve">. </w:t>
      </w:r>
      <w:r w:rsidRPr="00374356">
        <w:rPr>
          <w:rFonts w:ascii="Times New Roman" w:hAnsi="Times New Roman" w:cs="Times New Roman"/>
        </w:rPr>
        <w:t>Particle size distribution of Cu/TiO</w:t>
      </w:r>
      <w:r w:rsidRPr="00374356">
        <w:rPr>
          <w:rFonts w:ascii="Times New Roman" w:hAnsi="Times New Roman" w:cs="Times New Roman"/>
          <w:vertAlign w:val="subscript"/>
        </w:rPr>
        <w:t>2</w:t>
      </w:r>
      <w:r w:rsidRPr="00374356">
        <w:rPr>
          <w:rFonts w:ascii="Times New Roman" w:hAnsi="Times New Roman" w:cs="Times New Roman"/>
        </w:rPr>
        <w:t xml:space="preserve"> (A), </w:t>
      </w:r>
      <w:proofErr w:type="spellStart"/>
      <w:r w:rsidRPr="00374356">
        <w:rPr>
          <w:rFonts w:ascii="Times New Roman" w:hAnsi="Times New Roman" w:cs="Times New Roman"/>
        </w:rPr>
        <w:t>CuCs</w:t>
      </w:r>
      <w:proofErr w:type="spellEnd"/>
      <w:r w:rsidRPr="00374356">
        <w:rPr>
          <w:rFonts w:ascii="Times New Roman" w:hAnsi="Times New Roman" w:cs="Times New Roman"/>
        </w:rPr>
        <w:t>/TiO</w:t>
      </w:r>
      <w:r w:rsidRPr="00374356">
        <w:rPr>
          <w:rFonts w:ascii="Times New Roman" w:hAnsi="Times New Roman" w:cs="Times New Roman"/>
          <w:vertAlign w:val="subscript"/>
        </w:rPr>
        <w:t xml:space="preserve">2 </w:t>
      </w:r>
      <w:r w:rsidRPr="00374356">
        <w:rPr>
          <w:rFonts w:ascii="Times New Roman" w:hAnsi="Times New Roman" w:cs="Times New Roman"/>
        </w:rPr>
        <w:t>(B), Ni/TiO</w:t>
      </w:r>
      <w:r w:rsidRPr="00374356">
        <w:rPr>
          <w:rFonts w:ascii="Times New Roman" w:hAnsi="Times New Roman" w:cs="Times New Roman"/>
          <w:vertAlign w:val="subscript"/>
        </w:rPr>
        <w:t>2</w:t>
      </w:r>
      <w:r w:rsidRPr="00374356">
        <w:rPr>
          <w:rFonts w:ascii="Times New Roman" w:hAnsi="Times New Roman" w:cs="Times New Roman"/>
        </w:rPr>
        <w:t xml:space="preserve"> (C), NiCs/TiO</w:t>
      </w:r>
      <w:r w:rsidRPr="00374356">
        <w:rPr>
          <w:rFonts w:ascii="Times New Roman" w:hAnsi="Times New Roman" w:cs="Times New Roman"/>
          <w:vertAlign w:val="subscript"/>
        </w:rPr>
        <w:t>2</w:t>
      </w:r>
      <w:r w:rsidRPr="00374356">
        <w:rPr>
          <w:rFonts w:ascii="Times New Roman" w:hAnsi="Times New Roman" w:cs="Times New Roman"/>
        </w:rPr>
        <w:t xml:space="preserve"> (D), Pt/TiO</w:t>
      </w:r>
      <w:r w:rsidRPr="00374356">
        <w:rPr>
          <w:rFonts w:ascii="Times New Roman" w:hAnsi="Times New Roman" w:cs="Times New Roman"/>
          <w:vertAlign w:val="subscript"/>
        </w:rPr>
        <w:t>2</w:t>
      </w:r>
      <w:r w:rsidRPr="00374356">
        <w:rPr>
          <w:rFonts w:ascii="Times New Roman" w:hAnsi="Times New Roman" w:cs="Times New Roman"/>
        </w:rPr>
        <w:t xml:space="preserve"> (E) and </w:t>
      </w:r>
      <w:proofErr w:type="spellStart"/>
      <w:r w:rsidRPr="00374356">
        <w:rPr>
          <w:rFonts w:ascii="Times New Roman" w:hAnsi="Times New Roman" w:cs="Times New Roman"/>
        </w:rPr>
        <w:t>Pt</w:t>
      </w:r>
      <w:r>
        <w:rPr>
          <w:rFonts w:ascii="Times New Roman" w:hAnsi="Times New Roman" w:cs="Times New Roman"/>
        </w:rPr>
        <w:t>Cs</w:t>
      </w:r>
      <w:proofErr w:type="spellEnd"/>
      <w:r>
        <w:rPr>
          <w:rFonts w:ascii="Times New Roman" w:hAnsi="Times New Roman" w:cs="Times New Roman"/>
        </w:rPr>
        <w:t>/TiO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(F).</w:t>
      </w:r>
      <w:r w:rsidRPr="00374356">
        <w:rPr>
          <w:rFonts w:ascii="Times New Roman" w:hAnsi="Times New Roman" w:cs="Times New Roman"/>
        </w:rPr>
        <w:t xml:space="preserve"> </w:t>
      </w:r>
    </w:p>
    <w:sectPr w:rsidR="00374356" w:rsidRPr="00374356" w:rsidSect="00831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56"/>
    <w:rsid w:val="00087496"/>
    <w:rsid w:val="000F49EB"/>
    <w:rsid w:val="00184E4B"/>
    <w:rsid w:val="001A66CB"/>
    <w:rsid w:val="001B27CD"/>
    <w:rsid w:val="002734E3"/>
    <w:rsid w:val="003050B3"/>
    <w:rsid w:val="003279AB"/>
    <w:rsid w:val="00374356"/>
    <w:rsid w:val="00530692"/>
    <w:rsid w:val="00562CD5"/>
    <w:rsid w:val="00640763"/>
    <w:rsid w:val="00757023"/>
    <w:rsid w:val="007B6235"/>
    <w:rsid w:val="008318F8"/>
    <w:rsid w:val="00A6029F"/>
    <w:rsid w:val="00A91A9B"/>
    <w:rsid w:val="00C54595"/>
    <w:rsid w:val="00F53062"/>
    <w:rsid w:val="00F8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565A8A2"/>
  <w15:chartTrackingRefBased/>
  <w15:docId w15:val="{41EEF127-FB6B-4B57-8C2C-AD54829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35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35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279AB"/>
    <w:pPr>
      <w:spacing w:after="200" w:line="240" w:lineRule="auto"/>
    </w:pPr>
    <w:rPr>
      <w:i/>
      <w:iCs/>
      <w:color w:val="44546A" w:themeColor="text2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84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hyperlink" Target="mailto:tramirez@us.es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gtorres1@us.es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TORRES SEMPERE</dc:creator>
  <cp:keywords/>
  <dc:description/>
  <cp:lastModifiedBy>Ramirez Reina, Tomas Dr (Chemistry &amp; Chem Eng)</cp:lastModifiedBy>
  <cp:revision>7</cp:revision>
  <dcterms:created xsi:type="dcterms:W3CDTF">2024-02-06T17:50:00Z</dcterms:created>
  <dcterms:modified xsi:type="dcterms:W3CDTF">2024-03-13T21:06:00Z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4f6d0965209cb6379ca293a436263071ee650626d66f75bd213a86215e3b722a</vt:lpwstr>
  </property>
</Properties>
</file>