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7280F" w14:textId="0C58B11A" w:rsidR="00DB131F" w:rsidRPr="00854F95" w:rsidRDefault="00DB131F" w:rsidP="00DB131F">
      <w:pPr>
        <w:pStyle w:val="NoSpacing"/>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Supporting Information: </w:t>
      </w:r>
      <w:r w:rsidRPr="00854F95">
        <w:rPr>
          <w:rFonts w:ascii="Times New Roman" w:hAnsi="Times New Roman" w:cs="Times New Roman"/>
          <w:b/>
          <w:bCs/>
          <w:sz w:val="24"/>
          <w:szCs w:val="24"/>
        </w:rPr>
        <w:t>Competition Between Growth and Removal in Zirconia</w:t>
      </w:r>
    </w:p>
    <w:p w14:paraId="7BA88988" w14:textId="77777777" w:rsidR="00DB131F" w:rsidRPr="00854F95" w:rsidRDefault="00DB131F" w:rsidP="00DB131F">
      <w:pPr>
        <w:pStyle w:val="NoSpacing"/>
        <w:spacing w:line="480" w:lineRule="auto"/>
        <w:jc w:val="center"/>
        <w:rPr>
          <w:rFonts w:ascii="Times New Roman" w:hAnsi="Times New Roman" w:cs="Times New Roman"/>
          <w:b/>
          <w:bCs/>
          <w:sz w:val="24"/>
          <w:szCs w:val="24"/>
        </w:rPr>
      </w:pPr>
      <w:r w:rsidRPr="00854F95">
        <w:rPr>
          <w:rFonts w:ascii="Times New Roman" w:hAnsi="Times New Roman" w:cs="Times New Roman"/>
          <w:b/>
          <w:bCs/>
          <w:sz w:val="24"/>
          <w:szCs w:val="24"/>
        </w:rPr>
        <w:t>Nanocrystal-derived Tribofilms: The Role of Co-Additives</w:t>
      </w:r>
    </w:p>
    <w:p w14:paraId="0BB12E8E" w14:textId="77777777" w:rsidR="00DB131F" w:rsidRDefault="00DB131F" w:rsidP="00DB131F">
      <w:pPr>
        <w:pStyle w:val="NoSpacing"/>
        <w:spacing w:line="480" w:lineRule="auto"/>
        <w:jc w:val="both"/>
        <w:rPr>
          <w:rFonts w:ascii="Times New Roman" w:hAnsi="Times New Roman" w:cs="Times New Roman"/>
          <w:sz w:val="24"/>
          <w:szCs w:val="24"/>
        </w:rPr>
      </w:pPr>
    </w:p>
    <w:p w14:paraId="2753B2B6" w14:textId="77777777" w:rsidR="00DB131F" w:rsidRPr="00856DAA" w:rsidRDefault="00DB131F" w:rsidP="00DB131F">
      <w:pPr>
        <w:pStyle w:val="NoSpacing"/>
        <w:spacing w:line="480" w:lineRule="auto"/>
        <w:jc w:val="both"/>
        <w:rPr>
          <w:rFonts w:ascii="Times New Roman" w:hAnsi="Times New Roman" w:cs="Times New Roman"/>
          <w:sz w:val="24"/>
          <w:szCs w:val="24"/>
        </w:rPr>
      </w:pPr>
    </w:p>
    <w:p w14:paraId="50FBC1A3" w14:textId="77777777" w:rsidR="00DB131F" w:rsidRPr="00856DAA" w:rsidRDefault="00DB131F" w:rsidP="00DB131F">
      <w:pPr>
        <w:pStyle w:val="NoSpacing"/>
        <w:spacing w:line="480" w:lineRule="auto"/>
        <w:jc w:val="center"/>
        <w:rPr>
          <w:rFonts w:ascii="Times New Roman" w:hAnsi="Times New Roman" w:cs="Times New Roman"/>
          <w:sz w:val="24"/>
          <w:szCs w:val="24"/>
          <w:vertAlign w:val="superscript"/>
        </w:rPr>
      </w:pPr>
      <w:r w:rsidRPr="00856DAA">
        <w:rPr>
          <w:rFonts w:ascii="Times New Roman" w:hAnsi="Times New Roman" w:cs="Times New Roman"/>
          <w:sz w:val="24"/>
          <w:szCs w:val="24"/>
        </w:rPr>
        <w:t>Parker LaMascus</w:t>
      </w:r>
      <w:r w:rsidRPr="00856DAA">
        <w:rPr>
          <w:rFonts w:ascii="Times New Roman" w:hAnsi="Times New Roman" w:cs="Times New Roman"/>
          <w:sz w:val="24"/>
          <w:szCs w:val="24"/>
          <w:vertAlign w:val="superscript"/>
        </w:rPr>
        <w:t>1</w:t>
      </w:r>
      <w:r w:rsidRPr="00856DAA">
        <w:rPr>
          <w:rFonts w:ascii="Times New Roman" w:hAnsi="Times New Roman" w:cs="Times New Roman"/>
          <w:sz w:val="24"/>
          <w:szCs w:val="24"/>
        </w:rPr>
        <w:t>,</w:t>
      </w:r>
      <w:r>
        <w:rPr>
          <w:rFonts w:ascii="Times New Roman" w:hAnsi="Times New Roman" w:cs="Times New Roman"/>
          <w:sz w:val="24"/>
          <w:szCs w:val="24"/>
        </w:rPr>
        <w:t xml:space="preserve"> </w:t>
      </w:r>
      <w:r w:rsidRPr="00856DAA">
        <w:rPr>
          <w:rFonts w:ascii="Times New Roman" w:hAnsi="Times New Roman" w:cs="Times New Roman"/>
          <w:sz w:val="24"/>
          <w:szCs w:val="24"/>
        </w:rPr>
        <w:t>Meagan B. Elinski</w:t>
      </w:r>
      <w:r>
        <w:rPr>
          <w:rFonts w:ascii="Times New Roman" w:hAnsi="Times New Roman" w:cs="Times New Roman"/>
          <w:sz w:val="24"/>
          <w:szCs w:val="24"/>
          <w:vertAlign w:val="superscript"/>
        </w:rPr>
        <w:t>1,2</w:t>
      </w:r>
      <w:r w:rsidRPr="00856DAA">
        <w:rPr>
          <w:rFonts w:ascii="Times New Roman" w:hAnsi="Times New Roman" w:cs="Times New Roman"/>
          <w:sz w:val="24"/>
          <w:szCs w:val="24"/>
        </w:rPr>
        <w:t>, Daniel</w:t>
      </w:r>
      <w:r>
        <w:rPr>
          <w:rFonts w:ascii="Times New Roman" w:hAnsi="Times New Roman" w:cs="Times New Roman"/>
          <w:sz w:val="24"/>
          <w:szCs w:val="24"/>
        </w:rPr>
        <w:t xml:space="preserve"> Delghandi</w:t>
      </w:r>
      <w:r w:rsidRPr="00B551AA">
        <w:rPr>
          <w:rFonts w:ascii="Times New Roman" w:hAnsi="Times New Roman" w:cs="Times New Roman"/>
          <w:sz w:val="24"/>
          <w:szCs w:val="24"/>
          <w:vertAlign w:val="superscript"/>
        </w:rPr>
        <w:t>1</w:t>
      </w:r>
      <w:r>
        <w:rPr>
          <w:rFonts w:ascii="Times New Roman" w:hAnsi="Times New Roman" w:cs="Times New Roman"/>
          <w:sz w:val="24"/>
          <w:szCs w:val="24"/>
        </w:rPr>
        <w:t>, Julia Griffin</w:t>
      </w:r>
      <w:r>
        <w:rPr>
          <w:rFonts w:ascii="Times New Roman" w:hAnsi="Times New Roman" w:cs="Times New Roman"/>
          <w:sz w:val="24"/>
          <w:szCs w:val="24"/>
          <w:vertAlign w:val="superscript"/>
        </w:rPr>
        <w:t>3</w:t>
      </w:r>
      <w:r>
        <w:rPr>
          <w:rFonts w:ascii="Times New Roman" w:hAnsi="Times New Roman" w:cs="Times New Roman"/>
          <w:sz w:val="24"/>
          <w:szCs w:val="24"/>
        </w:rPr>
        <w:t xml:space="preserve">, </w:t>
      </w:r>
      <w:r w:rsidRPr="00856DAA">
        <w:rPr>
          <w:rFonts w:ascii="Times New Roman" w:hAnsi="Times New Roman" w:cs="Times New Roman"/>
          <w:sz w:val="24"/>
          <w:szCs w:val="24"/>
        </w:rPr>
        <w:t>Lei Zheng</w:t>
      </w:r>
      <w:r>
        <w:rPr>
          <w:rFonts w:ascii="Times New Roman" w:hAnsi="Times New Roman" w:cs="Times New Roman"/>
          <w:sz w:val="24"/>
          <w:szCs w:val="24"/>
          <w:vertAlign w:val="superscript"/>
        </w:rPr>
        <w:t>4</w:t>
      </w:r>
      <w:r w:rsidRPr="00856DAA">
        <w:rPr>
          <w:rFonts w:ascii="Times New Roman" w:hAnsi="Times New Roman" w:cs="Times New Roman"/>
          <w:sz w:val="24"/>
          <w:szCs w:val="24"/>
        </w:rPr>
        <w:t>, Andrew Jackson</w:t>
      </w:r>
      <w:r w:rsidRPr="00856DAA">
        <w:rPr>
          <w:rFonts w:ascii="Times New Roman" w:hAnsi="Times New Roman" w:cs="Times New Roman"/>
          <w:sz w:val="24"/>
          <w:szCs w:val="24"/>
          <w:vertAlign w:val="superscript"/>
        </w:rPr>
        <w:t>1</w:t>
      </w:r>
      <w:r>
        <w:rPr>
          <w:rFonts w:ascii="Times New Roman" w:hAnsi="Times New Roman" w:cs="Times New Roman"/>
          <w:sz w:val="24"/>
          <w:szCs w:val="24"/>
          <w:vertAlign w:val="superscript"/>
        </w:rPr>
        <w:t>,4</w:t>
      </w:r>
      <w:r w:rsidRPr="00856DAA">
        <w:rPr>
          <w:rFonts w:ascii="Times New Roman" w:hAnsi="Times New Roman" w:cs="Times New Roman"/>
          <w:sz w:val="24"/>
          <w:szCs w:val="24"/>
        </w:rPr>
        <w:t>, Robert</w:t>
      </w:r>
      <w:r>
        <w:rPr>
          <w:rFonts w:ascii="Times New Roman" w:hAnsi="Times New Roman" w:cs="Times New Roman"/>
          <w:sz w:val="24"/>
          <w:szCs w:val="24"/>
        </w:rPr>
        <w:t xml:space="preserve"> J.</w:t>
      </w:r>
      <w:r w:rsidRPr="00856DAA">
        <w:rPr>
          <w:rFonts w:ascii="Times New Roman" w:hAnsi="Times New Roman" w:cs="Times New Roman"/>
          <w:sz w:val="24"/>
          <w:szCs w:val="24"/>
        </w:rPr>
        <w:t xml:space="preserve"> Wiacek</w:t>
      </w:r>
      <w:r>
        <w:rPr>
          <w:rFonts w:ascii="Times New Roman" w:hAnsi="Times New Roman" w:cs="Times New Roman"/>
          <w:sz w:val="24"/>
          <w:szCs w:val="24"/>
          <w:vertAlign w:val="superscript"/>
        </w:rPr>
        <w:t>4</w:t>
      </w:r>
      <w:r w:rsidRPr="00856DAA">
        <w:rPr>
          <w:rFonts w:ascii="Times New Roman" w:hAnsi="Times New Roman" w:cs="Times New Roman"/>
          <w:sz w:val="24"/>
          <w:szCs w:val="24"/>
        </w:rPr>
        <w:t>, Robert W. Carpick</w:t>
      </w:r>
      <w:r w:rsidRPr="00856DAA">
        <w:rPr>
          <w:rFonts w:ascii="Times New Roman" w:hAnsi="Times New Roman" w:cs="Times New Roman"/>
          <w:sz w:val="24"/>
          <w:szCs w:val="24"/>
          <w:vertAlign w:val="superscript"/>
        </w:rPr>
        <w:t>1*</w:t>
      </w:r>
    </w:p>
    <w:p w14:paraId="65407C07" w14:textId="77777777" w:rsidR="00DB131F" w:rsidRDefault="00DB131F" w:rsidP="00DB131F">
      <w:pPr>
        <w:pStyle w:val="NoSpacing"/>
        <w:spacing w:line="480" w:lineRule="auto"/>
        <w:jc w:val="both"/>
        <w:rPr>
          <w:rFonts w:ascii="Times New Roman" w:hAnsi="Times New Roman" w:cs="Times New Roman"/>
          <w:sz w:val="24"/>
          <w:szCs w:val="24"/>
        </w:rPr>
      </w:pPr>
    </w:p>
    <w:p w14:paraId="75E3155F" w14:textId="77777777" w:rsidR="00DB131F" w:rsidRPr="00856DAA" w:rsidRDefault="00DB131F" w:rsidP="00DB131F">
      <w:pPr>
        <w:pStyle w:val="NoSpacing"/>
        <w:spacing w:line="480" w:lineRule="auto"/>
        <w:jc w:val="both"/>
        <w:rPr>
          <w:rFonts w:ascii="Times New Roman" w:hAnsi="Times New Roman" w:cs="Times New Roman"/>
          <w:sz w:val="24"/>
          <w:szCs w:val="24"/>
        </w:rPr>
      </w:pPr>
    </w:p>
    <w:p w14:paraId="23B7CEE1" w14:textId="77777777" w:rsidR="00DB131F" w:rsidRDefault="00DB131F" w:rsidP="00DB131F">
      <w:pPr>
        <w:pStyle w:val="NoSpacing"/>
        <w:spacing w:line="480" w:lineRule="auto"/>
        <w:jc w:val="both"/>
        <w:rPr>
          <w:rFonts w:ascii="Times New Roman" w:hAnsi="Times New Roman" w:cs="Times New Roman"/>
          <w:sz w:val="20"/>
          <w:szCs w:val="20"/>
        </w:rPr>
      </w:pPr>
      <w:r w:rsidRPr="00856DAA">
        <w:rPr>
          <w:rFonts w:ascii="Times New Roman" w:hAnsi="Times New Roman" w:cs="Times New Roman"/>
          <w:sz w:val="20"/>
          <w:szCs w:val="20"/>
          <w:vertAlign w:val="superscript"/>
        </w:rPr>
        <w:t>1</w:t>
      </w:r>
      <w:r w:rsidRPr="00856DAA">
        <w:rPr>
          <w:rFonts w:ascii="Times New Roman" w:hAnsi="Times New Roman" w:cs="Times New Roman"/>
          <w:sz w:val="20"/>
          <w:szCs w:val="20"/>
        </w:rPr>
        <w:t>Department of Mechanical Engineering &amp; Applied Mechanics, University of Pennsylvania, Philadelphia, Pennsylvania 19104, United States</w:t>
      </w:r>
    </w:p>
    <w:p w14:paraId="5D8860D5" w14:textId="77777777" w:rsidR="00DB131F" w:rsidRDefault="00DB131F" w:rsidP="00DB131F">
      <w:pPr>
        <w:pStyle w:val="NoSpacing"/>
        <w:spacing w:line="480" w:lineRule="auto"/>
        <w:jc w:val="both"/>
        <w:rPr>
          <w:rFonts w:ascii="Times New Roman" w:hAnsi="Times New Roman" w:cs="Times New Roman"/>
          <w:sz w:val="20"/>
          <w:szCs w:val="20"/>
        </w:rPr>
      </w:pPr>
      <w:r w:rsidRPr="007C3B5C">
        <w:rPr>
          <w:rFonts w:ascii="Times New Roman" w:hAnsi="Times New Roman" w:cs="Times New Roman"/>
          <w:sz w:val="20"/>
          <w:szCs w:val="20"/>
          <w:vertAlign w:val="superscript"/>
        </w:rPr>
        <w:t>2</w:t>
      </w:r>
      <w:r>
        <w:rPr>
          <w:rFonts w:ascii="Times New Roman" w:hAnsi="Times New Roman" w:cs="Times New Roman"/>
          <w:sz w:val="20"/>
          <w:szCs w:val="20"/>
        </w:rPr>
        <w:t xml:space="preserve">Department of Chemistry, </w:t>
      </w:r>
      <w:r w:rsidRPr="00232CD1">
        <w:rPr>
          <w:rFonts w:ascii="Times New Roman" w:hAnsi="Times New Roman" w:cs="Times New Roman"/>
          <w:sz w:val="20"/>
          <w:szCs w:val="20"/>
        </w:rPr>
        <w:t>Hope College, H</w:t>
      </w:r>
      <w:r>
        <w:rPr>
          <w:rFonts w:ascii="Times New Roman" w:hAnsi="Times New Roman" w:cs="Times New Roman"/>
          <w:sz w:val="20"/>
          <w:szCs w:val="20"/>
        </w:rPr>
        <w:t>olland, Michigan 49423, United States</w:t>
      </w:r>
    </w:p>
    <w:p w14:paraId="53F7B613" w14:textId="77777777" w:rsidR="00DB131F" w:rsidRPr="00856DAA" w:rsidRDefault="00DB131F" w:rsidP="00DB131F">
      <w:pPr>
        <w:pStyle w:val="NoSpacing"/>
        <w:spacing w:line="480" w:lineRule="auto"/>
        <w:jc w:val="both"/>
        <w:rPr>
          <w:rFonts w:ascii="Times New Roman" w:hAnsi="Times New Roman" w:cs="Times New Roman"/>
          <w:sz w:val="20"/>
          <w:szCs w:val="20"/>
        </w:rPr>
      </w:pPr>
      <w:r w:rsidRPr="007C3B5C">
        <w:rPr>
          <w:rFonts w:ascii="Times New Roman" w:hAnsi="Times New Roman" w:cs="Times New Roman"/>
          <w:sz w:val="20"/>
          <w:szCs w:val="20"/>
          <w:vertAlign w:val="superscript"/>
        </w:rPr>
        <w:t>3</w:t>
      </w:r>
      <w:r>
        <w:rPr>
          <w:rFonts w:ascii="Times New Roman" w:hAnsi="Times New Roman" w:cs="Times New Roman"/>
          <w:sz w:val="20"/>
          <w:szCs w:val="20"/>
        </w:rPr>
        <w:t>Department of Chemistry, Mount Holyoke College, South Hadley, Massachusetts 01075, United States</w:t>
      </w:r>
    </w:p>
    <w:p w14:paraId="6110E9EA" w14:textId="77777777" w:rsidR="00DB131F" w:rsidRPr="00856DAA" w:rsidRDefault="00DB131F" w:rsidP="00DB131F">
      <w:pPr>
        <w:pStyle w:val="NoSpacing"/>
        <w:spacing w:line="480" w:lineRule="auto"/>
        <w:jc w:val="both"/>
        <w:rPr>
          <w:rFonts w:ascii="Times New Roman" w:hAnsi="Times New Roman" w:cs="Times New Roman"/>
          <w:sz w:val="20"/>
          <w:szCs w:val="20"/>
        </w:rPr>
      </w:pPr>
      <w:r>
        <w:rPr>
          <w:rFonts w:ascii="Times New Roman" w:hAnsi="Times New Roman" w:cs="Times New Roman"/>
          <w:sz w:val="20"/>
          <w:szCs w:val="20"/>
          <w:vertAlign w:val="superscript"/>
        </w:rPr>
        <w:t>4</w:t>
      </w:r>
      <w:r w:rsidRPr="00856DAA">
        <w:rPr>
          <w:rFonts w:ascii="Times New Roman" w:hAnsi="Times New Roman" w:cs="Times New Roman"/>
          <w:sz w:val="20"/>
          <w:szCs w:val="20"/>
        </w:rPr>
        <w:t>Pixelligent Technologies LLC, Baltimore, Maryland 21224, United States</w:t>
      </w:r>
    </w:p>
    <w:p w14:paraId="60EAAF3D" w14:textId="77777777" w:rsidR="00DB131F" w:rsidRDefault="00DB131F" w:rsidP="00DB131F">
      <w:pPr>
        <w:pStyle w:val="NoSpacing"/>
        <w:spacing w:line="480" w:lineRule="auto"/>
        <w:jc w:val="both"/>
        <w:rPr>
          <w:rFonts w:ascii="Times New Roman" w:hAnsi="Times New Roman" w:cs="Times New Roman"/>
          <w:sz w:val="20"/>
          <w:szCs w:val="20"/>
        </w:rPr>
      </w:pPr>
      <w:r w:rsidRPr="00856DAA">
        <w:rPr>
          <w:rFonts w:ascii="Times New Roman" w:hAnsi="Times New Roman" w:cs="Times New Roman"/>
          <w:sz w:val="20"/>
          <w:szCs w:val="20"/>
        </w:rPr>
        <w:t xml:space="preserve">*Corresponding author. </w:t>
      </w:r>
      <w:r w:rsidRPr="00AF34F7">
        <w:rPr>
          <w:rFonts w:ascii="Times New Roman" w:hAnsi="Times New Roman" w:cs="Times New Roman"/>
          <w:sz w:val="20"/>
          <w:szCs w:val="20"/>
          <w:lang w:val="de-DE"/>
        </w:rPr>
        <w:t xml:space="preserve">E-mail: </w:t>
      </w:r>
      <w:hyperlink r:id="rId6" w:history="1">
        <w:r w:rsidRPr="00AF34F7">
          <w:rPr>
            <w:rFonts w:ascii="Times New Roman" w:hAnsi="Times New Roman" w:cs="Times New Roman"/>
            <w:color w:val="1155CC"/>
            <w:sz w:val="20"/>
            <w:szCs w:val="20"/>
            <w:u w:val="single"/>
            <w:lang w:val="de-DE"/>
          </w:rPr>
          <w:t>carpick@seas.upenn.edu</w:t>
        </w:r>
      </w:hyperlink>
      <w:r w:rsidRPr="00AF34F7">
        <w:rPr>
          <w:rFonts w:ascii="Times New Roman" w:hAnsi="Times New Roman" w:cs="Times New Roman"/>
          <w:sz w:val="20"/>
          <w:szCs w:val="20"/>
          <w:lang w:val="de-DE"/>
        </w:rPr>
        <w:t xml:space="preserve">. </w:t>
      </w:r>
      <w:r w:rsidRPr="00856DAA">
        <w:rPr>
          <w:rFonts w:ascii="Times New Roman" w:hAnsi="Times New Roman" w:cs="Times New Roman"/>
          <w:sz w:val="20"/>
          <w:szCs w:val="20"/>
        </w:rPr>
        <w:t>Tel: (215) 898-4608</w:t>
      </w:r>
      <w:r>
        <w:rPr>
          <w:rFonts w:ascii="Times New Roman" w:hAnsi="Times New Roman" w:cs="Times New Roman"/>
          <w:sz w:val="20"/>
          <w:szCs w:val="20"/>
        </w:rPr>
        <w:t>.</w:t>
      </w:r>
    </w:p>
    <w:p w14:paraId="4D85CC5D" w14:textId="58E214D4" w:rsidR="00DB131F" w:rsidRDefault="00DB131F">
      <w:pPr>
        <w:rPr>
          <w:rFonts w:ascii="Times New Roman" w:hAnsi="Times New Roman" w:cs="Times New Roman"/>
        </w:rPr>
      </w:pPr>
      <w:r>
        <w:rPr>
          <w:rFonts w:ascii="Times New Roman" w:hAnsi="Times New Roman" w:cs="Times New Roman"/>
        </w:rPr>
        <w:br w:type="page"/>
      </w:r>
    </w:p>
    <w:p w14:paraId="7445F37C" w14:textId="77777777" w:rsidR="0083332D" w:rsidRDefault="0083332D">
      <w:pPr>
        <w:rPr>
          <w:rFonts w:ascii="Times New Roman" w:hAnsi="Times New Roman" w:cs="Times New Roman"/>
        </w:rPr>
      </w:pPr>
    </w:p>
    <w:p w14:paraId="460BCC0F" w14:textId="4E66703A" w:rsidR="0083332D" w:rsidRDefault="00F27145">
      <w:pPr>
        <w:rPr>
          <w:rFonts w:ascii="Times New Roman" w:hAnsi="Times New Roman" w:cs="Times New Roman"/>
        </w:rPr>
      </w:pPr>
      <w:r>
        <w:rPr>
          <w:rFonts w:ascii="Times New Roman" w:hAnsi="Times New Roman" w:cs="Times New Roman"/>
          <w:noProof/>
        </w:rPr>
        <w:drawing>
          <wp:inline distT="0" distB="0" distL="0" distR="0" wp14:anchorId="12F985AA" wp14:editId="4AEC3A16">
            <wp:extent cx="5740400" cy="2686996"/>
            <wp:effectExtent l="0" t="0" r="0" b="5715"/>
            <wp:docPr id="12890287" name="Picture 2" descr="A close-up of several imag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0287" name="Picture 2" descr="A close-up of several images&#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5757978" cy="2695224"/>
                    </a:xfrm>
                    <a:prstGeom prst="rect">
                      <a:avLst/>
                    </a:prstGeom>
                  </pic:spPr>
                </pic:pic>
              </a:graphicData>
            </a:graphic>
          </wp:inline>
        </w:drawing>
      </w:r>
    </w:p>
    <w:p w14:paraId="143ABFCD" w14:textId="212E92BD" w:rsidR="0083332D" w:rsidRDefault="0083332D">
      <w:pPr>
        <w:rPr>
          <w:rFonts w:ascii="Times New Roman" w:hAnsi="Times New Roman" w:cs="Times New Roman"/>
        </w:rPr>
      </w:pPr>
      <w:r w:rsidRPr="00541BFF">
        <w:rPr>
          <w:rFonts w:ascii="Times New Roman" w:hAnsi="Times New Roman" w:cs="Times New Roman"/>
          <w:b/>
          <w:bCs/>
        </w:rPr>
        <w:t>S</w:t>
      </w:r>
      <w:r w:rsidR="00573FDA">
        <w:rPr>
          <w:rFonts w:ascii="Times New Roman" w:hAnsi="Times New Roman" w:cs="Times New Roman"/>
          <w:b/>
          <w:bCs/>
        </w:rPr>
        <w:t>I</w:t>
      </w:r>
      <w:r w:rsidRPr="00541BFF">
        <w:rPr>
          <w:rFonts w:ascii="Times New Roman" w:hAnsi="Times New Roman" w:cs="Times New Roman"/>
          <w:b/>
          <w:bCs/>
        </w:rPr>
        <w:t>1</w:t>
      </w:r>
      <w:r>
        <w:rPr>
          <w:rFonts w:ascii="Times New Roman" w:hAnsi="Times New Roman" w:cs="Times New Roman"/>
        </w:rPr>
        <w:t xml:space="preserve"> </w:t>
      </w:r>
      <w:r w:rsidR="00971777">
        <w:rPr>
          <w:rFonts w:ascii="Times New Roman" w:hAnsi="Times New Roman" w:cs="Times New Roman"/>
        </w:rPr>
        <w:t xml:space="preserve">End-of-test morphologies for white light interferometry (WLI) of MTM ball specimens on which tribofilms were formed in 2 hours of rolling-sliding contact (top: PAO10; bottom: 75W-80). The RMS roughness </w:t>
      </w:r>
      <w:proofErr w:type="spellStart"/>
      <w:r w:rsidR="00971777" w:rsidRPr="006E22A4">
        <w:rPr>
          <w:rFonts w:ascii="Times New Roman" w:hAnsi="Times New Roman" w:cs="Times New Roman"/>
          <w:i/>
          <w:iCs/>
        </w:rPr>
        <w:t>R</w:t>
      </w:r>
      <w:r w:rsidR="00971777" w:rsidRPr="000A6B9F">
        <w:rPr>
          <w:rFonts w:ascii="Times New Roman" w:hAnsi="Times New Roman" w:cs="Times New Roman"/>
          <w:i/>
          <w:iCs/>
          <w:vertAlign w:val="subscript"/>
        </w:rPr>
        <w:t>q</w:t>
      </w:r>
      <w:r w:rsidR="00971777">
        <w:rPr>
          <w:rFonts w:ascii="Times New Roman" w:hAnsi="Times New Roman" w:cs="Times New Roman"/>
          <w:i/>
          <w:iCs/>
          <w:vertAlign w:val="subscript"/>
        </w:rPr>
        <w:t>,ball</w:t>
      </w:r>
      <w:proofErr w:type="spellEnd"/>
      <w:r w:rsidR="00971777">
        <w:rPr>
          <w:rFonts w:ascii="Times New Roman" w:hAnsi="Times New Roman" w:cs="Times New Roman"/>
        </w:rPr>
        <w:t xml:space="preserve"> </w:t>
      </w:r>
      <w:r w:rsidR="00971777" w:rsidRPr="006E22A4">
        <w:rPr>
          <w:rFonts w:ascii="Times New Roman" w:hAnsi="Times New Roman" w:cs="Times New Roman"/>
        </w:rPr>
        <w:t>and</w:t>
      </w:r>
      <w:r w:rsidR="00971777">
        <w:rPr>
          <w:rFonts w:ascii="Times New Roman" w:hAnsi="Times New Roman" w:cs="Times New Roman"/>
        </w:rPr>
        <w:t xml:space="preserve"> mean tribofilm heights </w:t>
      </w:r>
      <m:oMath>
        <m:acc>
          <m:accPr>
            <m:chr m:val="̅"/>
            <m:ctrlPr>
              <w:rPr>
                <w:rFonts w:ascii="Cambria Math" w:hAnsi="Cambria Math" w:cs="Times New Roman"/>
                <w:i/>
                <w:iCs/>
              </w:rPr>
            </m:ctrlPr>
          </m:accPr>
          <m:e>
            <m:r>
              <w:rPr>
                <w:rFonts w:ascii="Cambria Math" w:hAnsi="Cambria Math" w:cs="Times New Roman"/>
              </w:rPr>
              <m:t>z</m:t>
            </m:r>
          </m:e>
        </m:acc>
      </m:oMath>
      <w:r w:rsidR="00971777">
        <w:rPr>
          <w:rFonts w:ascii="Times New Roman" w:hAnsi="Times New Roman" w:cs="Times New Roman"/>
          <w:i/>
          <w:iCs/>
        </w:rPr>
        <w:t xml:space="preserve"> </w:t>
      </w:r>
      <w:r w:rsidR="00971777">
        <w:rPr>
          <w:rFonts w:ascii="Times New Roman" w:hAnsi="Times New Roman" w:cs="Times New Roman"/>
        </w:rPr>
        <w:t>with respect to the substrate are indicated on each plot (t</w:t>
      </w:r>
      <w:r w:rsidR="00541209">
        <w:rPr>
          <w:rFonts w:ascii="Times New Roman" w:hAnsi="Times New Roman" w:cs="Times New Roman"/>
        </w:rPr>
        <w:t>he corresponding end-of-test images for the ball specimens are in Figure 3 of the main text)</w:t>
      </w:r>
      <w:r>
        <w:rPr>
          <w:rFonts w:ascii="Times New Roman" w:hAnsi="Times New Roman" w:cs="Times New Roman"/>
        </w:rPr>
        <w:t>.</w:t>
      </w:r>
    </w:p>
    <w:p w14:paraId="709BE634" w14:textId="77777777" w:rsidR="007A4427" w:rsidRDefault="007A4427">
      <w:pPr>
        <w:rPr>
          <w:rFonts w:ascii="Times New Roman" w:hAnsi="Times New Roman" w:cs="Times New Roman"/>
        </w:rPr>
      </w:pPr>
    </w:p>
    <w:p w14:paraId="221020D5" w14:textId="725C6527" w:rsidR="007A4427" w:rsidRDefault="001F46C9">
      <w:pPr>
        <w:rPr>
          <w:rFonts w:ascii="Times New Roman" w:hAnsi="Times New Roman" w:cs="Times New Roman"/>
        </w:rPr>
      </w:pPr>
      <w:r>
        <w:rPr>
          <w:rFonts w:ascii="Times New Roman" w:hAnsi="Times New Roman" w:cs="Times New Roman"/>
        </w:rPr>
        <w:t>S</w:t>
      </w:r>
      <w:r w:rsidR="00573FDA">
        <w:rPr>
          <w:rFonts w:ascii="Times New Roman" w:hAnsi="Times New Roman" w:cs="Times New Roman"/>
        </w:rPr>
        <w:t>I</w:t>
      </w:r>
      <w:r>
        <w:rPr>
          <w:rFonts w:ascii="Times New Roman" w:hAnsi="Times New Roman" w:cs="Times New Roman"/>
        </w:rPr>
        <w:t xml:space="preserve">1 depicts the end-of-test morphologies for the disc specimens that were </w:t>
      </w:r>
      <w:proofErr w:type="spellStart"/>
      <w:r>
        <w:rPr>
          <w:rFonts w:ascii="Times New Roman" w:hAnsi="Times New Roman" w:cs="Times New Roman"/>
        </w:rPr>
        <w:t>counterpaired</w:t>
      </w:r>
      <w:proofErr w:type="spellEnd"/>
      <w:r>
        <w:rPr>
          <w:rFonts w:ascii="Times New Roman" w:hAnsi="Times New Roman" w:cs="Times New Roman"/>
        </w:rPr>
        <w:t xml:space="preserve"> with the ball specimens of the main text’s Figure 3. </w:t>
      </w:r>
      <w:r w:rsidR="00B4231A">
        <w:rPr>
          <w:rFonts w:ascii="Times New Roman" w:hAnsi="Times New Roman" w:cs="Times New Roman"/>
        </w:rPr>
        <w:t xml:space="preserve">Matching our findings </w:t>
      </w:r>
      <w:r>
        <w:rPr>
          <w:rFonts w:ascii="Times New Roman" w:hAnsi="Times New Roman" w:cs="Times New Roman"/>
        </w:rPr>
        <w:t>there</w:t>
      </w:r>
      <w:r w:rsidR="007A4427">
        <w:rPr>
          <w:rFonts w:ascii="Times New Roman" w:hAnsi="Times New Roman" w:cs="Times New Roman"/>
        </w:rPr>
        <w:t>, the tribofilms formed in 75W-80</w:t>
      </w:r>
      <w:r w:rsidR="00C07FE1">
        <w:rPr>
          <w:rFonts w:ascii="Times New Roman" w:hAnsi="Times New Roman" w:cs="Times New Roman"/>
        </w:rPr>
        <w:t>+ZrO</w:t>
      </w:r>
      <w:r w:rsidR="00C07FE1">
        <w:rPr>
          <w:rFonts w:ascii="Times New Roman" w:hAnsi="Times New Roman" w:cs="Times New Roman"/>
          <w:vertAlign w:val="subscript"/>
        </w:rPr>
        <w:t>2</w:t>
      </w:r>
      <w:r w:rsidR="007A4427">
        <w:rPr>
          <w:rFonts w:ascii="Times New Roman" w:hAnsi="Times New Roman" w:cs="Times New Roman"/>
        </w:rPr>
        <w:t xml:space="preserve"> are uniformly smoother than those formed in PAO10 at the same SRR. Moreover, as </w:t>
      </w:r>
      <w:r w:rsidR="00C07FE1">
        <w:rPr>
          <w:rFonts w:ascii="Times New Roman" w:hAnsi="Times New Roman" w:cs="Times New Roman"/>
        </w:rPr>
        <w:t xml:space="preserve">the </w:t>
      </w:r>
      <w:r w:rsidR="007A4427">
        <w:rPr>
          <w:rFonts w:ascii="Times New Roman" w:hAnsi="Times New Roman" w:cs="Times New Roman"/>
        </w:rPr>
        <w:t>SRR increases, so does</w:t>
      </w:r>
      <w:r>
        <w:rPr>
          <w:rFonts w:ascii="Times New Roman" w:hAnsi="Times New Roman" w:cs="Times New Roman"/>
        </w:rPr>
        <w:t xml:space="preserve"> end-of-test</w:t>
      </w:r>
      <w:r w:rsidR="007A4427">
        <w:rPr>
          <w:rFonts w:ascii="Times New Roman" w:hAnsi="Times New Roman" w:cs="Times New Roman"/>
        </w:rPr>
        <w:t xml:space="preserve"> roughness</w:t>
      </w:r>
      <w:r>
        <w:rPr>
          <w:rFonts w:ascii="Times New Roman" w:hAnsi="Times New Roman" w:cs="Times New Roman"/>
        </w:rPr>
        <w:t xml:space="preserve"> </w:t>
      </w:r>
      <w:proofErr w:type="gramStart"/>
      <w:r>
        <w:rPr>
          <w:rFonts w:ascii="Times New Roman" w:hAnsi="Times New Roman" w:cs="Times New Roman"/>
        </w:rPr>
        <w:t>measured</w:t>
      </w:r>
      <w:proofErr w:type="gramEnd"/>
      <w:r>
        <w:rPr>
          <w:rFonts w:ascii="Times New Roman" w:hAnsi="Times New Roman" w:cs="Times New Roman"/>
        </w:rPr>
        <w:t xml:space="preserve"> by WLI</w:t>
      </w:r>
      <w:r w:rsidR="007A4427">
        <w:rPr>
          <w:rFonts w:ascii="Times New Roman" w:hAnsi="Times New Roman" w:cs="Times New Roman"/>
        </w:rPr>
        <w:t xml:space="preserve">. </w:t>
      </w:r>
      <w:r w:rsidR="00B4231A">
        <w:rPr>
          <w:rFonts w:ascii="Times New Roman" w:hAnsi="Times New Roman" w:cs="Times New Roman"/>
        </w:rPr>
        <w:t xml:space="preserve">These data further support the main text’s assertion that co-additives contribute to a smoother interface for these </w:t>
      </w:r>
      <w:r w:rsidR="00710ACC">
        <w:rPr>
          <w:rFonts w:ascii="Times New Roman" w:hAnsi="Times New Roman" w:cs="Times New Roman"/>
        </w:rPr>
        <w:t xml:space="preserve">MTM </w:t>
      </w:r>
      <w:r w:rsidR="00B4231A">
        <w:rPr>
          <w:rFonts w:ascii="Times New Roman" w:hAnsi="Times New Roman" w:cs="Times New Roman"/>
        </w:rPr>
        <w:t>experiments</w:t>
      </w:r>
      <w:r w:rsidR="00541209">
        <w:rPr>
          <w:rFonts w:ascii="Times New Roman" w:hAnsi="Times New Roman" w:cs="Times New Roman"/>
        </w:rPr>
        <w:t>. The numbers shown in the insets of Figure S</w:t>
      </w:r>
      <w:r w:rsidR="00573FDA">
        <w:rPr>
          <w:rFonts w:ascii="Times New Roman" w:hAnsi="Times New Roman" w:cs="Times New Roman"/>
        </w:rPr>
        <w:t>I</w:t>
      </w:r>
      <w:r w:rsidR="00541209">
        <w:rPr>
          <w:rFonts w:ascii="Times New Roman" w:hAnsi="Times New Roman" w:cs="Times New Roman"/>
        </w:rPr>
        <w:t>1 are used for</w:t>
      </w:r>
      <w:r w:rsidR="00B4231A">
        <w:rPr>
          <w:rFonts w:ascii="Times New Roman" w:hAnsi="Times New Roman" w:cs="Times New Roman"/>
        </w:rPr>
        <w:t xml:space="preserve"> the calculation of composite roughness </w:t>
      </w:r>
      <w:r w:rsidR="00541209">
        <w:rPr>
          <w:rFonts w:ascii="Times New Roman" w:hAnsi="Times New Roman" w:cs="Times New Roman"/>
        </w:rPr>
        <w:t xml:space="preserve">that is reported in </w:t>
      </w:r>
      <w:r w:rsidR="00B4231A">
        <w:rPr>
          <w:rFonts w:ascii="Times New Roman" w:hAnsi="Times New Roman" w:cs="Times New Roman"/>
        </w:rPr>
        <w:t>Fig. 3.</w:t>
      </w:r>
    </w:p>
    <w:p w14:paraId="7804ACDA" w14:textId="77777777" w:rsidR="00541BFF" w:rsidRDefault="00541BFF">
      <w:pPr>
        <w:rPr>
          <w:rFonts w:ascii="Times New Roman" w:hAnsi="Times New Roman" w:cs="Times New Roman"/>
        </w:rPr>
      </w:pPr>
    </w:p>
    <w:p w14:paraId="428BBEF2" w14:textId="30265FAE" w:rsidR="00541BFF" w:rsidRDefault="00541BFF" w:rsidP="00F84EB4">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4B316316" wp14:editId="6C35A453">
            <wp:extent cx="4194495" cy="4023608"/>
            <wp:effectExtent l="0" t="0" r="0" b="2540"/>
            <wp:docPr id="6407115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711501" name="Picture 640711501"/>
                    <pic:cNvPicPr/>
                  </pic:nvPicPr>
                  <pic:blipFill>
                    <a:blip r:embed="rId8">
                      <a:extLst>
                        <a:ext uri="{28A0092B-C50C-407E-A947-70E740481C1C}">
                          <a14:useLocalDpi xmlns:a14="http://schemas.microsoft.com/office/drawing/2010/main" val="0"/>
                        </a:ext>
                      </a:extLst>
                    </a:blip>
                    <a:stretch>
                      <a:fillRect/>
                    </a:stretch>
                  </pic:blipFill>
                  <pic:spPr>
                    <a:xfrm>
                      <a:off x="0" y="0"/>
                      <a:ext cx="4211688" cy="4040101"/>
                    </a:xfrm>
                    <a:prstGeom prst="rect">
                      <a:avLst/>
                    </a:prstGeom>
                  </pic:spPr>
                </pic:pic>
              </a:graphicData>
            </a:graphic>
          </wp:inline>
        </w:drawing>
      </w:r>
    </w:p>
    <w:p w14:paraId="2D34797A" w14:textId="76245C0D" w:rsidR="00541BFF" w:rsidRDefault="00541BFF">
      <w:pPr>
        <w:rPr>
          <w:rFonts w:ascii="Times New Roman" w:hAnsi="Times New Roman" w:cs="Times New Roman"/>
        </w:rPr>
      </w:pPr>
      <w:r w:rsidRPr="00541BFF">
        <w:rPr>
          <w:rFonts w:ascii="Times New Roman" w:hAnsi="Times New Roman" w:cs="Times New Roman"/>
          <w:b/>
          <w:bCs/>
        </w:rPr>
        <w:t>S</w:t>
      </w:r>
      <w:r w:rsidR="00573FDA">
        <w:rPr>
          <w:rFonts w:ascii="Times New Roman" w:hAnsi="Times New Roman" w:cs="Times New Roman"/>
          <w:b/>
          <w:bCs/>
        </w:rPr>
        <w:t>I</w:t>
      </w:r>
      <w:r w:rsidRPr="00541BFF">
        <w:rPr>
          <w:rFonts w:ascii="Times New Roman" w:hAnsi="Times New Roman" w:cs="Times New Roman"/>
          <w:b/>
          <w:bCs/>
        </w:rPr>
        <w:t>2</w:t>
      </w:r>
      <w:r>
        <w:rPr>
          <w:rFonts w:ascii="Times New Roman" w:hAnsi="Times New Roman" w:cs="Times New Roman"/>
        </w:rPr>
        <w:t xml:space="preserve"> Bearing area curves for end-of-test MTM specimens (top: ball specimens, bottom: disc specimens). Grey lines provide the mean height above the substrate.</w:t>
      </w:r>
    </w:p>
    <w:p w14:paraId="0F941A64" w14:textId="77777777" w:rsidR="00541BFF" w:rsidRDefault="00541BFF">
      <w:pPr>
        <w:rPr>
          <w:rFonts w:ascii="Times New Roman" w:hAnsi="Times New Roman" w:cs="Times New Roman"/>
        </w:rPr>
      </w:pPr>
    </w:p>
    <w:p w14:paraId="14AD87BD" w14:textId="6A10E372" w:rsidR="001D71CC" w:rsidRDefault="00573FDA">
      <w:pPr>
        <w:rPr>
          <w:rFonts w:ascii="Times New Roman" w:hAnsi="Times New Roman" w:cs="Times New Roman"/>
          <w:color w:val="000000"/>
          <w:kern w:val="0"/>
        </w:rPr>
      </w:pPr>
      <w:r>
        <w:rPr>
          <w:rFonts w:ascii="Times New Roman" w:hAnsi="Times New Roman" w:cs="Times New Roman"/>
          <w:color w:val="000000"/>
          <w:kern w:val="0"/>
        </w:rPr>
        <w:t>For all WLI data shown (Fig</w:t>
      </w:r>
      <w:r w:rsidR="00080A4C">
        <w:rPr>
          <w:rFonts w:ascii="Times New Roman" w:hAnsi="Times New Roman" w:cs="Times New Roman"/>
          <w:color w:val="000000"/>
          <w:kern w:val="0"/>
        </w:rPr>
        <w:t>.</w:t>
      </w:r>
      <w:r>
        <w:rPr>
          <w:rFonts w:ascii="Times New Roman" w:hAnsi="Times New Roman" w:cs="Times New Roman"/>
          <w:color w:val="000000"/>
          <w:kern w:val="0"/>
        </w:rPr>
        <w:t xml:space="preserve"> 3 of the main text and SI1), bearing area curves of the tribofilms were measured for a look at the distribution of tribofilm asperity heights. A steeper bearing area curve, as is the case with all PAO10 curves, suggests that more rolling-sliding contact will be borne by the asperities of the interface, increasing friction. </w:t>
      </w:r>
      <w:r w:rsidR="00541BFF" w:rsidRPr="00541BFF">
        <w:rPr>
          <w:rFonts w:ascii="Times New Roman" w:hAnsi="Times New Roman" w:cs="Times New Roman"/>
          <w:color w:val="000000"/>
          <w:kern w:val="0"/>
        </w:rPr>
        <w:t xml:space="preserve">The </w:t>
      </w:r>
      <w:r w:rsidR="00C3230E">
        <w:rPr>
          <w:rFonts w:ascii="Times New Roman" w:hAnsi="Times New Roman" w:cs="Times New Roman"/>
          <w:color w:val="000000"/>
          <w:kern w:val="0"/>
        </w:rPr>
        <w:t xml:space="preserve">bearing area </w:t>
      </w:r>
      <w:r w:rsidR="00541BFF" w:rsidRPr="00541BFF">
        <w:rPr>
          <w:rFonts w:ascii="Times New Roman" w:hAnsi="Times New Roman" w:cs="Times New Roman"/>
          <w:color w:val="000000"/>
          <w:kern w:val="0"/>
        </w:rPr>
        <w:t>curves of 75W-80+ZrO</w:t>
      </w:r>
      <w:r w:rsidR="00541BFF" w:rsidRPr="00541BFF">
        <w:rPr>
          <w:rFonts w:ascii="Times New Roman" w:hAnsi="Times New Roman" w:cs="Times New Roman"/>
          <w:color w:val="000000"/>
          <w:kern w:val="0"/>
          <w:vertAlign w:val="subscript"/>
        </w:rPr>
        <w:t>2</w:t>
      </w:r>
      <w:r w:rsidR="00541BFF" w:rsidRPr="00541BFF">
        <w:rPr>
          <w:rFonts w:ascii="Times New Roman" w:hAnsi="Times New Roman" w:cs="Times New Roman"/>
          <w:color w:val="000000"/>
          <w:kern w:val="0"/>
        </w:rPr>
        <w:t xml:space="preserve"> specimens are less steep, suggesting that less contact is borne by the asperities of tribofilms formed in co-additized oil.</w:t>
      </w:r>
    </w:p>
    <w:p w14:paraId="24E6C55E" w14:textId="77777777" w:rsidR="006B4F43" w:rsidRDefault="006B4F43">
      <w:pPr>
        <w:rPr>
          <w:rFonts w:ascii="Times New Roman" w:hAnsi="Times New Roman" w:cs="Times New Roman"/>
          <w:color w:val="000000"/>
          <w:kern w:val="0"/>
        </w:rPr>
      </w:pPr>
    </w:p>
    <w:p w14:paraId="7C7DF5CF" w14:textId="77777777" w:rsidR="006B4F43" w:rsidRDefault="006B4F43">
      <w:pPr>
        <w:rPr>
          <w:rFonts w:ascii="Times New Roman" w:hAnsi="Times New Roman" w:cs="Times New Roman"/>
          <w:color w:val="000000"/>
          <w:kern w:val="0"/>
        </w:rPr>
      </w:pPr>
    </w:p>
    <w:p w14:paraId="43480662" w14:textId="77777777" w:rsidR="006B4F43" w:rsidRDefault="006B4F43">
      <w:pPr>
        <w:rPr>
          <w:rFonts w:ascii="Times New Roman" w:hAnsi="Times New Roman" w:cs="Times New Roman"/>
          <w:color w:val="000000"/>
          <w:kern w:val="0"/>
        </w:rPr>
      </w:pPr>
    </w:p>
    <w:p w14:paraId="5076DB49" w14:textId="77777777" w:rsidR="006B4F43" w:rsidRDefault="006B4F43">
      <w:pPr>
        <w:rPr>
          <w:rFonts w:ascii="Times New Roman" w:hAnsi="Times New Roman" w:cs="Times New Roman"/>
          <w:color w:val="000000"/>
          <w:kern w:val="0"/>
        </w:rPr>
      </w:pPr>
    </w:p>
    <w:p w14:paraId="0206AB05" w14:textId="77777777" w:rsidR="006B4F43" w:rsidRDefault="006B4F43">
      <w:pPr>
        <w:rPr>
          <w:rFonts w:ascii="Times New Roman" w:hAnsi="Times New Roman" w:cs="Times New Roman"/>
          <w:color w:val="000000"/>
          <w:kern w:val="0"/>
        </w:rPr>
      </w:pPr>
    </w:p>
    <w:p w14:paraId="522E9F67" w14:textId="6404C17D" w:rsidR="002A22BA" w:rsidRDefault="00501125" w:rsidP="0025660D">
      <w:pPr>
        <w:jc w:val="center"/>
        <w:rPr>
          <w:rFonts w:ascii="Times New Roman" w:hAnsi="Times New Roman" w:cs="Times New Roman"/>
          <w:color w:val="000000"/>
          <w:kern w:val="0"/>
        </w:rPr>
      </w:pPr>
      <w:r>
        <w:rPr>
          <w:rFonts w:ascii="Times New Roman" w:hAnsi="Times New Roman" w:cs="Times New Roman"/>
          <w:noProof/>
          <w:color w:val="000000"/>
          <w:kern w:val="0"/>
        </w:rPr>
        <w:lastRenderedPageBreak/>
        <w:drawing>
          <wp:inline distT="0" distB="0" distL="0" distR="0" wp14:anchorId="01B48821" wp14:editId="07ED873D">
            <wp:extent cx="2750843" cy="1996580"/>
            <wp:effectExtent l="0" t="0" r="5080" b="0"/>
            <wp:docPr id="1831372754" name="Picture 1" descr="A diagram of a ball cy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372754" name="Picture 1" descr="A diagram of a ball cycle&#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2800741" cy="2032797"/>
                    </a:xfrm>
                    <a:prstGeom prst="rect">
                      <a:avLst/>
                    </a:prstGeom>
                  </pic:spPr>
                </pic:pic>
              </a:graphicData>
            </a:graphic>
          </wp:inline>
        </w:drawing>
      </w:r>
    </w:p>
    <w:p w14:paraId="38EC4043" w14:textId="4ADFA332" w:rsidR="002A22BA" w:rsidRDefault="0041718D">
      <w:pPr>
        <w:rPr>
          <w:rFonts w:ascii="Times New Roman" w:hAnsi="Times New Roman" w:cs="Times New Roman"/>
          <w:color w:val="000000"/>
          <w:kern w:val="0"/>
        </w:rPr>
      </w:pPr>
      <w:r w:rsidRPr="0041718D">
        <w:rPr>
          <w:rFonts w:ascii="Times New Roman" w:hAnsi="Times New Roman" w:cs="Times New Roman"/>
          <w:b/>
          <w:bCs/>
          <w:color w:val="000000"/>
          <w:kern w:val="0"/>
        </w:rPr>
        <w:t>SI 3</w:t>
      </w:r>
      <w:r>
        <w:rPr>
          <w:rFonts w:ascii="Times New Roman" w:hAnsi="Times New Roman" w:cs="Times New Roman"/>
          <w:color w:val="000000"/>
          <w:kern w:val="0"/>
        </w:rPr>
        <w:t xml:space="preserve"> Process for obtaining the SLIM growth rates shown in Figure 7 of the main </w:t>
      </w:r>
      <w:proofErr w:type="spellStart"/>
      <w:proofErr w:type="gramStart"/>
      <w:r>
        <w:rPr>
          <w:rFonts w:ascii="Times New Roman" w:hAnsi="Times New Roman" w:cs="Times New Roman"/>
          <w:color w:val="000000"/>
          <w:kern w:val="0"/>
        </w:rPr>
        <w:t>text.A</w:t>
      </w:r>
      <w:proofErr w:type="spellEnd"/>
      <w:proofErr w:type="gramEnd"/>
      <w:r>
        <w:rPr>
          <w:rFonts w:ascii="Times New Roman" w:hAnsi="Times New Roman" w:cs="Times New Roman"/>
          <w:color w:val="000000"/>
          <w:kern w:val="0"/>
        </w:rPr>
        <w:t xml:space="preserve"> visual example of the estimation of two linear growth stages for the SLIM data of the PAO10+1wt%ZrO</w:t>
      </w:r>
      <w:r w:rsidRPr="002A22BA">
        <w:rPr>
          <w:rFonts w:ascii="Times New Roman" w:hAnsi="Times New Roman" w:cs="Times New Roman"/>
          <w:color w:val="000000"/>
          <w:kern w:val="0"/>
          <w:vertAlign w:val="subscript"/>
        </w:rPr>
        <w:t>2</w:t>
      </w:r>
      <w:r>
        <w:rPr>
          <w:rFonts w:ascii="Times New Roman" w:hAnsi="Times New Roman" w:cs="Times New Roman"/>
          <w:color w:val="000000"/>
          <w:kern w:val="0"/>
        </w:rPr>
        <w:t xml:space="preserve"> ball specimen at 50% SRR (red lines extended to guide the eye).</w:t>
      </w:r>
    </w:p>
    <w:p w14:paraId="042281AF" w14:textId="77777777" w:rsidR="00D85A21" w:rsidRDefault="00D85A21">
      <w:pPr>
        <w:rPr>
          <w:rFonts w:ascii="Times New Roman" w:hAnsi="Times New Roman" w:cs="Times New Roman"/>
          <w:color w:val="000000"/>
          <w:kern w:val="0"/>
        </w:rPr>
      </w:pPr>
    </w:p>
    <w:p w14:paraId="342FD36E" w14:textId="45EDE558" w:rsidR="00D85A21" w:rsidRDefault="00D85A21">
      <w:pPr>
        <w:rPr>
          <w:rFonts w:ascii="Times New Roman" w:hAnsi="Times New Roman" w:cs="Times New Roman"/>
          <w:color w:val="000000"/>
          <w:kern w:val="0"/>
        </w:rPr>
      </w:pPr>
      <w:r>
        <w:rPr>
          <w:rFonts w:ascii="Times New Roman" w:hAnsi="Times New Roman" w:cs="Times New Roman"/>
          <w:color w:val="000000"/>
          <w:kern w:val="0"/>
        </w:rPr>
        <w:t>S03 clarifies the analytical method used to obtain the SLIM growth rates reported in Fig. 7. For each SLIM and traction timeseries reported in this paper, the growth rate of tribofilm was estimated by interpolating between the initial step of the experiment and the saturation of the signal (SI3, left). Any transience between initiation and saturation was excluded, leading to two linear fits in many cases</w:t>
      </w:r>
      <w:r w:rsidR="009C0E53">
        <w:rPr>
          <w:rFonts w:ascii="Times New Roman" w:hAnsi="Times New Roman" w:cs="Times New Roman"/>
          <w:color w:val="000000"/>
          <w:kern w:val="0"/>
        </w:rPr>
        <w:t>.</w:t>
      </w:r>
    </w:p>
    <w:p w14:paraId="4EA44E3F" w14:textId="7303BBF3" w:rsidR="006B4F43" w:rsidRDefault="00851B03" w:rsidP="0025660D">
      <w:pPr>
        <w:jc w:val="center"/>
        <w:rPr>
          <w:rFonts w:ascii="Times New Roman" w:hAnsi="Times New Roman" w:cs="Times New Roman"/>
          <w:b/>
          <w:bCs/>
          <w:color w:val="000000"/>
          <w:kern w:val="0"/>
        </w:rPr>
      </w:pPr>
      <w:r>
        <w:rPr>
          <w:rFonts w:ascii="Times New Roman" w:hAnsi="Times New Roman" w:cs="Times New Roman"/>
          <w:b/>
          <w:bCs/>
          <w:noProof/>
          <w:color w:val="000000"/>
          <w:kern w:val="0"/>
        </w:rPr>
        <w:lastRenderedPageBreak/>
        <w:drawing>
          <wp:inline distT="0" distB="0" distL="0" distR="0" wp14:anchorId="3BC9E011" wp14:editId="52B1EAEF">
            <wp:extent cx="4655890" cy="6822861"/>
            <wp:effectExtent l="0" t="0" r="5080" b="0"/>
            <wp:docPr id="20361034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103437" name="Picture 2036103437"/>
                    <pic:cNvPicPr/>
                  </pic:nvPicPr>
                  <pic:blipFill>
                    <a:blip r:embed="rId10">
                      <a:extLst>
                        <a:ext uri="{28A0092B-C50C-407E-A947-70E740481C1C}">
                          <a14:useLocalDpi xmlns:a14="http://schemas.microsoft.com/office/drawing/2010/main" val="0"/>
                        </a:ext>
                      </a:extLst>
                    </a:blip>
                    <a:stretch>
                      <a:fillRect/>
                    </a:stretch>
                  </pic:blipFill>
                  <pic:spPr>
                    <a:xfrm>
                      <a:off x="0" y="0"/>
                      <a:ext cx="4688448" cy="6870573"/>
                    </a:xfrm>
                    <a:prstGeom prst="rect">
                      <a:avLst/>
                    </a:prstGeom>
                  </pic:spPr>
                </pic:pic>
              </a:graphicData>
            </a:graphic>
          </wp:inline>
        </w:drawing>
      </w:r>
      <w:r w:rsidR="00925377">
        <w:rPr>
          <w:rFonts w:ascii="Times New Roman" w:hAnsi="Times New Roman" w:cs="Times New Roman"/>
          <w:b/>
          <w:bCs/>
          <w:noProof/>
          <w:color w:val="000000"/>
          <w:kern w:val="0"/>
        </w:rPr>
        <w:lastRenderedPageBreak/>
        <w:drawing>
          <wp:inline distT="0" distB="0" distL="0" distR="0" wp14:anchorId="714E567B" wp14:editId="132FF1C5">
            <wp:extent cx="4775200" cy="6997700"/>
            <wp:effectExtent l="0" t="0" r="0" b="0"/>
            <wp:docPr id="19352712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271216" name="Picture 1935271216"/>
                    <pic:cNvPicPr/>
                  </pic:nvPicPr>
                  <pic:blipFill>
                    <a:blip r:embed="rId11">
                      <a:extLst>
                        <a:ext uri="{28A0092B-C50C-407E-A947-70E740481C1C}">
                          <a14:useLocalDpi xmlns:a14="http://schemas.microsoft.com/office/drawing/2010/main" val="0"/>
                        </a:ext>
                      </a:extLst>
                    </a:blip>
                    <a:stretch>
                      <a:fillRect/>
                    </a:stretch>
                  </pic:blipFill>
                  <pic:spPr>
                    <a:xfrm>
                      <a:off x="0" y="0"/>
                      <a:ext cx="4775200" cy="6997700"/>
                    </a:xfrm>
                    <a:prstGeom prst="rect">
                      <a:avLst/>
                    </a:prstGeom>
                  </pic:spPr>
                </pic:pic>
              </a:graphicData>
            </a:graphic>
          </wp:inline>
        </w:drawing>
      </w:r>
    </w:p>
    <w:p w14:paraId="797D8FE7" w14:textId="77777777" w:rsidR="006B4F43" w:rsidRDefault="006B4F43">
      <w:pPr>
        <w:rPr>
          <w:rFonts w:ascii="Times New Roman" w:hAnsi="Times New Roman" w:cs="Times New Roman"/>
          <w:b/>
          <w:bCs/>
          <w:color w:val="000000"/>
          <w:kern w:val="0"/>
        </w:rPr>
      </w:pPr>
    </w:p>
    <w:p w14:paraId="035F6661" w14:textId="00BA6360" w:rsidR="00B07904" w:rsidRDefault="002A22BA">
      <w:pPr>
        <w:rPr>
          <w:rFonts w:ascii="Times New Roman" w:hAnsi="Times New Roman" w:cs="Times New Roman"/>
          <w:color w:val="000000"/>
          <w:kern w:val="0"/>
        </w:rPr>
      </w:pPr>
      <w:r w:rsidRPr="006B314C">
        <w:rPr>
          <w:rFonts w:ascii="Times New Roman" w:hAnsi="Times New Roman" w:cs="Times New Roman"/>
          <w:b/>
          <w:bCs/>
          <w:color w:val="000000"/>
          <w:kern w:val="0"/>
        </w:rPr>
        <w:t>S</w:t>
      </w:r>
      <w:r w:rsidR="00573FDA">
        <w:rPr>
          <w:rFonts w:ascii="Times New Roman" w:hAnsi="Times New Roman" w:cs="Times New Roman"/>
          <w:b/>
          <w:bCs/>
          <w:color w:val="000000"/>
          <w:kern w:val="0"/>
        </w:rPr>
        <w:t>I</w:t>
      </w:r>
      <w:r w:rsidR="0041718D">
        <w:rPr>
          <w:rFonts w:ascii="Times New Roman" w:hAnsi="Times New Roman" w:cs="Times New Roman"/>
          <w:b/>
          <w:bCs/>
          <w:color w:val="000000"/>
          <w:kern w:val="0"/>
        </w:rPr>
        <w:t>4</w:t>
      </w:r>
      <w:r>
        <w:rPr>
          <w:rFonts w:ascii="Times New Roman" w:hAnsi="Times New Roman" w:cs="Times New Roman"/>
          <w:color w:val="000000"/>
          <w:kern w:val="0"/>
        </w:rPr>
        <w:t xml:space="preserve"> Process for obtaining the</w:t>
      </w:r>
      <w:r w:rsidR="0041718D">
        <w:rPr>
          <w:rFonts w:ascii="Times New Roman" w:hAnsi="Times New Roman" w:cs="Times New Roman"/>
          <w:color w:val="000000"/>
          <w:kern w:val="0"/>
        </w:rPr>
        <w:t xml:space="preserve"> traction</w:t>
      </w:r>
      <w:r>
        <w:rPr>
          <w:rFonts w:ascii="Times New Roman" w:hAnsi="Times New Roman" w:cs="Times New Roman"/>
          <w:color w:val="000000"/>
          <w:kern w:val="0"/>
        </w:rPr>
        <w:t xml:space="preserve"> growth rates shown in Figure 7 of the main text. </w:t>
      </w:r>
      <w:r w:rsidR="0041718D">
        <w:rPr>
          <w:rFonts w:ascii="Times New Roman" w:hAnsi="Times New Roman" w:cs="Times New Roman"/>
          <w:color w:val="000000"/>
          <w:kern w:val="0"/>
        </w:rPr>
        <w:t>Upper</w:t>
      </w:r>
      <w:r w:rsidR="00925377">
        <w:rPr>
          <w:rFonts w:ascii="Times New Roman" w:hAnsi="Times New Roman" w:cs="Times New Roman"/>
          <w:color w:val="000000"/>
          <w:kern w:val="0"/>
        </w:rPr>
        <w:t xml:space="preserve"> set</w:t>
      </w:r>
      <w:r>
        <w:rPr>
          <w:rFonts w:ascii="Times New Roman" w:hAnsi="Times New Roman" w:cs="Times New Roman"/>
          <w:color w:val="000000"/>
          <w:kern w:val="0"/>
        </w:rPr>
        <w:t>: linear fits</w:t>
      </w:r>
      <w:r w:rsidR="00B07904">
        <w:rPr>
          <w:rFonts w:ascii="Times New Roman" w:hAnsi="Times New Roman" w:cs="Times New Roman"/>
          <w:color w:val="000000"/>
          <w:kern w:val="0"/>
        </w:rPr>
        <w:t xml:space="preserve"> used to estimate traction growth rate</w:t>
      </w:r>
      <w:r>
        <w:rPr>
          <w:rFonts w:ascii="Times New Roman" w:hAnsi="Times New Roman" w:cs="Times New Roman"/>
          <w:color w:val="000000"/>
          <w:kern w:val="0"/>
        </w:rPr>
        <w:t xml:space="preserve"> on the </w:t>
      </w:r>
      <w:r w:rsidR="00095B63">
        <w:rPr>
          <w:rFonts w:ascii="Times New Roman" w:hAnsi="Times New Roman" w:cs="Times New Roman"/>
          <w:color w:val="000000"/>
          <w:kern w:val="0"/>
        </w:rPr>
        <w:t>twelve</w:t>
      </w:r>
      <w:r>
        <w:rPr>
          <w:rFonts w:ascii="Times New Roman" w:hAnsi="Times New Roman" w:cs="Times New Roman"/>
          <w:color w:val="000000"/>
          <w:kern w:val="0"/>
        </w:rPr>
        <w:t xml:space="preserve"> </w:t>
      </w:r>
      <w:r w:rsidR="00D8229B">
        <w:rPr>
          <w:rFonts w:ascii="Times New Roman" w:hAnsi="Times New Roman" w:cs="Times New Roman"/>
          <w:color w:val="000000"/>
          <w:kern w:val="0"/>
        </w:rPr>
        <w:t xml:space="preserve">PAO10 </w:t>
      </w:r>
      <w:r>
        <w:rPr>
          <w:rFonts w:ascii="Times New Roman" w:hAnsi="Times New Roman" w:cs="Times New Roman"/>
          <w:color w:val="000000"/>
          <w:kern w:val="0"/>
        </w:rPr>
        <w:t>traction trends used in this study.</w:t>
      </w:r>
      <w:r w:rsidR="00D85A21">
        <w:rPr>
          <w:rFonts w:ascii="Times New Roman" w:hAnsi="Times New Roman" w:cs="Times New Roman"/>
          <w:color w:val="000000"/>
          <w:kern w:val="0"/>
        </w:rPr>
        <w:t xml:space="preserve"> Raw traction data is shown via gray scatterplot, while grey trendlines describe the polynomial fit of smoothed data to permit differentiation.</w:t>
      </w:r>
      <w:r>
        <w:rPr>
          <w:rFonts w:ascii="Times New Roman" w:hAnsi="Times New Roman" w:cs="Times New Roman"/>
          <w:color w:val="000000"/>
          <w:kern w:val="0"/>
        </w:rPr>
        <w:t xml:space="preserve"> Open </w:t>
      </w:r>
      <w:r w:rsidR="00D85A21">
        <w:rPr>
          <w:rFonts w:ascii="Times New Roman" w:hAnsi="Times New Roman" w:cs="Times New Roman"/>
          <w:color w:val="000000"/>
          <w:kern w:val="0"/>
        </w:rPr>
        <w:t xml:space="preserve">colored </w:t>
      </w:r>
      <w:r>
        <w:rPr>
          <w:rFonts w:ascii="Times New Roman" w:hAnsi="Times New Roman" w:cs="Times New Roman"/>
          <w:color w:val="000000"/>
          <w:kern w:val="0"/>
        </w:rPr>
        <w:t xml:space="preserve">symbols are the second stage of linear growth, while </w:t>
      </w:r>
      <w:proofErr w:type="gramStart"/>
      <w:r>
        <w:rPr>
          <w:rFonts w:ascii="Times New Roman" w:hAnsi="Times New Roman" w:cs="Times New Roman"/>
          <w:color w:val="000000"/>
          <w:kern w:val="0"/>
        </w:rPr>
        <w:t>solid</w:t>
      </w:r>
      <w:r w:rsidR="00D85A21">
        <w:rPr>
          <w:rFonts w:ascii="Times New Roman" w:hAnsi="Times New Roman" w:cs="Times New Roman"/>
          <w:color w:val="000000"/>
          <w:kern w:val="0"/>
        </w:rPr>
        <w:t xml:space="preserve"> colored</w:t>
      </w:r>
      <w:proofErr w:type="gramEnd"/>
      <w:r>
        <w:rPr>
          <w:rFonts w:ascii="Times New Roman" w:hAnsi="Times New Roman" w:cs="Times New Roman"/>
          <w:color w:val="000000"/>
          <w:kern w:val="0"/>
        </w:rPr>
        <w:t xml:space="preserve"> symbols are the first stage. </w:t>
      </w:r>
      <w:r w:rsidR="00D8229B">
        <w:rPr>
          <w:rFonts w:ascii="Times New Roman" w:hAnsi="Times New Roman" w:cs="Times New Roman"/>
          <w:color w:val="000000"/>
          <w:kern w:val="0"/>
        </w:rPr>
        <w:t xml:space="preserve">For traction data, each first stage rate is calculated from (0,0) for ease of calculation. </w:t>
      </w:r>
      <w:r w:rsidR="00925377">
        <w:rPr>
          <w:rFonts w:ascii="Times New Roman" w:hAnsi="Times New Roman" w:cs="Times New Roman"/>
          <w:color w:val="000000"/>
          <w:kern w:val="0"/>
        </w:rPr>
        <w:t>Lower set</w:t>
      </w:r>
      <w:r w:rsidR="00D8229B">
        <w:rPr>
          <w:rFonts w:ascii="Times New Roman" w:hAnsi="Times New Roman" w:cs="Times New Roman"/>
          <w:color w:val="000000"/>
          <w:kern w:val="0"/>
        </w:rPr>
        <w:t xml:space="preserve">: a similar set of fits for the </w:t>
      </w:r>
      <w:r w:rsidR="00095B63">
        <w:rPr>
          <w:rFonts w:ascii="Times New Roman" w:hAnsi="Times New Roman" w:cs="Times New Roman"/>
          <w:color w:val="000000"/>
          <w:kern w:val="0"/>
        </w:rPr>
        <w:lastRenderedPageBreak/>
        <w:t>twelve</w:t>
      </w:r>
      <w:r w:rsidR="00D8229B">
        <w:rPr>
          <w:rFonts w:ascii="Times New Roman" w:hAnsi="Times New Roman" w:cs="Times New Roman"/>
          <w:color w:val="000000"/>
          <w:kern w:val="0"/>
        </w:rPr>
        <w:t xml:space="preserve"> 75W-80 trends used in this study.</w:t>
      </w:r>
      <w:r w:rsidR="00925377">
        <w:rPr>
          <w:rFonts w:ascii="Times New Roman" w:hAnsi="Times New Roman" w:cs="Times New Roman"/>
          <w:color w:val="000000"/>
          <w:kern w:val="0"/>
        </w:rPr>
        <w:t xml:space="preserve"> Note that x- and y-limits on vary throughout to maximize the visibility of each individual plot.</w:t>
      </w:r>
      <w:r w:rsidR="00B07904">
        <w:rPr>
          <w:rFonts w:ascii="Times New Roman" w:hAnsi="Times New Roman" w:cs="Times New Roman"/>
          <w:color w:val="000000"/>
          <w:kern w:val="0"/>
        </w:rPr>
        <w:t xml:space="preserve"> </w:t>
      </w:r>
    </w:p>
    <w:p w14:paraId="2B8952E8" w14:textId="77777777" w:rsidR="00B07904" w:rsidRDefault="00B07904">
      <w:pPr>
        <w:rPr>
          <w:rFonts w:ascii="Times New Roman" w:hAnsi="Times New Roman" w:cs="Times New Roman"/>
          <w:color w:val="000000"/>
          <w:kern w:val="0"/>
        </w:rPr>
      </w:pPr>
    </w:p>
    <w:p w14:paraId="5C07BECF" w14:textId="19738E82" w:rsidR="002A22BA" w:rsidRDefault="00D85A21">
      <w:pPr>
        <w:rPr>
          <w:rFonts w:ascii="Times New Roman" w:hAnsi="Times New Roman" w:cs="Times New Roman"/>
          <w:color w:val="000000"/>
          <w:kern w:val="0"/>
        </w:rPr>
      </w:pPr>
      <w:r>
        <w:rPr>
          <w:rFonts w:ascii="Times New Roman" w:hAnsi="Times New Roman" w:cs="Times New Roman"/>
          <w:color w:val="000000"/>
          <w:kern w:val="0"/>
        </w:rPr>
        <w:t xml:space="preserve">S04 clarifies the analytical method used to calculate traction growth rates reported in Fig. 7. </w:t>
      </w:r>
      <w:r w:rsidR="00B07904">
        <w:rPr>
          <w:rFonts w:ascii="Times New Roman" w:hAnsi="Times New Roman" w:cs="Times New Roman"/>
          <w:color w:val="000000"/>
          <w:kern w:val="0"/>
        </w:rPr>
        <w:t xml:space="preserve">To automate </w:t>
      </w:r>
      <w:r>
        <w:rPr>
          <w:rFonts w:ascii="Times New Roman" w:hAnsi="Times New Roman" w:cs="Times New Roman"/>
          <w:color w:val="000000"/>
          <w:kern w:val="0"/>
        </w:rPr>
        <w:t>growth rate calculation</w:t>
      </w:r>
      <w:r w:rsidR="00B07904">
        <w:rPr>
          <w:rFonts w:ascii="Times New Roman" w:hAnsi="Times New Roman" w:cs="Times New Roman"/>
          <w:color w:val="000000"/>
          <w:kern w:val="0"/>
        </w:rPr>
        <w:t xml:space="preserve"> for the 16 traction timeseries reported here, </w:t>
      </w:r>
      <w:r w:rsidR="007F2EB1">
        <w:rPr>
          <w:rFonts w:ascii="Times New Roman" w:hAnsi="Times New Roman" w:cs="Times New Roman"/>
          <w:color w:val="000000"/>
          <w:kern w:val="0"/>
        </w:rPr>
        <w:t>a 50-second running average was used to smooth the timeseries, and a 16-order polynomial fit was applied to make the curves differentiable. Thereafter, a second derivative test enabled algorithmic determination of local minima and maxima. The slope from (0,0) to the first local maximum was assigned as the first-stage growth rate, and the slope from the first local minimum to the second local maximum was assigned as the second-stage growth rate (Fig. 7).</w:t>
      </w:r>
      <w:r w:rsidR="008003CA">
        <w:rPr>
          <w:rFonts w:ascii="Times New Roman" w:hAnsi="Times New Roman" w:cs="Times New Roman"/>
          <w:color w:val="000000"/>
          <w:kern w:val="0"/>
        </w:rPr>
        <w:t xml:space="preserve"> </w:t>
      </w:r>
    </w:p>
    <w:p w14:paraId="3D4C4A70" w14:textId="77777777" w:rsidR="002A22BA" w:rsidRDefault="002A22BA">
      <w:pPr>
        <w:rPr>
          <w:rFonts w:ascii="Times New Roman" w:hAnsi="Times New Roman" w:cs="Times New Roman"/>
          <w:color w:val="000000"/>
          <w:kern w:val="0"/>
        </w:rPr>
      </w:pPr>
    </w:p>
    <w:p w14:paraId="0C13F528" w14:textId="54392255" w:rsidR="001D71CC" w:rsidRPr="004929BD" w:rsidRDefault="001D71CC">
      <w:pPr>
        <w:rPr>
          <w:rFonts w:ascii="Times New Roman" w:hAnsi="Times New Roman" w:cs="Times New Roman"/>
          <w:b/>
          <w:bCs/>
          <w:color w:val="000000"/>
          <w:kern w:val="0"/>
        </w:rPr>
      </w:pPr>
      <w:r w:rsidRPr="004929BD">
        <w:rPr>
          <w:rFonts w:ascii="Times New Roman" w:hAnsi="Times New Roman" w:cs="Times New Roman"/>
          <w:b/>
          <w:bCs/>
          <w:color w:val="000000"/>
          <w:kern w:val="0"/>
        </w:rPr>
        <w:t>Description of Media</w:t>
      </w:r>
    </w:p>
    <w:p w14:paraId="6CEFB18A" w14:textId="307ED964" w:rsidR="001D71CC" w:rsidRPr="001D71CC" w:rsidRDefault="001D71CC">
      <w:pPr>
        <w:rPr>
          <w:rFonts w:ascii="Times New Roman" w:hAnsi="Times New Roman" w:cs="Times New Roman"/>
          <w:color w:val="000000"/>
          <w:kern w:val="0"/>
        </w:rPr>
      </w:pPr>
      <w:r>
        <w:rPr>
          <w:rFonts w:ascii="Times New Roman" w:hAnsi="Times New Roman" w:cs="Times New Roman"/>
          <w:color w:val="000000"/>
          <w:kern w:val="0"/>
        </w:rPr>
        <w:t>Media is attached which shows annotated videos of tribofilm growth for each SRR and blend under consideration. Tribofilm removal events are visible in many cases, like the images shown in Fig. 2 of the main text.</w:t>
      </w:r>
    </w:p>
    <w:sectPr w:rsidR="001D71CC" w:rsidRPr="001D71CC">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9BEF7" w14:textId="77777777" w:rsidR="00FD6867" w:rsidRDefault="00FD6867" w:rsidP="00284CB3">
      <w:r>
        <w:separator/>
      </w:r>
    </w:p>
  </w:endnote>
  <w:endnote w:type="continuationSeparator" w:id="0">
    <w:p w14:paraId="4116F8F9" w14:textId="77777777" w:rsidR="00FD6867" w:rsidRDefault="00FD6867" w:rsidP="00284C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9DF025" w14:textId="77777777" w:rsidR="00FD6867" w:rsidRDefault="00FD6867" w:rsidP="00284CB3">
      <w:r>
        <w:separator/>
      </w:r>
    </w:p>
  </w:footnote>
  <w:footnote w:type="continuationSeparator" w:id="0">
    <w:p w14:paraId="247B52F6" w14:textId="77777777" w:rsidR="00FD6867" w:rsidRDefault="00FD6867" w:rsidP="00284C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FBE29" w14:textId="7E834113" w:rsidR="00284CB3" w:rsidRPr="00284CB3" w:rsidRDefault="00284CB3">
    <w:pPr>
      <w:pStyle w:val="Header"/>
      <w:rPr>
        <w:rFonts w:ascii="Times New Roman" w:hAnsi="Times New Roman" w:cs="Times New Roman"/>
        <w:sz w:val="20"/>
        <w:szCs w:val="20"/>
      </w:rPr>
    </w:pPr>
    <w:r w:rsidRPr="00284CB3">
      <w:rPr>
        <w:rFonts w:ascii="Times New Roman" w:hAnsi="Times New Roman" w:cs="Times New Roman"/>
        <w:sz w:val="20"/>
        <w:szCs w:val="20"/>
      </w:rPr>
      <w:t>DISTRIBUTION STATEMENT A. Approved for public release; distribution is unlimited. OPSEC#8699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5C6"/>
    <w:rsid w:val="00080A4C"/>
    <w:rsid w:val="00095B63"/>
    <w:rsid w:val="0010596D"/>
    <w:rsid w:val="00115701"/>
    <w:rsid w:val="0012222B"/>
    <w:rsid w:val="00150AE8"/>
    <w:rsid w:val="00191379"/>
    <w:rsid w:val="001D71CC"/>
    <w:rsid w:val="001F46C9"/>
    <w:rsid w:val="0025660D"/>
    <w:rsid w:val="00284CB3"/>
    <w:rsid w:val="002A22BA"/>
    <w:rsid w:val="00360414"/>
    <w:rsid w:val="0041718D"/>
    <w:rsid w:val="004829CB"/>
    <w:rsid w:val="004929BD"/>
    <w:rsid w:val="00501125"/>
    <w:rsid w:val="00541209"/>
    <w:rsid w:val="00541BFF"/>
    <w:rsid w:val="00573FDA"/>
    <w:rsid w:val="00623230"/>
    <w:rsid w:val="006451BC"/>
    <w:rsid w:val="006B314C"/>
    <w:rsid w:val="006B4F43"/>
    <w:rsid w:val="00710ACC"/>
    <w:rsid w:val="007A4427"/>
    <w:rsid w:val="007F2EB1"/>
    <w:rsid w:val="008003CA"/>
    <w:rsid w:val="008265C6"/>
    <w:rsid w:val="0083332D"/>
    <w:rsid w:val="00851B03"/>
    <w:rsid w:val="00925377"/>
    <w:rsid w:val="00971777"/>
    <w:rsid w:val="009C0E53"/>
    <w:rsid w:val="009E7A9E"/>
    <w:rsid w:val="00A354C2"/>
    <w:rsid w:val="00B07904"/>
    <w:rsid w:val="00B2586C"/>
    <w:rsid w:val="00B3022E"/>
    <w:rsid w:val="00B4231A"/>
    <w:rsid w:val="00BD71E6"/>
    <w:rsid w:val="00C07FE1"/>
    <w:rsid w:val="00C3230E"/>
    <w:rsid w:val="00C87624"/>
    <w:rsid w:val="00C97621"/>
    <w:rsid w:val="00CF3512"/>
    <w:rsid w:val="00D8229B"/>
    <w:rsid w:val="00D85A21"/>
    <w:rsid w:val="00DB131F"/>
    <w:rsid w:val="00DC3618"/>
    <w:rsid w:val="00DC68A2"/>
    <w:rsid w:val="00F037F6"/>
    <w:rsid w:val="00F27145"/>
    <w:rsid w:val="00F84EB4"/>
    <w:rsid w:val="00FA38F3"/>
    <w:rsid w:val="00FD68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79755"/>
  <w15:chartTrackingRefBased/>
  <w15:docId w15:val="{1FCFBA2C-6A1F-B04B-88E2-D790EF764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DB131F"/>
    <w:rPr>
      <w:kern w:val="0"/>
      <w:sz w:val="22"/>
      <w:szCs w:val="22"/>
      <w14:ligatures w14:val="none"/>
    </w:rPr>
  </w:style>
  <w:style w:type="character" w:customStyle="1" w:styleId="NoSpacingChar">
    <w:name w:val="No Spacing Char"/>
    <w:basedOn w:val="DefaultParagraphFont"/>
    <w:link w:val="NoSpacing"/>
    <w:uiPriority w:val="1"/>
    <w:rsid w:val="00DB131F"/>
    <w:rPr>
      <w:kern w:val="0"/>
      <w:sz w:val="22"/>
      <w:szCs w:val="22"/>
      <w14:ligatures w14:val="none"/>
    </w:rPr>
  </w:style>
  <w:style w:type="character" w:styleId="CommentReference">
    <w:name w:val="annotation reference"/>
    <w:basedOn w:val="DefaultParagraphFont"/>
    <w:uiPriority w:val="99"/>
    <w:semiHidden/>
    <w:unhideWhenUsed/>
    <w:rsid w:val="00DB131F"/>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sid w:val="00F037F6"/>
    <w:rPr>
      <w:b/>
      <w:bCs/>
    </w:rPr>
  </w:style>
  <w:style w:type="character" w:customStyle="1" w:styleId="CommentSubjectChar">
    <w:name w:val="Comment Subject Char"/>
    <w:basedOn w:val="CommentTextChar"/>
    <w:link w:val="CommentSubject"/>
    <w:uiPriority w:val="99"/>
    <w:semiHidden/>
    <w:rsid w:val="00F037F6"/>
    <w:rPr>
      <w:b/>
      <w:bCs/>
      <w:sz w:val="20"/>
      <w:szCs w:val="20"/>
    </w:rPr>
  </w:style>
  <w:style w:type="paragraph" w:styleId="Revision">
    <w:name w:val="Revision"/>
    <w:hidden/>
    <w:uiPriority w:val="99"/>
    <w:semiHidden/>
    <w:rsid w:val="00C07FE1"/>
  </w:style>
  <w:style w:type="paragraph" w:styleId="Header">
    <w:name w:val="header"/>
    <w:basedOn w:val="Normal"/>
    <w:link w:val="HeaderChar"/>
    <w:uiPriority w:val="99"/>
    <w:unhideWhenUsed/>
    <w:rsid w:val="00284CB3"/>
    <w:pPr>
      <w:tabs>
        <w:tab w:val="center" w:pos="4680"/>
        <w:tab w:val="right" w:pos="9360"/>
      </w:tabs>
    </w:pPr>
  </w:style>
  <w:style w:type="character" w:customStyle="1" w:styleId="HeaderChar">
    <w:name w:val="Header Char"/>
    <w:basedOn w:val="DefaultParagraphFont"/>
    <w:link w:val="Header"/>
    <w:uiPriority w:val="99"/>
    <w:rsid w:val="00284CB3"/>
  </w:style>
  <w:style w:type="paragraph" w:styleId="Footer">
    <w:name w:val="footer"/>
    <w:basedOn w:val="Normal"/>
    <w:link w:val="FooterChar"/>
    <w:uiPriority w:val="99"/>
    <w:unhideWhenUsed/>
    <w:rsid w:val="00284CB3"/>
    <w:pPr>
      <w:tabs>
        <w:tab w:val="center" w:pos="4680"/>
        <w:tab w:val="right" w:pos="9360"/>
      </w:tabs>
    </w:pPr>
  </w:style>
  <w:style w:type="character" w:customStyle="1" w:styleId="FooterChar">
    <w:name w:val="Footer Char"/>
    <w:basedOn w:val="DefaultParagraphFont"/>
    <w:link w:val="Footer"/>
    <w:uiPriority w:val="99"/>
    <w:rsid w:val="00284C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arpick@seas.upenn.edu" TargetMode="External"/><Relationship Id="rId11" Type="http://schemas.openxmlformats.org/officeDocument/2006/relationships/image" Target="media/image5.png"/><Relationship Id="rId5" Type="http://schemas.openxmlformats.org/officeDocument/2006/relationships/endnotes" Target="endnotes.xml"/><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712</Words>
  <Characters>4042</Characters>
  <Application>Microsoft Office Word</Application>
  <DocSecurity>0</DocSecurity>
  <Lines>63</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Lamascus, Parker</dc:creator>
  <cp:keywords/>
  <dc:description/>
  <cp:lastModifiedBy>Lamascus, Parker</cp:lastModifiedBy>
  <cp:revision>3</cp:revision>
  <dcterms:created xsi:type="dcterms:W3CDTF">2024-06-21T21:33:00Z</dcterms:created>
  <dcterms:modified xsi:type="dcterms:W3CDTF">2024-06-21T21:34:00Z</dcterms:modified>
</cp:coreProperties>
</file>