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media/image4.png" ContentType="image/png"/>
  <Override PartName="/word/media/image5.jpeg" ContentType="image/jpeg"/>
  <Override PartName="/word/media/image6.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before="0" w:after="0"/>
        <w:jc w:val="center"/>
        <w:rPr>
          <w:rFonts w:ascii="Times New Roman" w:hAnsi="Times New Roman" w:cs="Times New Roman"/>
          <w:b/>
          <w:bCs/>
          <w:sz w:val="24"/>
          <w:szCs w:val="24"/>
        </w:rPr>
      </w:pPr>
      <w:bookmarkStart w:id="0" w:name="_Hlk183104287"/>
      <w:bookmarkEnd w:id="0"/>
      <w:r>
        <w:rPr>
          <w:rFonts w:cs="Times New Roman" w:ascii="Times New Roman" w:hAnsi="Times New Roman"/>
          <w:b/>
          <w:bCs/>
          <w:sz w:val="24"/>
          <w:szCs w:val="24"/>
        </w:rPr>
        <w:t>SUPPLEMENTARY MATERIAL</w:t>
      </w:r>
    </w:p>
    <w:p>
      <w:pPr>
        <w:pStyle w:val="Normal"/>
        <w:spacing w:lineRule="auto" w:line="480" w:before="0" w:after="0"/>
        <w:rPr>
          <w:rFonts w:ascii="Times New Roman" w:hAnsi="Times New Roman" w:eastAsia="Segoe UI" w:cs="Times New Roman"/>
          <w:b/>
          <w:bCs/>
          <w:sz w:val="24"/>
          <w:szCs w:val="24"/>
          <w:lang w:bidi="en-US"/>
        </w:rPr>
      </w:pPr>
      <w:r>
        <w:rPr>
          <w:rFonts w:eastAsia="Segoe UI" w:cs="Times New Roman" w:ascii="Times New Roman" w:hAnsi="Times New Roman"/>
          <w:b/>
          <w:bCs/>
          <w:sz w:val="24"/>
          <w:szCs w:val="24"/>
          <w:lang w:bidi="en-US"/>
        </w:rPr>
      </w:r>
    </w:p>
    <w:p>
      <w:pPr>
        <w:pStyle w:val="Normal"/>
        <w:spacing w:lineRule="auto" w:line="480" w:before="0" w:after="0"/>
        <w:rPr>
          <w:rFonts w:ascii="Times New Roman" w:hAnsi="Times New Roman" w:eastAsia="Segoe UI" w:cs="Times New Roman"/>
          <w:b/>
          <w:bCs/>
          <w:sz w:val="24"/>
          <w:szCs w:val="24"/>
          <w:lang w:bidi="en-US"/>
        </w:rPr>
      </w:pPr>
      <w:r>
        <w:rPr>
          <w:rFonts w:eastAsia="Segoe UI" w:cs="Times New Roman" w:ascii="Times New Roman" w:hAnsi="Times New Roman"/>
          <w:b/>
          <w:bCs/>
          <w:sz w:val="24"/>
          <w:szCs w:val="24"/>
          <w:lang w:bidi="en-US"/>
        </w:rPr>
        <w:t>Urban gradient resolution matters! Avian diversity patterns in a boreal green city</w:t>
      </w:r>
    </w:p>
    <w:p>
      <w:pPr>
        <w:pStyle w:val="Normal"/>
        <w:spacing w:lineRule="auto" w:line="480" w:before="0" w:after="0"/>
        <w:rPr>
          <w:rFonts w:ascii="Times New Roman" w:hAnsi="Times New Roman" w:cs="Times New Roman"/>
          <w:i/>
          <w:i/>
          <w:iCs/>
          <w:sz w:val="24"/>
          <w:szCs w:val="24"/>
          <w:lang w:val="es-MX"/>
        </w:rPr>
      </w:pPr>
      <w:r>
        <w:rPr>
          <w:rFonts w:cs="Times New Roman" w:ascii="Times New Roman" w:hAnsi="Times New Roman"/>
          <w:i/>
          <w:iCs/>
          <w:sz w:val="24"/>
          <w:szCs w:val="24"/>
          <w:lang w:val="es-MX"/>
        </w:rPr>
        <w:t>Urban Ecosystems</w:t>
      </w:r>
    </w:p>
    <w:p>
      <w:pPr>
        <w:pStyle w:val="Normal"/>
        <w:spacing w:lineRule="auto" w:line="480" w:before="0" w:after="0"/>
        <w:rPr>
          <w:rFonts w:ascii="Times New Roman" w:hAnsi="Times New Roman" w:cs="Times New Roman"/>
          <w:i/>
          <w:i/>
          <w:iCs/>
          <w:sz w:val="24"/>
          <w:szCs w:val="24"/>
          <w:lang w:val="es-MX"/>
        </w:rPr>
      </w:pPr>
      <w:r>
        <w:rPr>
          <w:rFonts w:cs="Times New Roman" w:ascii="Times New Roman" w:hAnsi="Times New Roman"/>
          <w:i/>
          <w:iCs/>
          <w:sz w:val="24"/>
          <w:szCs w:val="24"/>
          <w:lang w:val="es-MX"/>
        </w:rPr>
      </w:r>
    </w:p>
    <w:p>
      <w:pPr>
        <w:pStyle w:val="Normal"/>
        <w:spacing w:lineRule="auto" w:line="480" w:before="0" w:after="0"/>
        <w:rPr>
          <w:rFonts w:ascii="Times New Roman" w:hAnsi="Times New Roman" w:cs="Times New Roman"/>
          <w:sz w:val="24"/>
          <w:szCs w:val="24"/>
          <w:lang w:val="es-MX"/>
        </w:rPr>
      </w:pPr>
      <w:r>
        <w:rPr>
          <w:rFonts w:cs="Times New Roman" w:ascii="Times New Roman" w:hAnsi="Times New Roman"/>
          <w:b/>
          <w:bCs/>
          <w:sz w:val="24"/>
          <w:szCs w:val="24"/>
          <w:lang w:val="es-MX"/>
        </w:rPr>
        <w:t>Michelle GARCÍA-ARROYO</w:t>
      </w:r>
      <w:r>
        <w:rPr>
          <w:rFonts w:cs="Times New Roman" w:ascii="Times New Roman" w:hAnsi="Times New Roman"/>
          <w:sz w:val="24"/>
          <w:szCs w:val="24"/>
          <w:vertAlign w:val="superscript"/>
          <w:lang w:val="es-MX"/>
        </w:rPr>
        <w:t xml:space="preserve">1 </w:t>
      </w:r>
      <w:r>
        <w:rPr>
          <w:rFonts w:cs="Times New Roman" w:ascii="Times New Roman" w:hAnsi="Times New Roman"/>
          <w:sz w:val="24"/>
          <w:szCs w:val="24"/>
          <w:lang w:val="es-MX"/>
        </w:rPr>
        <w:t>(0000-0002-9167-4777)</w:t>
      </w:r>
    </w:p>
    <w:p>
      <w:pPr>
        <w:pStyle w:val="Normal"/>
        <w:spacing w:lineRule="auto" w:line="480" w:before="0" w:after="0"/>
        <w:rPr>
          <w:rFonts w:ascii="Times New Roman" w:hAnsi="Times New Roman" w:cs="Times New Roman"/>
          <w:sz w:val="24"/>
          <w:szCs w:val="24"/>
          <w:lang w:val="es-MX"/>
        </w:rPr>
      </w:pPr>
      <w:r>
        <w:rPr>
          <w:rFonts w:cs="Times New Roman" w:ascii="Times New Roman" w:hAnsi="Times New Roman"/>
          <w:b/>
          <w:bCs/>
          <w:sz w:val="24"/>
          <w:szCs w:val="24"/>
          <w:lang w:val="es-MX"/>
        </w:rPr>
        <w:t>Miguel A. GÓMEZ-MARTÍNEZ</w:t>
      </w:r>
      <w:r>
        <w:rPr>
          <w:rFonts w:cs="Times New Roman" w:ascii="Times New Roman" w:hAnsi="Times New Roman"/>
          <w:sz w:val="24"/>
          <w:szCs w:val="24"/>
          <w:vertAlign w:val="superscript"/>
          <w:lang w:val="es-MX"/>
        </w:rPr>
        <w:t>2</w:t>
      </w:r>
      <w:r>
        <w:rPr>
          <w:rFonts w:cs="Times New Roman" w:ascii="Times New Roman" w:hAnsi="Times New Roman"/>
          <w:sz w:val="24"/>
          <w:szCs w:val="24"/>
          <w:lang w:val="es-MX"/>
        </w:rPr>
        <w:t xml:space="preserve"> (0000-0001-6637-2040)</w:t>
      </w:r>
    </w:p>
    <w:p>
      <w:pPr>
        <w:pStyle w:val="Normal"/>
        <w:spacing w:lineRule="auto" w:line="480" w:before="0" w:after="0"/>
        <w:rPr>
          <w:rFonts w:ascii="Times New Roman" w:hAnsi="Times New Roman" w:cs="Times New Roman"/>
          <w:sz w:val="24"/>
          <w:szCs w:val="24"/>
        </w:rPr>
      </w:pPr>
      <w:r>
        <w:rPr>
          <w:rFonts w:cs="Times New Roman" w:ascii="Times New Roman" w:hAnsi="Times New Roman"/>
          <w:b/>
          <w:bCs/>
          <w:sz w:val="24"/>
          <w:szCs w:val="24"/>
        </w:rPr>
        <w:t>Meri BACK</w:t>
      </w:r>
      <w:r>
        <w:rPr>
          <w:rFonts w:cs="Times New Roman" w:ascii="Times New Roman" w:hAnsi="Times New Roman"/>
          <w:sz w:val="24"/>
          <w:szCs w:val="24"/>
          <w:vertAlign w:val="superscript"/>
        </w:rPr>
        <w:t xml:space="preserve">1 </w:t>
      </w:r>
      <w:r>
        <w:rPr>
          <w:rFonts w:cs="Times New Roman" w:ascii="Times New Roman" w:hAnsi="Times New Roman"/>
          <w:sz w:val="24"/>
          <w:szCs w:val="24"/>
        </w:rPr>
        <w:t>(0000-0002-1394-1155)</w:t>
      </w:r>
    </w:p>
    <w:p>
      <w:pPr>
        <w:pStyle w:val="Normal"/>
        <w:spacing w:lineRule="auto" w:line="480" w:before="0" w:after="0"/>
        <w:rPr>
          <w:rFonts w:ascii="Times New Roman" w:hAnsi="Times New Roman" w:cs="Times New Roman"/>
          <w:sz w:val="24"/>
          <w:szCs w:val="24"/>
        </w:rPr>
      </w:pPr>
      <w:r>
        <w:rPr>
          <w:rFonts w:cs="Times New Roman" w:ascii="Times New Roman" w:hAnsi="Times New Roman"/>
          <w:b/>
          <w:bCs/>
          <w:sz w:val="24"/>
          <w:szCs w:val="24"/>
        </w:rPr>
        <w:t>Heikki SETÄLÄ</w:t>
      </w:r>
      <w:r>
        <w:rPr>
          <w:rFonts w:cs="Times New Roman" w:ascii="Times New Roman" w:hAnsi="Times New Roman"/>
          <w:sz w:val="24"/>
          <w:szCs w:val="24"/>
          <w:vertAlign w:val="superscript"/>
        </w:rPr>
        <w:t xml:space="preserve">1 </w:t>
      </w:r>
      <w:r>
        <w:rPr>
          <w:rFonts w:cs="Times New Roman" w:ascii="Times New Roman" w:hAnsi="Times New Roman"/>
          <w:sz w:val="24"/>
          <w:szCs w:val="24"/>
        </w:rPr>
        <w:t>(0000-0002-5230-4001)</w:t>
      </w:r>
    </w:p>
    <w:p>
      <w:pPr>
        <w:pStyle w:val="Normal"/>
        <w:spacing w:lineRule="auto" w:line="480" w:before="0" w:after="0"/>
        <w:rPr>
          <w:rFonts w:ascii="Times New Roman" w:hAnsi="Times New Roman" w:cs="Times New Roman"/>
          <w:sz w:val="24"/>
          <w:szCs w:val="24"/>
        </w:rPr>
      </w:pPr>
      <w:r>
        <w:rPr>
          <w:rFonts w:cs="Times New Roman" w:ascii="Times New Roman" w:hAnsi="Times New Roman"/>
          <w:b/>
          <w:bCs/>
          <w:sz w:val="24"/>
          <w:szCs w:val="24"/>
        </w:rPr>
        <w:t>Ian MACGREGOR-FORS</w:t>
      </w:r>
      <w:r>
        <w:rPr>
          <w:rFonts w:cs="Times New Roman" w:ascii="Times New Roman" w:hAnsi="Times New Roman"/>
          <w:sz w:val="24"/>
          <w:szCs w:val="24"/>
          <w:vertAlign w:val="superscript"/>
        </w:rPr>
        <w:t>1</w:t>
      </w:r>
      <w:r>
        <w:rPr>
          <w:rFonts w:cs="Times New Roman" w:ascii="Times New Roman" w:hAnsi="Times New Roman"/>
          <w:sz w:val="24"/>
          <w:szCs w:val="24"/>
        </w:rPr>
        <w:t>* (0000-0003-3198-7322)</w:t>
      </w:r>
    </w:p>
    <w:p>
      <w:pPr>
        <w:pStyle w:val="Normal"/>
        <w:spacing w:lineRule="auto" w:line="480"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1560" w:leader="none"/>
        </w:tabs>
        <w:spacing w:lineRule="auto" w:line="360" w:before="0" w:after="0"/>
        <w:rPr>
          <w:rFonts w:ascii="Times New Roman" w:hAnsi="Times New Roman" w:cs="Times New Roman"/>
          <w:sz w:val="24"/>
          <w:szCs w:val="24"/>
        </w:rPr>
      </w:pPr>
      <w:r>
        <w:rPr>
          <w:rFonts w:cs="Times New Roman" w:ascii="Times New Roman" w:hAnsi="Times New Roman"/>
          <w:sz w:val="24"/>
          <w:szCs w:val="24"/>
          <w:vertAlign w:val="superscript"/>
        </w:rPr>
        <w:t xml:space="preserve">1 </w:t>
      </w:r>
      <w:r>
        <w:rPr>
          <w:rFonts w:cs="Times New Roman" w:ascii="Times New Roman" w:hAnsi="Times New Roman"/>
          <w:sz w:val="24"/>
          <w:szCs w:val="24"/>
        </w:rPr>
        <w:t xml:space="preserve">Ecosystems and Environment Research Programme, Faculty of Biological and Environmental Sciences, University of Helsinki, Niemenkatu 73, Lahti 15140, Finland </w:t>
      </w:r>
    </w:p>
    <w:p>
      <w:pPr>
        <w:pStyle w:val="Normal"/>
        <w:spacing w:lineRule="auto" w:line="360" w:before="0" w:after="0"/>
        <w:rPr>
          <w:rFonts w:ascii="Times New Roman" w:hAnsi="Times New Roman" w:cs="Times New Roman"/>
          <w:sz w:val="24"/>
          <w:szCs w:val="24"/>
          <w:lang w:val="es-MX"/>
        </w:rPr>
      </w:pPr>
      <w:r>
        <w:rPr>
          <w:rFonts w:cs="Times New Roman" w:ascii="Times New Roman" w:hAnsi="Times New Roman"/>
          <w:sz w:val="24"/>
          <w:szCs w:val="24"/>
          <w:vertAlign w:val="superscript"/>
          <w:lang w:val="es-MX"/>
        </w:rPr>
        <w:t xml:space="preserve">2 </w:t>
      </w:r>
      <w:r>
        <w:rPr>
          <w:rFonts w:cs="Times New Roman" w:ascii="Times New Roman" w:hAnsi="Times New Roman"/>
          <w:sz w:val="24"/>
          <w:szCs w:val="24"/>
          <w:lang w:val="es-MX"/>
        </w:rPr>
        <w:t>Instituto de Biotecnología y Ecología Aplicada (INBIOTECA), Universidad Veracruzana, Xalapa 91090, Mexico</w:t>
      </w:r>
    </w:p>
    <w:p>
      <w:pPr>
        <w:pStyle w:val="Normal"/>
        <w:spacing w:lineRule="auto" w:line="480" w:before="0" w:after="0"/>
        <w:rPr>
          <w:rFonts w:ascii="Times New Roman" w:hAnsi="Times New Roman" w:cs="Times New Roman"/>
          <w:sz w:val="24"/>
          <w:szCs w:val="24"/>
          <w:lang w:val="es-MX"/>
        </w:rPr>
      </w:pPr>
      <w:r>
        <w:rPr>
          <w:rFonts w:cs="Times New Roman" w:ascii="Times New Roman" w:hAnsi="Times New Roman"/>
          <w:sz w:val="24"/>
          <w:szCs w:val="24"/>
          <w:lang w:val="es-MX"/>
        </w:rPr>
      </w:r>
    </w:p>
    <w:p>
      <w:pPr>
        <w:pStyle w:val="Normal"/>
        <w:spacing w:lineRule="auto" w:line="480" w:before="0" w:after="0"/>
        <w:rPr>
          <w:rStyle w:val="Hyperlink"/>
          <w:rFonts w:ascii="Times New Roman" w:hAnsi="Times New Roman" w:cs="Times New Roman"/>
          <w:sz w:val="24"/>
          <w:szCs w:val="24"/>
        </w:rPr>
      </w:pPr>
      <w:r>
        <w:rPr>
          <w:rFonts w:cs="Times New Roman" w:ascii="Times New Roman" w:hAnsi="Times New Roman"/>
          <w:sz w:val="24"/>
          <w:szCs w:val="24"/>
        </w:rPr>
        <w:t xml:space="preserve">*Corresponding author: E-mail: </w:t>
      </w:r>
      <w:hyperlink r:id="rId2">
        <w:r>
          <w:rPr>
            <w:rStyle w:val="Hyperlink"/>
            <w:rFonts w:cs="Times New Roman" w:ascii="Times New Roman" w:hAnsi="Times New Roman"/>
            <w:sz w:val="24"/>
            <w:szCs w:val="24"/>
          </w:rPr>
          <w:t>ian.macgregor@helsinki.fi</w:t>
        </w:r>
      </w:hyperlink>
    </w:p>
    <w:p>
      <w:pPr>
        <w:pStyle w:val="Normal"/>
        <w:spacing w:lineRule="auto" w:line="240" w:before="0" w:after="0"/>
        <w:rPr>
          <w:rFonts w:ascii="Times New Roman" w:hAnsi="Times New Roman" w:eastAsia="Noto Sans CJK SC;Calibri" w:cs="Times New Roman"/>
          <w:b/>
          <w:bCs/>
          <w:kern w:val="2"/>
          <w:sz w:val="24"/>
          <w:szCs w:val="24"/>
          <w:lang w:val="en-GB" w:eastAsia="zh-CN" w:bidi="hi-IN"/>
        </w:rPr>
      </w:pPr>
      <w:r>
        <w:rPr>
          <w:rFonts w:eastAsia="Noto Sans CJK SC;Calibri" w:cs="Times New Roman" w:ascii="Times New Roman" w:hAnsi="Times New Roman"/>
          <w:b/>
          <w:bCs/>
          <w:kern w:val="2"/>
          <w:sz w:val="24"/>
          <w:szCs w:val="24"/>
          <w:lang w:val="en-GB" w:eastAsia="zh-CN" w:bidi="hi-IN"/>
        </w:rPr>
      </w:r>
      <w:r>
        <w:br w:type="page"/>
      </w:r>
    </w:p>
    <w:p>
      <w:pPr>
        <w:pStyle w:val="Normal"/>
        <w:spacing w:lineRule="auto" w:line="480" w:before="0" w:after="0"/>
        <w:rPr>
          <w:rFonts w:ascii="Times New Roman" w:hAnsi="Times New Roman" w:cs="Times New Roman"/>
          <w:b/>
          <w:bCs/>
          <w:sz w:val="24"/>
          <w:szCs w:val="24"/>
        </w:rPr>
      </w:pPr>
      <w:r>
        <w:rPr>
          <w:rFonts w:cs="Times New Roman" w:ascii="Times New Roman" w:hAnsi="Times New Roman"/>
          <w:b/>
          <w:bCs/>
          <w:sz w:val="24"/>
          <w:szCs w:val="24"/>
        </w:rPr>
        <w:t>Online Resource 1</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Geographical location of the survey sites showing two urban intensity gradients and the randomly selected survey sites that were included in the analyses for each one.</w:t>
      </w:r>
    </w:p>
    <w:p>
      <w:pPr>
        <w:pStyle w:val="Normal"/>
        <w:spacing w:lineRule="auto" w:line="480" w:before="0" w:after="0"/>
        <w:rPr/>
      </w:pPr>
      <w:r>
        <w:rPr/>
      </w:r>
    </w:p>
    <w:p>
      <w:pPr>
        <w:pStyle w:val="Normal"/>
        <w:spacing w:lineRule="auto" w:line="480" w:before="0" w:after="0"/>
        <w:rPr>
          <w:rFonts w:ascii="Times New Roman" w:hAnsi="Times New Roman" w:cs="Times New Roman"/>
          <w:sz w:val="24"/>
          <w:szCs w:val="24"/>
          <w:lang w:val="es-MX"/>
        </w:rPr>
      </w:pPr>
      <w:r>
        <w:rPr/>
        <w:drawing>
          <wp:inline distT="0" distB="0" distL="0" distR="0">
            <wp:extent cx="5762625" cy="3238500"/>
            <wp:effectExtent l="0" t="0" r="0" b="0"/>
            <wp:docPr id="1" name="Imagen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6" descr=""/>
                    <pic:cNvPicPr>
                      <a:picLocks noChangeAspect="1" noChangeArrowheads="1"/>
                    </pic:cNvPicPr>
                  </pic:nvPicPr>
                  <pic:blipFill>
                    <a:blip r:embed="rId3"/>
                    <a:stretch>
                      <a:fillRect/>
                    </a:stretch>
                  </pic:blipFill>
                  <pic:spPr bwMode="auto">
                    <a:xfrm>
                      <a:off x="0" y="0"/>
                      <a:ext cx="5762625" cy="3238500"/>
                    </a:xfrm>
                    <a:prstGeom prst="rect">
                      <a:avLst/>
                    </a:prstGeom>
                  </pic:spPr>
                </pic:pic>
              </a:graphicData>
            </a:graphic>
          </wp:inline>
        </w:drawing>
      </w:r>
      <w:r>
        <w:br w:type="page"/>
      </w:r>
    </w:p>
    <w:p>
      <w:pPr>
        <w:pStyle w:val="Normal"/>
        <w:spacing w:lineRule="auto" w:line="480" w:before="0" w:after="0"/>
        <w:rPr>
          <w:rFonts w:ascii="Times New Roman" w:hAnsi="Times New Roman" w:cs="Times New Roman"/>
          <w:b/>
          <w:bCs/>
          <w:sz w:val="24"/>
          <w:szCs w:val="24"/>
        </w:rPr>
      </w:pPr>
      <w:r>
        <w:rPr>
          <w:rFonts w:cs="Times New Roman" w:ascii="Times New Roman" w:hAnsi="Times New Roman"/>
          <w:b/>
          <w:bCs/>
          <w:sz w:val="24"/>
          <w:szCs w:val="24"/>
        </w:rPr>
        <w:t>Online Resource 2</w:t>
      </w:r>
    </w:p>
    <w:p>
      <w:pPr>
        <w:pStyle w:val="Normal"/>
        <w:spacing w:lineRule="auto" w:line="360" w:before="0" w:after="0"/>
        <w:jc w:val="both"/>
        <w:rPr/>
      </w:pPr>
      <w:r>
        <w:rPr>
          <w:rFonts w:cs="Times New Roman" w:ascii="Times New Roman" w:hAnsi="Times New Roman"/>
          <w:sz w:val="24"/>
          <w:szCs w:val="24"/>
        </w:rPr>
        <w:t>Non-conservative classification and regression tree (CART) plot depicting the relationships between key habitat variables (i.e., tree cover, built cover, noise level, and herbaceous plant cover) and the number of bird species. Below is a table with the complexity parameter values for this CART providing a summary of the overall fit of the model.</w:t>
      </w:r>
    </w:p>
    <w:p>
      <w:pPr>
        <w:pStyle w:val="Normal"/>
        <w:spacing w:lineRule="auto" w:line="480" w:before="0" w:after="0"/>
        <w:jc w:val="center"/>
        <w:rPr>
          <w:rFonts w:ascii="Times New Roman" w:hAnsi="Times New Roman" w:cs="Times New Roman"/>
          <w:b/>
          <w:bCs/>
          <w:sz w:val="24"/>
          <w:szCs w:val="24"/>
        </w:rPr>
      </w:pPr>
      <w:r>
        <w:rPr/>
        <w:drawing>
          <wp:inline distT="0" distB="0" distL="0" distR="0">
            <wp:extent cx="5464810" cy="4731385"/>
            <wp:effectExtent l="0" t="0" r="0" b="0"/>
            <wp:docPr id="2" name="Graphic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7" descr=""/>
                    <pic:cNvPicPr>
                      <a:picLocks noChangeAspect="1" noChangeArrowheads="1"/>
                    </pic:cNvPicPr>
                  </pic:nvPicPr>
                  <pic:blipFill>
                    <a:blip r:embed="rId4"/>
                    <a:stretch>
                      <a:fillRect/>
                    </a:stretch>
                  </pic:blipFill>
                  <pic:spPr bwMode="auto">
                    <a:xfrm>
                      <a:off x="0" y="0"/>
                      <a:ext cx="5464810" cy="4731385"/>
                    </a:xfrm>
                    <a:prstGeom prst="rect">
                      <a:avLst/>
                    </a:prstGeom>
                  </pic:spPr>
                </pic:pic>
              </a:graphicData>
            </a:graphic>
          </wp:inline>
        </w:drawing>
      </w:r>
    </w:p>
    <w:tbl>
      <w:tblPr>
        <w:tblStyle w:val="Tablaconcuadrcula"/>
        <w:tblW w:w="7719"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10"/>
        <w:gridCol w:w="1541"/>
        <w:gridCol w:w="851"/>
        <w:gridCol w:w="1538"/>
        <w:gridCol w:w="1539"/>
        <w:gridCol w:w="1539"/>
      </w:tblGrid>
      <w:tr>
        <w:trPr/>
        <w:tc>
          <w:tcPr>
            <w:tcW w:w="710" w:type="dxa"/>
            <w:tcBorders>
              <w:left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CP</w:t>
            </w:r>
          </w:p>
        </w:tc>
        <w:tc>
          <w:tcPr>
            <w:tcW w:w="1541" w:type="dxa"/>
            <w:tcBorders>
              <w:left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nsplit</w:t>
            </w:r>
          </w:p>
        </w:tc>
        <w:tc>
          <w:tcPr>
            <w:tcW w:w="851" w:type="dxa"/>
            <w:tcBorders>
              <w:left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rel</w:t>
            </w:r>
          </w:p>
        </w:tc>
        <w:tc>
          <w:tcPr>
            <w:tcW w:w="1538" w:type="dxa"/>
            <w:tcBorders>
              <w:left w:val="nil"/>
              <w:right w:val="nil"/>
            </w:tcBorders>
            <w:vAlign w:val="center"/>
          </w:tcPr>
          <w:p>
            <w:pPr>
              <w:pStyle w:val="Normal"/>
              <w:widowControl/>
              <w:spacing w:lineRule="auto" w:line="240" w:before="0" w:after="0"/>
              <w:jc w:val="center"/>
              <w:rPr>
                <w:rFonts w:ascii="Times New Roman" w:hAnsi="Times New Roman" w:cs="Times New Roman"/>
                <w:b/>
                <w:bCs/>
                <w:i/>
                <w:i/>
                <w:iCs/>
                <w:sz w:val="20"/>
                <w:szCs w:val="20"/>
              </w:rPr>
            </w:pPr>
            <w:r>
              <w:rPr>
                <w:rFonts w:eastAsia="Calibri" w:cs="Times New Roman" w:ascii="Times New Roman" w:hAnsi="Times New Roman"/>
                <w:b/>
                <w:bCs/>
                <w:sz w:val="20"/>
                <w:szCs w:val="20"/>
                <w:lang w:val="es-MX" w:eastAsia="en-US" w:bidi="ar-SA"/>
              </w:rPr>
              <w:t>error</w:t>
            </w:r>
          </w:p>
        </w:tc>
        <w:tc>
          <w:tcPr>
            <w:tcW w:w="1539" w:type="dxa"/>
            <w:tcBorders>
              <w:left w:val="nil"/>
              <w:right w:val="nil"/>
            </w:tcBorders>
            <w:vAlign w:val="center"/>
          </w:tcPr>
          <w:p>
            <w:pPr>
              <w:pStyle w:val="Normal"/>
              <w:widowControl/>
              <w:spacing w:lineRule="auto" w:line="240" w:before="0" w:after="0"/>
              <w:jc w:val="center"/>
              <w:rPr>
                <w:rFonts w:ascii="Times New Roman" w:hAnsi="Times New Roman" w:cs="Times New Roman"/>
                <w:b/>
                <w:bCs/>
                <w:color w:val="2E2E2E"/>
                <w:sz w:val="20"/>
                <w:szCs w:val="20"/>
              </w:rPr>
            </w:pPr>
            <w:r>
              <w:rPr>
                <w:rFonts w:eastAsia="Calibri" w:cs="Times New Roman" w:ascii="Times New Roman" w:hAnsi="Times New Roman"/>
                <w:b/>
                <w:bCs/>
                <w:sz w:val="20"/>
                <w:szCs w:val="20"/>
                <w:lang w:val="es-MX" w:eastAsia="en-US" w:bidi="ar-SA"/>
              </w:rPr>
              <w:t>​</w:t>
            </w:r>
            <w:r>
              <w:rPr>
                <w:rFonts w:eastAsia="Calibri" w:cs="Times New Roman" w:ascii="Times New Roman" w:hAnsi="Times New Roman"/>
                <w:b/>
                <w:bCs/>
                <w:sz w:val="20"/>
                <w:szCs w:val="20"/>
                <w:lang w:val="es-MX" w:eastAsia="en-US" w:bidi="ar-SA"/>
              </w:rPr>
              <w:t>xerror</w:t>
            </w:r>
          </w:p>
        </w:tc>
        <w:tc>
          <w:tcPr>
            <w:tcW w:w="1539" w:type="dxa"/>
            <w:tcBorders>
              <w:left w:val="nil"/>
              <w:right w:val="nil"/>
            </w:tcBorders>
            <w:vAlign w:val="center"/>
          </w:tcPr>
          <w:p>
            <w:pPr>
              <w:pStyle w:val="Normal"/>
              <w:widowControl/>
              <w:spacing w:lineRule="auto" w:line="240" w:before="0" w:after="0"/>
              <w:jc w:val="center"/>
              <w:rPr>
                <w:rStyle w:val="Emphasis"/>
                <w:rFonts w:ascii="Times New Roman" w:hAnsi="Times New Roman" w:cs="Times New Roman"/>
                <w:b/>
                <w:bCs/>
                <w:i w:val="false"/>
                <w:i w:val="false"/>
                <w:iCs w:val="false"/>
                <w:sz w:val="20"/>
                <w:szCs w:val="20"/>
              </w:rPr>
            </w:pPr>
            <w:r>
              <w:rPr>
                <w:rStyle w:val="Emphasis"/>
                <w:rFonts w:eastAsia="Calibri" w:cs="Times New Roman" w:ascii="Times New Roman" w:hAnsi="Times New Roman"/>
                <w:b/>
                <w:bCs/>
                <w:sz w:val="20"/>
                <w:szCs w:val="20"/>
                <w:lang w:val="es-MX" w:eastAsia="en-US" w:bidi="ar-SA"/>
              </w:rPr>
              <w:t>xstd</w:t>
            </w:r>
          </w:p>
        </w:tc>
      </w:tr>
      <w:tr>
        <w:trPr/>
        <w:tc>
          <w:tcPr>
            <w:tcW w:w="710" w:type="dxa"/>
            <w:tcBorders>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sz w:val="20"/>
                <w:szCs w:val="20"/>
                <w:lang w:val="es-MX" w:eastAsia="en-US" w:bidi="ar-SA"/>
              </w:rPr>
              <w:t>1</w:t>
            </w:r>
          </w:p>
        </w:tc>
        <w:tc>
          <w:tcPr>
            <w:tcW w:w="1541" w:type="dxa"/>
            <w:tcBorders>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sz w:val="20"/>
                <w:szCs w:val="20"/>
                <w:lang w:val="es-MX" w:eastAsia="en-US" w:bidi="ar-SA"/>
              </w:rPr>
              <w:t>0.17238775</w:t>
            </w:r>
          </w:p>
        </w:tc>
        <w:tc>
          <w:tcPr>
            <w:tcW w:w="851" w:type="dxa"/>
            <w:tcBorders>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w:t>
            </w:r>
          </w:p>
        </w:tc>
        <w:tc>
          <w:tcPr>
            <w:tcW w:w="1538" w:type="dxa"/>
            <w:tcBorders>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sz w:val="20"/>
                <w:szCs w:val="20"/>
                <w:lang w:val="es-MX" w:eastAsia="en-US" w:bidi="ar-SA"/>
              </w:rPr>
              <w:t>1.0000000</w:t>
            </w:r>
          </w:p>
        </w:tc>
        <w:tc>
          <w:tcPr>
            <w:tcW w:w="1539" w:type="dxa"/>
            <w:tcBorders>
              <w:left w:val="nil"/>
              <w:bottom w:val="nil"/>
              <w:right w:val="nil"/>
            </w:tcBorders>
            <w:vAlign w:val="center"/>
          </w:tcPr>
          <w:p>
            <w:pPr>
              <w:pStyle w:val="Normal"/>
              <w:widowControl/>
              <w:spacing w:lineRule="auto" w:line="240" w:before="0" w:after="0"/>
              <w:jc w:val="center"/>
              <w:rPr>
                <w:rStyle w:val="Emphasis"/>
                <w:rFonts w:ascii="Times New Roman" w:hAnsi="Times New Roman" w:cs="Times New Roman"/>
                <w:b/>
                <w:bCs/>
                <w:sz w:val="20"/>
                <w:szCs w:val="20"/>
              </w:rPr>
            </w:pPr>
            <w:r>
              <w:rPr>
                <w:rFonts w:eastAsia="Calibri" w:cs="Times New Roman" w:ascii="Times New Roman" w:hAnsi="Times New Roman"/>
                <w:sz w:val="20"/>
                <w:szCs w:val="20"/>
                <w:lang w:val="es-MX" w:eastAsia="en-US" w:bidi="ar-SA"/>
              </w:rPr>
              <w:t>1.0037194</w:t>
            </w:r>
          </w:p>
        </w:tc>
        <w:tc>
          <w:tcPr>
            <w:tcW w:w="1539" w:type="dxa"/>
            <w:tcBorders>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0.09617312</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2</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0.06540273</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0.8276123</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0.8986333</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0.08941120</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3</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 xml:space="preserve">0.05999483 </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2</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0.7622095</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0.9428115</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0.09400991</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4</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0.04583007</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3</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0.7022147</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0.8805207</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0.08633609</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5</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0.03000628</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4</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0.6563846</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0.8747860</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sz w:val="20"/>
                <w:szCs w:val="20"/>
                <w:lang w:val="es-MX" w:eastAsia="en-US" w:bidi="ar-SA"/>
              </w:rPr>
              <w:t>0.08832385</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6</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0.02308569</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5</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0.6263783</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0.8897250</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0.08978337</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7</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0.01673844</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6</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0.6032927</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0.9129027</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0.09362459</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8</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0.01525416</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8</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0.5698158</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0.9677423</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0.09926236</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9</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0.01465361</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9</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0.5545616</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0.9663083</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0.09935635</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10</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0.01240787</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10</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0.5399080</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0.9716311</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0.10084608</w:t>
            </w:r>
          </w:p>
        </w:tc>
      </w:tr>
      <w:tr>
        <w:trPr/>
        <w:tc>
          <w:tcPr>
            <w:tcW w:w="710"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11</w:t>
            </w:r>
          </w:p>
        </w:tc>
        <w:tc>
          <w:tcPr>
            <w:tcW w:w="154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0.01178962</w:t>
            </w:r>
          </w:p>
        </w:tc>
        <w:tc>
          <w:tcPr>
            <w:tcW w:w="851"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11</w:t>
            </w:r>
          </w:p>
        </w:tc>
        <w:tc>
          <w:tcPr>
            <w:tcW w:w="1538"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0.5275001</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1.0051535</w:t>
            </w:r>
          </w:p>
        </w:tc>
        <w:tc>
          <w:tcPr>
            <w:tcW w:w="1539" w:type="dxa"/>
            <w:tcBorders>
              <w:top w:val="nil"/>
              <w:left w:val="nil"/>
              <w:bottom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0.10561548</w:t>
            </w:r>
          </w:p>
        </w:tc>
      </w:tr>
      <w:tr>
        <w:trPr/>
        <w:tc>
          <w:tcPr>
            <w:tcW w:w="710" w:type="dxa"/>
            <w:tcBorders>
              <w:top w:val="nil"/>
              <w:left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12</w:t>
            </w:r>
          </w:p>
        </w:tc>
        <w:tc>
          <w:tcPr>
            <w:tcW w:w="1541" w:type="dxa"/>
            <w:tcBorders>
              <w:top w:val="nil"/>
              <w:left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0.01000000</w:t>
            </w:r>
          </w:p>
        </w:tc>
        <w:tc>
          <w:tcPr>
            <w:tcW w:w="851" w:type="dxa"/>
            <w:tcBorders>
              <w:top w:val="nil"/>
              <w:left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12</w:t>
            </w:r>
          </w:p>
        </w:tc>
        <w:tc>
          <w:tcPr>
            <w:tcW w:w="1538" w:type="dxa"/>
            <w:tcBorders>
              <w:top w:val="nil"/>
              <w:left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0.5157105</w:t>
            </w:r>
          </w:p>
        </w:tc>
        <w:tc>
          <w:tcPr>
            <w:tcW w:w="1539" w:type="dxa"/>
            <w:tcBorders>
              <w:top w:val="nil"/>
              <w:left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1.0189258</w:t>
            </w:r>
          </w:p>
        </w:tc>
        <w:tc>
          <w:tcPr>
            <w:tcW w:w="1539" w:type="dxa"/>
            <w:tcBorders>
              <w:top w:val="nil"/>
              <w:left w:val="nil"/>
              <w:right w:val="nil"/>
            </w:tcBorders>
            <w:vAlign w:val="center"/>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val="es-MX" w:eastAsia="en-US" w:bidi="ar-SA"/>
              </w:rPr>
              <w:t>0.10801140</w:t>
            </w:r>
          </w:p>
        </w:tc>
      </w:tr>
    </w:tbl>
    <w:p>
      <w:pPr>
        <w:sectPr>
          <w:type w:val="nextPage"/>
          <w:pgSz w:w="12240" w:h="15840"/>
          <w:pgMar w:left="1418" w:right="1418" w:gutter="0" w:header="0" w:top="1418" w:footer="0" w:bottom="1418"/>
          <w:pgNumType w:fmt="decimal"/>
          <w:formProt w:val="false"/>
          <w:textDirection w:val="lrTb"/>
          <w:docGrid w:type="default" w:linePitch="360" w:charSpace="8192"/>
        </w:sectPr>
      </w:pPr>
    </w:p>
    <w:p>
      <w:pPr>
        <w:pStyle w:val="Normal"/>
        <w:spacing w:lineRule="auto" w:line="480" w:before="0" w:after="0"/>
        <w:rPr>
          <w:rFonts w:ascii="Times New Roman" w:hAnsi="Times New Roman" w:cs="Times New Roman"/>
          <w:b/>
          <w:bCs/>
          <w:sz w:val="24"/>
          <w:szCs w:val="24"/>
        </w:rPr>
      </w:pPr>
      <w:r>
        <w:rPr>
          <w:rFonts w:cs="Times New Roman" w:ascii="Times New Roman" w:hAnsi="Times New Roman"/>
          <w:b/>
          <w:bCs/>
          <w:sz w:val="24"/>
          <w:szCs w:val="24"/>
        </w:rPr>
        <w:t>Online Resource 3</w:t>
      </w:r>
    </w:p>
    <w:p>
      <w:pPr>
        <w:pStyle w:val="Normal"/>
        <w:spacing w:lineRule="auto" w:line="360" w:before="0" w:after="0"/>
        <w:jc w:val="both"/>
        <w:rPr>
          <w:rFonts w:ascii="Times New Roman" w:hAnsi="Times New Roman" w:cs="Times New Roman"/>
          <w:sz w:val="24"/>
          <w:szCs w:val="24"/>
          <w:lang w:val="en-GB"/>
        </w:rPr>
      </w:pPr>
      <w:r>
        <w:rPr>
          <w:rFonts w:cs="Times New Roman" w:ascii="Times New Roman" w:hAnsi="Times New Roman"/>
          <w:sz w:val="24"/>
          <w:szCs w:val="24"/>
          <w:lang w:val="en-GB"/>
        </w:rPr>
        <w:t>NMDS plots depicting the similarities in bird species composition across the two urban intensity gradients assessed in the study. The overlaid plot illustrates the spatial variation in built cover along each gradient. Bird species names are labelled and coded for reference, providing insights into the distribution patterns of avian communities across the studied gradients. In cases where species names overlapped, they were replaced with the following numbers: 1) PHTR, DEMA, SYCO, PAMA; 2) CYCA, TUPI; 3) CHCH, RERE; 4) COCO, PHPH; 5) STVU, CHRI, BRLE; 6) LULU, CACA; 7) ERRU, COPA, RERE; 8) PHTR, CHCH (for species codes see Table 1).</w:t>
      </w:r>
    </w:p>
    <w:p>
      <w:pPr>
        <w:sectPr>
          <w:type w:val="nextPage"/>
          <w:pgSz w:orient="landscape" w:w="15840" w:h="12240"/>
          <w:pgMar w:left="1418" w:right="1418" w:gutter="0" w:header="0" w:top="1418" w:footer="0" w:bottom="1418"/>
          <w:pgNumType w:fmt="decimal"/>
          <w:formProt w:val="false"/>
          <w:textDirection w:val="lrTb"/>
          <w:docGrid w:type="default" w:linePitch="360" w:charSpace="8192"/>
        </w:sectPr>
        <w:pStyle w:val="Normal"/>
        <w:spacing w:lineRule="auto" w:line="360" w:before="0" w:after="0"/>
        <w:jc w:val="center"/>
        <w:rPr/>
      </w:pPr>
      <w:r>
        <w:rPr/>
        <w:drawing>
          <wp:inline distT="0" distB="0" distL="0" distR="0">
            <wp:extent cx="7793355" cy="4219575"/>
            <wp:effectExtent l="0" t="0" r="0" b="0"/>
            <wp:docPr id="3" name="Graphic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4" descr=""/>
                    <pic:cNvPicPr>
                      <a:picLocks noChangeAspect="1" noChangeArrowheads="1"/>
                    </pic:cNvPicPr>
                  </pic:nvPicPr>
                  <pic:blipFill>
                    <a:blip r:embed="rId5"/>
                    <a:stretch>
                      <a:fillRect/>
                    </a:stretch>
                  </pic:blipFill>
                  <pic:spPr bwMode="auto">
                    <a:xfrm>
                      <a:off x="0" y="0"/>
                      <a:ext cx="7793355" cy="4219575"/>
                    </a:xfrm>
                    <a:prstGeom prst="rect">
                      <a:avLst/>
                    </a:prstGeom>
                  </pic:spPr>
                </pic:pic>
              </a:graphicData>
            </a:graphic>
          </wp:inline>
        </w:drawing>
      </w:r>
    </w:p>
    <w:p>
      <w:pPr>
        <w:pStyle w:val="Normal"/>
        <w:spacing w:lineRule="auto" w:line="480" w:before="0" w:after="0"/>
        <w:rPr>
          <w:rFonts w:ascii="Times New Roman" w:hAnsi="Times New Roman" w:cs="Times New Roman"/>
          <w:b/>
          <w:bCs/>
          <w:sz w:val="24"/>
          <w:szCs w:val="24"/>
        </w:rPr>
      </w:pPr>
      <w:r>
        <w:rPr>
          <w:rFonts w:cs="Times New Roman" w:ascii="Times New Roman" w:hAnsi="Times New Roman"/>
          <w:b/>
          <w:bCs/>
          <w:sz w:val="24"/>
          <w:szCs w:val="24"/>
        </w:rPr>
        <w:t>Online Resource 4</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Generalized linear models (GLMs, Poisson error distribution, log link) of pairwise interactions among the set of four independent variables (i.e., noise level, tree cover, built cover, herbaceous plant cover) relating to the variance of bird species richness with a ΔAICc &lt; 2. Significant values indicated with bold letters.</w:t>
      </w:r>
    </w:p>
    <w:p>
      <w:pPr>
        <w:pStyle w:val="Normal"/>
        <w:spacing w:lineRule="auto" w:line="360" w:before="0" w:after="0"/>
        <w:jc w:val="both"/>
        <w:rPr/>
      </w:pPr>
      <w:r>
        <w:rPr/>
      </w:r>
    </w:p>
    <w:tbl>
      <w:tblPr>
        <w:tblStyle w:val="Tablaconcuadrcula"/>
        <w:tblW w:w="5529"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969"/>
        <w:gridCol w:w="1559"/>
      </w:tblGrid>
      <w:tr>
        <w:trPr/>
        <w:tc>
          <w:tcPr>
            <w:tcW w:w="3969" w:type="dxa"/>
            <w:tcBorders>
              <w:top w:val="single" w:sz="8" w:space="0" w:color="000000"/>
              <w:left w:val="nil"/>
              <w:bottom w:val="single" w:sz="8" w:space="0" w:color="000000"/>
              <w:right w:val="nil"/>
            </w:tcBorders>
            <w:vAlign w:val="center"/>
          </w:tcPr>
          <w:p>
            <w:pPr>
              <w:pStyle w:val="Normal"/>
              <w:widowControl/>
              <w:spacing w:lineRule="auto" w:line="240" w:before="0" w:after="0"/>
              <w:jc w:val="left"/>
              <w:rPr>
                <w:rFonts w:ascii="Times New Roman" w:hAnsi="Times New Roman" w:cs="Times New Roman"/>
                <w:b/>
                <w:bCs/>
                <w:sz w:val="24"/>
                <w:szCs w:val="24"/>
              </w:rPr>
            </w:pPr>
            <w:r>
              <w:rPr>
                <w:rFonts w:eastAsia="Calibri" w:cs="Times New Roman" w:ascii="Times New Roman" w:hAnsi="Times New Roman"/>
                <w:b/>
                <w:bCs/>
                <w:sz w:val="24"/>
                <w:szCs w:val="24"/>
                <w:lang w:val="es-MX" w:eastAsia="en-US" w:bidi="ar-SA"/>
              </w:rPr>
              <w:t>Models</w:t>
            </w:r>
          </w:p>
        </w:tc>
        <w:tc>
          <w:tcPr>
            <w:tcW w:w="1559" w:type="dxa"/>
            <w:tcBorders>
              <w:top w:val="single" w:sz="8" w:space="0" w:color="000000"/>
              <w:left w:val="nil"/>
              <w:bottom w:val="single" w:sz="8" w:space="0" w:color="000000"/>
              <w:right w:val="nil"/>
            </w:tcBorders>
            <w:vAlign w:val="center"/>
          </w:tcPr>
          <w:p>
            <w:pPr>
              <w:pStyle w:val="Normal"/>
              <w:widowControl/>
              <w:spacing w:lineRule="auto" w:line="240" w:before="0" w:after="0"/>
              <w:jc w:val="center"/>
              <w:rPr>
                <w:rFonts w:ascii="Times New Roman" w:hAnsi="Times New Roman" w:cs="Times New Roman"/>
                <w:b/>
                <w:bCs/>
                <w:sz w:val="24"/>
                <w:szCs w:val="24"/>
              </w:rPr>
            </w:pPr>
            <w:r>
              <w:rPr>
                <w:rFonts w:eastAsia="Calibri" w:cs="Times New Roman" w:ascii="Times New Roman" w:hAnsi="Times New Roman"/>
                <w:b/>
                <w:bCs/>
                <w:sz w:val="24"/>
                <w:szCs w:val="24"/>
                <w:lang w:val="es-MX" w:eastAsia="en-US" w:bidi="ar-SA"/>
              </w:rPr>
              <w:t>AICc</w:t>
            </w:r>
          </w:p>
        </w:tc>
      </w:tr>
      <w:tr>
        <w:trPr/>
        <w:tc>
          <w:tcPr>
            <w:tcW w:w="3969" w:type="dxa"/>
            <w:tcBorders>
              <w:top w:val="single" w:sz="8" w:space="0" w:color="000000"/>
              <w:left w:val="nil"/>
              <w:bottom w:val="nil"/>
              <w:right w:val="nil"/>
            </w:tcBorders>
          </w:tcPr>
          <w:p>
            <w:pPr>
              <w:pStyle w:val="Normal"/>
              <w:widowControl/>
              <w:spacing w:lineRule="auto" w:line="276" w:before="0" w:after="0"/>
              <w:jc w:val="left"/>
              <w:rPr>
                <w:rFonts w:ascii="Times New Roman" w:hAnsi="Times New Roman" w:cs="Times New Roman"/>
                <w:sz w:val="24"/>
                <w:szCs w:val="24"/>
              </w:rPr>
            </w:pPr>
            <w:r>
              <w:rPr>
                <w:rFonts w:eastAsia="Calibri" w:cs="Times New Roman" w:ascii="Times New Roman" w:hAnsi="Times New Roman"/>
                <w:sz w:val="24"/>
                <w:szCs w:val="24"/>
                <w:lang w:val="en-US" w:eastAsia="en-US" w:bidi="ar-SA"/>
              </w:rPr>
              <w:t>Model 1</w:t>
            </w:r>
          </w:p>
        </w:tc>
        <w:tc>
          <w:tcPr>
            <w:tcW w:w="1559" w:type="dxa"/>
            <w:tcBorders>
              <w:top w:val="single" w:sz="8" w:space="0" w:color="000000"/>
              <w:left w:val="nil"/>
              <w:bottom w:val="nil"/>
              <w:right w:val="nil"/>
            </w:tcBorders>
          </w:tcPr>
          <w:p>
            <w:pPr>
              <w:pStyle w:val="Normal"/>
              <w:widowControl/>
              <w:spacing w:lineRule="auto" w:line="276" w:before="0" w:after="0"/>
              <w:jc w:val="center"/>
              <w:rPr>
                <w:rFonts w:ascii="Times New Roman" w:hAnsi="Times New Roman" w:cs="Times New Roman"/>
                <w:sz w:val="24"/>
                <w:szCs w:val="24"/>
              </w:rPr>
            </w:pPr>
            <w:r>
              <w:rPr>
                <w:rFonts w:eastAsia="Calibri" w:cs="Times New Roman" w:ascii="Times New Roman" w:hAnsi="Times New Roman"/>
                <w:sz w:val="24"/>
                <w:szCs w:val="24"/>
                <w:lang w:val="en-US" w:eastAsia="en-US" w:bidi="ar-SA"/>
              </w:rPr>
              <w:t>612.47</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 xml:space="preserve">Built cover × Tree cover + </w:t>
              <w:br/>
              <w:t>Herbaceous plant cover × Noise level</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0.006</w:t>
            </w:r>
          </w:p>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i/>
                <w:iCs/>
                <w:sz w:val="20"/>
                <w:szCs w:val="20"/>
                <w:lang w:val="es-MX" w:eastAsia="en-US" w:bidi="ar-SA"/>
              </w:rPr>
              <w:t>P</w:t>
            </w:r>
            <w:r>
              <w:rPr>
                <w:rFonts w:eastAsia="Calibri" w:cs="Times New Roman" w:ascii="Times New Roman" w:hAnsi="Times New Roman"/>
                <w:sz w:val="20"/>
                <w:szCs w:val="20"/>
                <w:lang w:val="es-MX" w:eastAsia="en-US" w:bidi="ar-SA"/>
              </w:rPr>
              <w:t xml:space="preserve"> = 0.091</w:t>
            </w:r>
          </w:p>
        </w:tc>
      </w:tr>
      <w:tr>
        <w:trPr/>
        <w:tc>
          <w:tcPr>
            <w:tcW w:w="3969" w:type="dxa"/>
            <w:tcBorders>
              <w:left w:val="nil"/>
              <w:bottom w:val="nil"/>
              <w:right w:val="nil"/>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sz w:val="24"/>
                <w:szCs w:val="24"/>
                <w:lang w:val="en-US" w:eastAsia="en-US" w:bidi="ar-SA"/>
              </w:rPr>
              <w:t>Model 2</w:t>
            </w:r>
          </w:p>
        </w:tc>
        <w:tc>
          <w:tcPr>
            <w:tcW w:w="1559" w:type="dxa"/>
            <w:tcBorders>
              <w:left w:val="nil"/>
              <w:bottom w:val="nil"/>
              <w:right w:val="nil"/>
            </w:tcBorders>
          </w:tcPr>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sz w:val="24"/>
                <w:szCs w:val="24"/>
                <w:lang w:val="en-US" w:eastAsia="en-US" w:bidi="ar-SA"/>
              </w:rPr>
              <w:t>613.07</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Herbaceous plant cover +</w:t>
            </w:r>
          </w:p>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Built cover × Tree cover</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0.008</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0.002</w:t>
            </w:r>
          </w:p>
        </w:tc>
      </w:tr>
      <w:tr>
        <w:trPr/>
        <w:tc>
          <w:tcPr>
            <w:tcW w:w="3969" w:type="dxa"/>
            <w:tcBorders>
              <w:left w:val="nil"/>
              <w:bottom w:val="nil"/>
              <w:right w:val="nil"/>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sz w:val="24"/>
                <w:szCs w:val="24"/>
                <w:lang w:val="en-US" w:eastAsia="en-US" w:bidi="ar-SA"/>
              </w:rPr>
              <w:t>Model 3</w:t>
            </w:r>
          </w:p>
        </w:tc>
        <w:tc>
          <w:tcPr>
            <w:tcW w:w="1559" w:type="dxa"/>
            <w:tcBorders>
              <w:left w:val="nil"/>
              <w:bottom w:val="nil"/>
              <w:right w:val="nil"/>
            </w:tcBorders>
          </w:tcPr>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sz w:val="24"/>
                <w:szCs w:val="24"/>
                <w:lang w:val="en-US" w:eastAsia="en-US" w:bidi="ar-SA"/>
              </w:rPr>
              <w:t>613.21</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 xml:space="preserve">Built cover × Tree cover + </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0.006</w:t>
            </w:r>
          </w:p>
        </w:tc>
      </w:tr>
      <w:tr>
        <w:trPr/>
        <w:tc>
          <w:tcPr>
            <w:tcW w:w="3969" w:type="dxa"/>
            <w:tcBorders>
              <w:left w:val="nil"/>
              <w:bottom w:val="nil"/>
              <w:right w:val="nil"/>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sz w:val="24"/>
                <w:szCs w:val="24"/>
                <w:lang w:val="en-US" w:eastAsia="en-US" w:bidi="ar-SA"/>
              </w:rPr>
              <w:t>Model 4</w:t>
            </w:r>
          </w:p>
        </w:tc>
        <w:tc>
          <w:tcPr>
            <w:tcW w:w="1559" w:type="dxa"/>
            <w:tcBorders>
              <w:left w:val="nil"/>
              <w:bottom w:val="nil"/>
              <w:right w:val="nil"/>
            </w:tcBorders>
          </w:tcPr>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sz w:val="24"/>
                <w:szCs w:val="24"/>
                <w:lang w:val="en-US" w:eastAsia="en-US" w:bidi="ar-SA"/>
              </w:rPr>
              <w:t>613.41</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Tree cover +</w:t>
            </w:r>
          </w:p>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Tree cover × Noise level +</w:t>
            </w:r>
          </w:p>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Herbaceous plant cover × Tree cover</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0.042</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0.007</w:t>
            </w:r>
          </w:p>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0.007</w:t>
            </w:r>
          </w:p>
        </w:tc>
      </w:tr>
      <w:tr>
        <w:trPr/>
        <w:tc>
          <w:tcPr>
            <w:tcW w:w="3969" w:type="dxa"/>
            <w:tcBorders>
              <w:left w:val="nil"/>
              <w:bottom w:val="nil"/>
              <w:right w:val="nil"/>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sz w:val="24"/>
                <w:szCs w:val="24"/>
                <w:lang w:val="en-US" w:eastAsia="en-US" w:bidi="ar-SA"/>
              </w:rPr>
              <w:t>Model 5</w:t>
            </w:r>
          </w:p>
        </w:tc>
        <w:tc>
          <w:tcPr>
            <w:tcW w:w="1559" w:type="dxa"/>
            <w:tcBorders>
              <w:left w:val="nil"/>
              <w:bottom w:val="nil"/>
              <w:right w:val="nil"/>
            </w:tcBorders>
          </w:tcPr>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sz w:val="24"/>
                <w:szCs w:val="24"/>
                <w:lang w:val="en-US" w:eastAsia="en-US" w:bidi="ar-SA"/>
              </w:rPr>
              <w:t>614.06</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Tree cover +</w:t>
            </w:r>
          </w:p>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 xml:space="preserve">Built cover × Tree cover + </w:t>
              <w:br/>
              <w:t>Herbaceous plant cover × Noise level</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0.002</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0.022</w:t>
            </w:r>
          </w:p>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i/>
                <w:iCs/>
                <w:sz w:val="20"/>
                <w:szCs w:val="20"/>
                <w:lang w:val="es-MX" w:eastAsia="en-US" w:bidi="ar-SA"/>
              </w:rPr>
              <w:t>P</w:t>
            </w:r>
            <w:r>
              <w:rPr>
                <w:rFonts w:eastAsia="Calibri" w:cs="Times New Roman" w:ascii="Times New Roman" w:hAnsi="Times New Roman"/>
                <w:sz w:val="20"/>
                <w:szCs w:val="20"/>
                <w:lang w:val="es-MX" w:eastAsia="en-US" w:bidi="ar-SA"/>
              </w:rPr>
              <w:t xml:space="preserve"> = 0.067</w:t>
            </w:r>
          </w:p>
        </w:tc>
      </w:tr>
      <w:tr>
        <w:trPr/>
        <w:tc>
          <w:tcPr>
            <w:tcW w:w="3969" w:type="dxa"/>
            <w:tcBorders>
              <w:left w:val="nil"/>
              <w:bottom w:val="nil"/>
              <w:right w:val="nil"/>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sz w:val="24"/>
                <w:szCs w:val="24"/>
                <w:lang w:val="en-US" w:eastAsia="en-US" w:bidi="ar-SA"/>
              </w:rPr>
              <w:t>Model 6</w:t>
            </w:r>
          </w:p>
        </w:tc>
        <w:tc>
          <w:tcPr>
            <w:tcW w:w="1559" w:type="dxa"/>
            <w:tcBorders>
              <w:left w:val="nil"/>
              <w:bottom w:val="nil"/>
              <w:right w:val="nil"/>
            </w:tcBorders>
          </w:tcPr>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sz w:val="24"/>
                <w:szCs w:val="24"/>
                <w:lang w:val="en-US" w:eastAsia="en-US" w:bidi="ar-SA"/>
              </w:rPr>
              <w:t>614.30</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 xml:space="preserve">Built cover × Tree cover + </w:t>
              <w:br/>
              <w:t>Herbaceous plant cover × Noise level +</w:t>
            </w:r>
          </w:p>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Herbaceous plant cover × Tree cover</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0.006</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i/>
                <w:iCs/>
                <w:sz w:val="20"/>
                <w:szCs w:val="20"/>
                <w:lang w:val="es-MX" w:eastAsia="en-US" w:bidi="ar-SA"/>
              </w:rPr>
              <w:t>P</w:t>
            </w:r>
            <w:r>
              <w:rPr>
                <w:rFonts w:eastAsia="Calibri" w:cs="Times New Roman" w:ascii="Times New Roman" w:hAnsi="Times New Roman"/>
                <w:sz w:val="20"/>
                <w:szCs w:val="20"/>
                <w:lang w:val="es-MX" w:eastAsia="en-US" w:bidi="ar-SA"/>
              </w:rPr>
              <w:t xml:space="preserve"> = 0.091</w:t>
            </w:r>
          </w:p>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i/>
                <w:iCs/>
                <w:sz w:val="20"/>
                <w:szCs w:val="20"/>
                <w:lang w:val="es-MX" w:eastAsia="en-US" w:bidi="ar-SA"/>
              </w:rPr>
              <w:t>P</w:t>
            </w:r>
            <w:r>
              <w:rPr>
                <w:rFonts w:eastAsia="Calibri" w:cs="Times New Roman" w:ascii="Times New Roman" w:hAnsi="Times New Roman"/>
                <w:sz w:val="20"/>
                <w:szCs w:val="20"/>
                <w:lang w:val="es-MX" w:eastAsia="en-US" w:bidi="ar-SA"/>
              </w:rPr>
              <w:t xml:space="preserve"> = 0.586</w:t>
            </w:r>
          </w:p>
        </w:tc>
      </w:tr>
      <w:tr>
        <w:trPr/>
        <w:tc>
          <w:tcPr>
            <w:tcW w:w="3969" w:type="dxa"/>
            <w:tcBorders>
              <w:left w:val="nil"/>
              <w:bottom w:val="nil"/>
              <w:right w:val="nil"/>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sz w:val="24"/>
                <w:szCs w:val="24"/>
                <w:lang w:val="en-US" w:eastAsia="en-US" w:bidi="ar-SA"/>
              </w:rPr>
              <w:t>Model 7</w:t>
            </w:r>
          </w:p>
        </w:tc>
        <w:tc>
          <w:tcPr>
            <w:tcW w:w="1559" w:type="dxa"/>
            <w:tcBorders>
              <w:left w:val="nil"/>
              <w:bottom w:val="nil"/>
              <w:right w:val="nil"/>
            </w:tcBorders>
          </w:tcPr>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sz w:val="24"/>
                <w:szCs w:val="24"/>
                <w:lang w:val="en-US" w:eastAsia="en-US" w:bidi="ar-SA"/>
              </w:rPr>
              <w:t>614.44</w:t>
            </w:r>
          </w:p>
        </w:tc>
      </w:tr>
      <w:tr>
        <w:trPr/>
        <w:tc>
          <w:tcPr>
            <w:tcW w:w="3969" w:type="dxa"/>
            <w:tcBorders>
              <w:top w:val="nil"/>
              <w:left w:val="nil"/>
              <w:right w:val="nil"/>
            </w:tcBorders>
          </w:tcPr>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Tree cover × Noise level +</w:t>
            </w:r>
          </w:p>
          <w:p>
            <w:pPr>
              <w:pStyle w:val="Normal"/>
              <w:widowControl/>
              <w:spacing w:lineRule="auto" w:line="240" w:before="0" w:after="0"/>
              <w:ind w:left="316"/>
              <w:jc w:val="left"/>
              <w:rPr>
                <w:rFonts w:ascii="Times New Roman" w:hAnsi="Times New Roman" w:cs="Times New Roman"/>
                <w:sz w:val="20"/>
                <w:szCs w:val="20"/>
                <w:lang w:val="en-US"/>
              </w:rPr>
            </w:pPr>
            <w:r>
              <w:rPr>
                <w:rFonts w:eastAsia="Calibri" w:cs="Times New Roman" w:ascii="Times New Roman" w:hAnsi="Times New Roman"/>
                <w:sz w:val="20"/>
                <w:szCs w:val="20"/>
                <w:lang w:val="en-US" w:eastAsia="en-US" w:bidi="ar-SA"/>
              </w:rPr>
              <w:t>Built cover × Noise level +</w:t>
              <w:br/>
              <w:t xml:space="preserve">Built cover × Tree cover + </w:t>
              <w:br/>
              <w:t>Herbaceous plant cover × Noise level</w:t>
            </w:r>
          </w:p>
        </w:tc>
        <w:tc>
          <w:tcPr>
            <w:tcW w:w="1559" w:type="dxa"/>
            <w:tcBorders>
              <w:top w:val="nil"/>
              <w:left w:val="nil"/>
              <w:right w:val="nil"/>
            </w:tcBorders>
          </w:tcPr>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&lt; 0.001</w:t>
            </w:r>
          </w:p>
          <w:p>
            <w:pPr>
              <w:pStyle w:val="Normal"/>
              <w:widowControl/>
              <w:spacing w:lineRule="auto" w:line="240" w:before="0" w:after="0"/>
              <w:jc w:val="center"/>
              <w:rPr>
                <w:rFonts w:ascii="Times New Roman" w:hAnsi="Times New Roman" w:cs="Times New Roman"/>
                <w:b/>
                <w:bCs/>
                <w:sz w:val="20"/>
                <w:szCs w:val="20"/>
              </w:rPr>
            </w:pPr>
            <w:r>
              <w:rPr>
                <w:rFonts w:eastAsia="Calibri" w:cs="Times New Roman" w:ascii="Times New Roman" w:hAnsi="Times New Roman"/>
                <w:b/>
                <w:bCs/>
                <w:i/>
                <w:iCs/>
                <w:sz w:val="20"/>
                <w:szCs w:val="20"/>
                <w:lang w:val="es-MX" w:eastAsia="en-US" w:bidi="ar-SA"/>
              </w:rPr>
              <w:t>P</w:t>
            </w:r>
            <w:r>
              <w:rPr>
                <w:rFonts w:eastAsia="Calibri" w:cs="Times New Roman" w:ascii="Times New Roman" w:hAnsi="Times New Roman"/>
                <w:b/>
                <w:bCs/>
                <w:sz w:val="20"/>
                <w:szCs w:val="20"/>
                <w:lang w:val="es-MX" w:eastAsia="en-US" w:bidi="ar-SA"/>
              </w:rPr>
              <w:t xml:space="preserve"> = 0.009</w:t>
            </w:r>
          </w:p>
          <w:p>
            <w:pPr>
              <w:pStyle w:val="Normal"/>
              <w:widowControl/>
              <w:spacing w:lineRule="auto" w:line="240" w:before="0" w:after="0"/>
              <w:jc w:val="center"/>
              <w:rPr>
                <w:rFonts w:ascii="Times New Roman" w:hAnsi="Times New Roman" w:cs="Times New Roman"/>
                <w:i/>
                <w:i/>
                <w:iCs/>
                <w:sz w:val="20"/>
                <w:szCs w:val="20"/>
              </w:rPr>
            </w:pPr>
            <w:r>
              <w:rPr>
                <w:rFonts w:eastAsia="Calibri" w:cs="Times New Roman" w:ascii="Times New Roman" w:hAnsi="Times New Roman"/>
                <w:i/>
                <w:iCs/>
                <w:sz w:val="20"/>
                <w:szCs w:val="20"/>
                <w:lang w:val="es-MX" w:eastAsia="en-US" w:bidi="ar-SA"/>
              </w:rPr>
              <w:t>P</w:t>
            </w:r>
            <w:r>
              <w:rPr>
                <w:rFonts w:eastAsia="Calibri" w:cs="Times New Roman" w:ascii="Times New Roman" w:hAnsi="Times New Roman"/>
                <w:sz w:val="20"/>
                <w:szCs w:val="20"/>
                <w:lang w:val="es-MX" w:eastAsia="en-US" w:bidi="ar-SA"/>
              </w:rPr>
              <w:t xml:space="preserve"> = 0.099</w:t>
            </w:r>
          </w:p>
        </w:tc>
      </w:tr>
    </w:tbl>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r>
        <w:br w:type="page"/>
      </w:r>
    </w:p>
    <w:p>
      <w:pPr>
        <w:pStyle w:val="Normal"/>
        <w:spacing w:lineRule="auto" w:line="480" w:before="0" w:after="0"/>
        <w:rPr>
          <w:rFonts w:ascii="Times New Roman" w:hAnsi="Times New Roman" w:cs="Times New Roman"/>
          <w:b/>
          <w:bCs/>
          <w:sz w:val="24"/>
          <w:szCs w:val="24"/>
          <w:lang w:val="en-GB"/>
        </w:rPr>
      </w:pPr>
      <w:r>
        <w:rPr>
          <w:rFonts w:cs="Times New Roman" w:ascii="Times New Roman" w:hAnsi="Times New Roman"/>
          <w:b/>
          <w:bCs/>
          <w:sz w:val="24"/>
          <w:szCs w:val="24"/>
        </w:rPr>
        <w:t>Online Resource 5</w:t>
      </w:r>
    </w:p>
    <w:p>
      <w:pPr>
        <w:pStyle w:val="Normal"/>
        <w:spacing w:lineRule="auto" w:line="360" w:before="0" w:after="0"/>
        <w:jc w:val="both"/>
        <w:rPr>
          <w:rFonts w:ascii="Times New Roman" w:hAnsi="Times New Roman" w:cs="Times New Roman"/>
          <w:sz w:val="24"/>
          <w:szCs w:val="24"/>
          <w:lang w:val="en-GB"/>
        </w:rPr>
      </w:pPr>
      <w:r>
        <w:rPr>
          <w:rFonts w:cs="Times New Roman" w:ascii="Times New Roman" w:hAnsi="Times New Roman"/>
          <w:sz w:val="24"/>
          <w:szCs w:val="24"/>
          <w:lang w:val="en-GB"/>
        </w:rPr>
        <w:t>Association between the variables included in the fittest GLM with bird species richness recorded in the citywide survey.</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480" w:before="0" w:after="0"/>
        <w:rPr>
          <w:rFonts w:ascii="Times New Roman" w:hAnsi="Times New Roman" w:cs="Times New Roman"/>
          <w:color w:val="FF0000"/>
          <w:sz w:val="24"/>
          <w:szCs w:val="24"/>
        </w:rPr>
      </w:pPr>
      <w:r>
        <w:rPr>
          <w:rFonts w:cs="Times New Roman" w:ascii="Times New Roman" w:hAnsi="Times New Roman"/>
          <w:color w:val="FF0000"/>
          <w:sz w:val="24"/>
          <w:szCs w:val="24"/>
        </w:rPr>
        <w:drawing>
          <wp:anchor behindDoc="0" distT="0" distB="0" distL="0" distR="0" simplePos="0" locked="0" layoutInCell="0" allowOverlap="1" relativeHeight="7">
            <wp:simplePos x="0" y="0"/>
            <wp:positionH relativeFrom="column">
              <wp:posOffset>0</wp:posOffset>
            </wp:positionH>
            <wp:positionV relativeFrom="paragraph">
              <wp:posOffset>103505</wp:posOffset>
            </wp:positionV>
            <wp:extent cx="5731510" cy="5530215"/>
            <wp:effectExtent l="0" t="0" r="0" b="0"/>
            <wp:wrapSquare wrapText="largest"/>
            <wp:docPr id="4" name="Graphic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8" descr=""/>
                    <pic:cNvPicPr>
                      <a:picLocks noChangeAspect="1" noChangeArrowheads="1"/>
                    </pic:cNvPicPr>
                  </pic:nvPicPr>
                  <pic:blipFill>
                    <a:blip r:embed="rId6"/>
                    <a:stretch>
                      <a:fillRect/>
                    </a:stretch>
                  </pic:blipFill>
                  <pic:spPr bwMode="auto">
                    <a:xfrm>
                      <a:off x="0" y="0"/>
                      <a:ext cx="5731510" cy="5530215"/>
                    </a:xfrm>
                    <a:prstGeom prst="rect">
                      <a:avLst/>
                    </a:prstGeom>
                  </pic:spPr>
                </pic:pic>
              </a:graphicData>
            </a:graphic>
          </wp:anchor>
        </w:drawing>
      </w:r>
    </w:p>
    <w:p>
      <w:pPr>
        <w:pStyle w:val="Normal"/>
        <w:suppressLineNumbers/>
        <w:spacing w:lineRule="auto" w:line="480" w:before="0" w:after="0"/>
        <w:rPr>
          <w:rFonts w:ascii="Times New Roman" w:hAnsi="Times New Roman" w:cs="Times New Roman"/>
          <w:b/>
          <w:bCs/>
          <w:sz w:val="24"/>
          <w:szCs w:val="24"/>
        </w:rPr>
      </w:pPr>
      <w:r>
        <w:rPr>
          <w:rFonts w:cs="Times New Roman" w:ascii="Times New Roman" w:hAnsi="Times New Roman"/>
          <w:b/>
          <w:bCs/>
          <w:sz w:val="24"/>
          <w:szCs w:val="24"/>
        </w:rPr>
      </w:r>
    </w:p>
    <w:p>
      <w:pPr>
        <w:pStyle w:val="Normal"/>
        <w:rPr/>
      </w:pPr>
      <w:r>
        <w:rPr/>
      </w:r>
    </w:p>
    <w:p>
      <w:pPr>
        <w:pStyle w:val="Normal"/>
        <w:rPr/>
      </w:pPr>
      <w:r>
        <w:rPr/>
      </w:r>
    </w:p>
    <w:p>
      <w:pPr>
        <w:pStyle w:val="Normal"/>
        <w:rPr/>
      </w:pPr>
      <w:r>
        <w:rPr/>
      </w:r>
    </w:p>
    <w:p>
      <w:pPr>
        <w:pStyle w:val="Normal"/>
        <w:rPr/>
      </w:pPr>
      <w:r>
        <w:rPr/>
      </w:r>
    </w:p>
    <w:p>
      <w:pPr>
        <w:pStyle w:val="Normal"/>
        <w:suppressAutoHyphens w:val="false"/>
        <w:rPr/>
      </w:pPr>
      <w:r>
        <w:rPr/>
      </w:r>
      <w:r>
        <w:br w:type="page"/>
      </w:r>
    </w:p>
    <w:p>
      <w:pPr>
        <w:pStyle w:val="Normal"/>
        <w:spacing w:lineRule="auto" w:line="480" w:before="0" w:after="0"/>
        <w:rPr>
          <w:rFonts w:ascii="Times New Roman" w:hAnsi="Times New Roman" w:cs="Times New Roman"/>
          <w:b/>
          <w:bCs/>
          <w:sz w:val="24"/>
          <w:szCs w:val="24"/>
          <w:lang w:val="en-GB"/>
        </w:rPr>
      </w:pPr>
      <w:r>
        <w:rPr>
          <w:rFonts w:cs="Times New Roman" w:ascii="Times New Roman" w:hAnsi="Times New Roman"/>
          <w:b/>
          <w:bCs/>
          <w:sz w:val="24"/>
          <w:szCs w:val="24"/>
        </w:rPr>
        <w:t>Online Resource 6</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lang w:val="en-GB"/>
        </w:rPr>
        <w:t xml:space="preserve">Number of bird species and abundance of individuals per habitat preferences </w:t>
      </w:r>
      <w:r>
        <w:rPr>
          <w:rFonts w:cs="Times New Roman" w:ascii="Times New Roman" w:hAnsi="Times New Roman"/>
          <w:sz w:val="24"/>
          <w:szCs w:val="24"/>
        </w:rPr>
        <w:t>(</w:t>
      </w:r>
      <w:r>
        <w:rPr>
          <w:rFonts w:cs="Times New Roman" w:ascii="Times New Roman" w:hAnsi="Times New Roman"/>
          <w:i/>
          <w:iCs/>
          <w:sz w:val="24"/>
          <w:szCs w:val="24"/>
        </w:rPr>
        <w:t>sensu</w:t>
      </w:r>
      <w:r>
        <w:rPr>
          <w:rFonts w:cs="Times New Roman" w:ascii="Times New Roman" w:hAnsi="Times New Roman"/>
          <w:sz w:val="24"/>
          <w:szCs w:val="24"/>
        </w:rPr>
        <w:t xml:space="preserve"> Tobias et al. 2022) for both urbanization intensity gradient categories.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lang w:val="en-GB"/>
        </w:rPr>
      </w:pPr>
      <w:r>
        <w:rPr/>
        <w:drawing>
          <wp:inline distT="0" distB="0" distL="0" distR="0">
            <wp:extent cx="5971540" cy="6257925"/>
            <wp:effectExtent l="0" t="0" r="0" b="0"/>
            <wp:docPr id="5"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descr=""/>
                    <pic:cNvPicPr>
                      <a:picLocks noChangeAspect="1" noChangeArrowheads="1"/>
                    </pic:cNvPicPr>
                  </pic:nvPicPr>
                  <pic:blipFill>
                    <a:blip r:embed="rId7"/>
                    <a:stretch>
                      <a:fillRect/>
                    </a:stretch>
                  </pic:blipFill>
                  <pic:spPr bwMode="auto">
                    <a:xfrm>
                      <a:off x="0" y="0"/>
                      <a:ext cx="5971540" cy="6257925"/>
                    </a:xfrm>
                    <a:prstGeom prst="rect">
                      <a:avLst/>
                    </a:prstGeom>
                  </pic:spPr>
                </pic:pic>
              </a:graphicData>
            </a:graphic>
          </wp:inline>
        </w:drawing>
      </w:r>
    </w:p>
    <w:p>
      <w:pPr>
        <w:pStyle w:val="Normal"/>
        <w:spacing w:lineRule="auto" w:line="360" w:before="0" w:after="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rmal"/>
        <w:suppressAutoHyphens w:val="false"/>
        <w:rPr>
          <w:rFonts w:ascii="Times New Roman" w:hAnsi="Times New Roman" w:cs="Times New Roman"/>
          <w:b/>
          <w:bCs/>
          <w:sz w:val="24"/>
          <w:szCs w:val="24"/>
        </w:rPr>
      </w:pPr>
      <w:r>
        <w:rPr>
          <w:rFonts w:cs="Times New Roman" w:ascii="Times New Roman" w:hAnsi="Times New Roman"/>
          <w:b/>
          <w:bCs/>
          <w:sz w:val="24"/>
          <w:szCs w:val="24"/>
        </w:rPr>
      </w:r>
      <w:r>
        <w:br w:type="page"/>
      </w:r>
    </w:p>
    <w:p>
      <w:pPr>
        <w:pStyle w:val="Normal"/>
        <w:spacing w:lineRule="auto" w:line="480" w:before="0" w:after="0"/>
        <w:rPr>
          <w:rFonts w:ascii="Times New Roman" w:hAnsi="Times New Roman" w:cs="Times New Roman"/>
          <w:b/>
          <w:bCs/>
          <w:sz w:val="24"/>
          <w:szCs w:val="24"/>
          <w:lang w:val="en-GB"/>
        </w:rPr>
      </w:pPr>
      <w:r>
        <w:rPr>
          <w:rFonts w:cs="Times New Roman" w:ascii="Times New Roman" w:hAnsi="Times New Roman"/>
          <w:b/>
          <w:bCs/>
          <w:sz w:val="24"/>
          <w:szCs w:val="24"/>
        </w:rPr>
        <w:t>Online Resource 7</w:t>
      </w:r>
    </w:p>
    <w:p>
      <w:pPr>
        <w:pStyle w:val="Normal"/>
        <w:spacing w:lineRule="auto" w:line="360" w:before="0" w:after="0"/>
        <w:jc w:val="both"/>
        <w:rPr>
          <w:rFonts w:ascii="Times New Roman" w:hAnsi="Times New Roman" w:cs="Times New Roman"/>
          <w:sz w:val="24"/>
          <w:szCs w:val="24"/>
          <w:lang w:val="en-GB"/>
        </w:rPr>
      </w:pPr>
      <w:r>
        <w:rPr>
          <w:rFonts w:cs="Times New Roman" w:ascii="Times New Roman" w:hAnsi="Times New Roman"/>
          <w:sz w:val="24"/>
          <w:szCs w:val="24"/>
          <w:lang w:val="en-GB"/>
        </w:rPr>
        <w:t xml:space="preserve">Number of bird species and abundance of individuals across trophic niches </w:t>
      </w:r>
      <w:r>
        <w:rPr>
          <w:rFonts w:cs="Times New Roman" w:ascii="Times New Roman" w:hAnsi="Times New Roman"/>
          <w:sz w:val="24"/>
          <w:szCs w:val="24"/>
        </w:rPr>
        <w:t>(</w:t>
      </w:r>
      <w:r>
        <w:rPr>
          <w:rFonts w:cs="Times New Roman" w:ascii="Times New Roman" w:hAnsi="Times New Roman"/>
          <w:i/>
          <w:iCs/>
          <w:sz w:val="24"/>
          <w:szCs w:val="24"/>
        </w:rPr>
        <w:t>sensu</w:t>
      </w:r>
      <w:r>
        <w:rPr>
          <w:rFonts w:cs="Times New Roman" w:ascii="Times New Roman" w:hAnsi="Times New Roman"/>
          <w:sz w:val="24"/>
          <w:szCs w:val="24"/>
        </w:rPr>
        <w:t xml:space="preserve"> Tobias et al. 2022) for both urbanization intensity gradient categories. </w:t>
      </w:r>
    </w:p>
    <w:p>
      <w:pPr>
        <w:pStyle w:val="Normal"/>
        <w:spacing w:lineRule="auto" w:line="360" w:before="0" w:after="0"/>
        <w:jc w:val="both"/>
        <w:rPr>
          <w:rFonts w:ascii="Times New Roman" w:hAnsi="Times New Roman" w:cs="Times New Roman"/>
          <w:sz w:val="24"/>
          <w:szCs w:val="24"/>
          <w:lang w:val="en-GB"/>
        </w:rPr>
      </w:pPr>
      <w:r>
        <w:rPr>
          <w:rFonts w:cs="Times New Roman" w:ascii="Times New Roman" w:hAnsi="Times New Roman"/>
          <w:sz w:val="24"/>
          <w:szCs w:val="24"/>
          <w:lang w:val="en-GB"/>
        </w:rPr>
      </w:r>
    </w:p>
    <w:p>
      <w:pPr>
        <w:pStyle w:val="Normal"/>
        <w:spacing w:before="0" w:after="160"/>
        <w:rPr>
          <w:lang w:val="en-GB"/>
        </w:rPr>
      </w:pPr>
      <w:r>
        <w:rPr/>
        <w:drawing>
          <wp:inline distT="0" distB="0" distL="0" distR="0">
            <wp:extent cx="5971540" cy="6257925"/>
            <wp:effectExtent l="0" t="0" r="0" b="0"/>
            <wp:docPr id="6"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 descr=""/>
                    <pic:cNvPicPr>
                      <a:picLocks noChangeAspect="1" noChangeArrowheads="1"/>
                    </pic:cNvPicPr>
                  </pic:nvPicPr>
                  <pic:blipFill>
                    <a:blip r:embed="rId8"/>
                    <a:stretch>
                      <a:fillRect/>
                    </a:stretch>
                  </pic:blipFill>
                  <pic:spPr bwMode="auto">
                    <a:xfrm>
                      <a:off x="0" y="0"/>
                      <a:ext cx="5971540" cy="6257925"/>
                    </a:xfrm>
                    <a:prstGeom prst="rect">
                      <a:avLst/>
                    </a:prstGeom>
                  </pic:spPr>
                </pic:pic>
              </a:graphicData>
            </a:graphic>
          </wp:inline>
        </w:drawing>
      </w:r>
    </w:p>
    <w:sectPr>
      <w:type w:val="nextPage"/>
      <w:pgSz w:w="12240" w:h="15840"/>
      <w:pgMar w:left="1418" w:right="1418" w:gutter="0" w:header="0" w:top="1418" w:footer="0" w:bottom="1418"/>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MX"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413e"/>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14:ligatures w14:val="standardContextual"/>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sid w:val="00b45102"/>
    <w:rPr>
      <w:i/>
      <w:iCs/>
    </w:rPr>
  </w:style>
  <w:style w:type="character" w:styleId="Hyperlink">
    <w:name w:val="Hyperlink"/>
    <w:basedOn w:val="DefaultParagraphFont"/>
    <w:uiPriority w:val="99"/>
    <w:unhideWhenUsed/>
    <w:rsid w:val="00b45102"/>
    <w:rPr>
      <w:color w:themeColor="hyperlink" w:val="0563C1"/>
      <w:u w:val="single"/>
    </w:rPr>
  </w:style>
  <w:style w:type="paragraph" w:styleId="Heading">
    <w:name w:val="Heading"/>
    <w:basedOn w:val="Normal"/>
    <w:next w:val="BodyText"/>
    <w:qFormat/>
    <w:pPr>
      <w:keepNext w:val="true"/>
      <w:spacing w:before="240" w:after="120"/>
    </w:pPr>
    <w:rPr>
      <w:rFonts w:ascii="Times New Roman" w:hAnsi="Times New Roman" w:eastAsia="Noto Sans CJK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Index">
    <w:name w:val="Index"/>
    <w:basedOn w:val="Normal"/>
    <w:qFormat/>
    <w:pPr>
      <w:suppressLineNumbers/>
    </w:pPr>
    <w:rPr>
      <w:rFonts w:ascii="Times New Roman" w:hAnsi="Times New Roman" w:cs="Lucida San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b45102"/>
    <w:pPr>
      <w:spacing w:after="0" w:line="240" w:lineRule="auto"/>
    </w:pPr>
    <w:rPr>
      <w:lang w:val="es-MX"/>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an.macgregor@helsinki.fi" TargetMode="External"/><Relationship Id="rId3" Type="http://schemas.openxmlformats.org/officeDocument/2006/relationships/image" Target="media/image1.jpe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130</TotalTime>
  <Application>LibreOffice/24.2.7.2$Linux_X86_64 LibreOffice_project/420$Build-2</Application>
  <AppVersion>15.0000</AppVersion>
  <Pages>8</Pages>
  <Words>689</Words>
  <Characters>3634</Characters>
  <CharactersWithSpaces>4177</CharactersWithSpaces>
  <Paragraphs>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2024-11-21T23:44:00Z</dcterms:created>
  <dc:creator>Michelle García</dc:creator>
  <dc:description/>
  <dc:language>en-US</dc:language>
  <cp:lastModifiedBy/>
  <dcterms:modified xsi:type="dcterms:W3CDTF">2025-01-11T19:20:40Z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23193063-2308-4da5-8cf2-0eccb09e22b9</vt:lpwstr>
  </property>
</Properties>
</file>