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87194" w14:textId="77777777" w:rsidR="007A4D4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Urban Ecosystems</w:t>
      </w:r>
    </w:p>
    <w:p w14:paraId="5569FCA0" w14:textId="77777777" w:rsidR="007A4D4D" w:rsidRDefault="00000000">
      <w:pP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Biodiversity in the City: Effects of Local and Landscape Characteristics on Ant Community in Urban Squares of Rio de Janeiro</w:t>
      </w:r>
    </w:p>
    <w:p w14:paraId="5E0D795D" w14:textId="77777777" w:rsidR="007A4D4D" w:rsidRDefault="007A4D4D">
      <w:pPr>
        <w:rPr>
          <w:rFonts w:ascii="Times New Roman" w:eastAsia="Times New Roman" w:hAnsi="Times New Roman" w:cs="Times New Roman"/>
          <w:sz w:val="24"/>
          <w:szCs w:val="24"/>
        </w:rPr>
      </w:pPr>
    </w:p>
    <w:p w14:paraId="45F5CC90" w14:textId="77777777" w:rsidR="007A4D4D" w:rsidRPr="00213C7B" w:rsidRDefault="00000000">
      <w:pPr>
        <w:rPr>
          <w:rFonts w:ascii="Times New Roman" w:eastAsia="Times New Roman" w:hAnsi="Times New Roman" w:cs="Times New Roman"/>
          <w:sz w:val="24"/>
          <w:szCs w:val="24"/>
          <w:lang w:val="pt-BR"/>
        </w:rPr>
      </w:pPr>
      <w:r w:rsidRPr="00213C7B">
        <w:rPr>
          <w:rFonts w:ascii="Times New Roman" w:eastAsia="Times New Roman" w:hAnsi="Times New Roman" w:cs="Times New Roman"/>
          <w:sz w:val="24"/>
          <w:szCs w:val="24"/>
          <w:lang w:val="pt-BR"/>
        </w:rPr>
        <w:t>Guilherme Martins Violante</w:t>
      </w:r>
      <w:r w:rsidRPr="00213C7B">
        <w:rPr>
          <w:rFonts w:ascii="Times New Roman" w:eastAsia="Times New Roman" w:hAnsi="Times New Roman" w:cs="Times New Roman"/>
          <w:sz w:val="24"/>
          <w:szCs w:val="24"/>
          <w:vertAlign w:val="superscript"/>
          <w:lang w:val="pt-BR"/>
        </w:rPr>
        <w:t>1*</w:t>
      </w:r>
      <w:r w:rsidRPr="00213C7B">
        <w:rPr>
          <w:rFonts w:ascii="Times New Roman" w:eastAsia="Times New Roman" w:hAnsi="Times New Roman" w:cs="Times New Roman"/>
          <w:sz w:val="24"/>
          <w:szCs w:val="24"/>
          <w:lang w:val="pt-BR"/>
        </w:rPr>
        <w:t>, https://orcid.org/0000-0002-9901-4765</w:t>
      </w:r>
    </w:p>
    <w:p w14:paraId="01B579BF" w14:textId="77777777" w:rsidR="007A4D4D" w:rsidRPr="00213C7B" w:rsidRDefault="00000000">
      <w:pPr>
        <w:rPr>
          <w:rFonts w:ascii="Times New Roman" w:eastAsia="Times New Roman" w:hAnsi="Times New Roman" w:cs="Times New Roman"/>
          <w:sz w:val="24"/>
          <w:szCs w:val="24"/>
          <w:lang w:val="pt-BR"/>
        </w:rPr>
      </w:pPr>
      <w:r w:rsidRPr="00213C7B">
        <w:rPr>
          <w:rFonts w:ascii="Times New Roman" w:eastAsia="Times New Roman" w:hAnsi="Times New Roman" w:cs="Times New Roman"/>
          <w:sz w:val="24"/>
          <w:szCs w:val="24"/>
          <w:lang w:val="pt-BR"/>
        </w:rPr>
        <w:t>Paula Koeler Lira</w:t>
      </w:r>
      <w:r w:rsidRPr="00213C7B">
        <w:rPr>
          <w:rFonts w:ascii="Times New Roman" w:eastAsia="Times New Roman" w:hAnsi="Times New Roman" w:cs="Times New Roman"/>
          <w:sz w:val="24"/>
          <w:szCs w:val="24"/>
          <w:vertAlign w:val="superscript"/>
          <w:lang w:val="pt-BR"/>
        </w:rPr>
        <w:t>2</w:t>
      </w:r>
      <w:r w:rsidRPr="00213C7B">
        <w:rPr>
          <w:rFonts w:ascii="Times New Roman" w:eastAsia="Times New Roman" w:hAnsi="Times New Roman" w:cs="Times New Roman"/>
          <w:sz w:val="24"/>
          <w:szCs w:val="24"/>
          <w:lang w:val="pt-BR"/>
        </w:rPr>
        <w:t>, https://orcid.org/0000-0002-4254-1054</w:t>
      </w:r>
    </w:p>
    <w:p w14:paraId="2A0C482A" w14:textId="77777777" w:rsidR="007A4D4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Jacques Hubert Charles Delabie</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https://orcid.org/0000-0002-2695-1061</w:t>
      </w:r>
    </w:p>
    <w:p w14:paraId="34393A71" w14:textId="77777777" w:rsidR="007A4D4D" w:rsidRPr="00213C7B" w:rsidRDefault="00000000">
      <w:pPr>
        <w:rPr>
          <w:rFonts w:ascii="Times New Roman" w:eastAsia="Times New Roman" w:hAnsi="Times New Roman" w:cs="Times New Roman"/>
          <w:sz w:val="24"/>
          <w:szCs w:val="24"/>
          <w:lang w:val="pt-BR"/>
        </w:rPr>
      </w:pPr>
      <w:r w:rsidRPr="00213C7B">
        <w:rPr>
          <w:rFonts w:ascii="Times New Roman" w:eastAsia="Times New Roman" w:hAnsi="Times New Roman" w:cs="Times New Roman"/>
          <w:sz w:val="24"/>
          <w:szCs w:val="24"/>
          <w:lang w:val="pt-BR"/>
        </w:rPr>
        <w:t>Jarbas Marçal Queiroz</w:t>
      </w:r>
      <w:r w:rsidRPr="00213C7B">
        <w:rPr>
          <w:rFonts w:ascii="Times New Roman" w:eastAsia="Times New Roman" w:hAnsi="Times New Roman" w:cs="Times New Roman"/>
          <w:sz w:val="24"/>
          <w:szCs w:val="24"/>
          <w:vertAlign w:val="superscript"/>
          <w:lang w:val="pt-BR"/>
        </w:rPr>
        <w:t>4</w:t>
      </w:r>
      <w:r w:rsidRPr="00213C7B">
        <w:rPr>
          <w:rFonts w:ascii="Times New Roman" w:eastAsia="Times New Roman" w:hAnsi="Times New Roman" w:cs="Times New Roman"/>
          <w:sz w:val="24"/>
          <w:szCs w:val="24"/>
          <w:lang w:val="pt-BR"/>
        </w:rPr>
        <w:t>, https://orcid.org/0000-0002-4175-1834</w:t>
      </w:r>
    </w:p>
    <w:p w14:paraId="1283E0F6" w14:textId="77777777" w:rsidR="007A4D4D" w:rsidRPr="00213C7B" w:rsidRDefault="007A4D4D">
      <w:pPr>
        <w:rPr>
          <w:rFonts w:ascii="Times New Roman" w:eastAsia="Times New Roman" w:hAnsi="Times New Roman" w:cs="Times New Roman"/>
          <w:sz w:val="24"/>
          <w:szCs w:val="24"/>
          <w:lang w:val="pt-BR"/>
        </w:rPr>
      </w:pPr>
    </w:p>
    <w:p w14:paraId="685A0406" w14:textId="77777777" w:rsidR="007A4D4D" w:rsidRPr="00213C7B" w:rsidRDefault="00000000">
      <w:pPr>
        <w:rPr>
          <w:rFonts w:ascii="Times New Roman" w:eastAsia="Times New Roman" w:hAnsi="Times New Roman" w:cs="Times New Roman"/>
          <w:sz w:val="24"/>
          <w:szCs w:val="24"/>
          <w:lang w:val="pt-BR"/>
        </w:rPr>
      </w:pPr>
      <w:r w:rsidRPr="00213C7B">
        <w:rPr>
          <w:rFonts w:ascii="Times New Roman" w:eastAsia="Times New Roman" w:hAnsi="Times New Roman" w:cs="Times New Roman"/>
          <w:sz w:val="24"/>
          <w:szCs w:val="24"/>
          <w:vertAlign w:val="superscript"/>
          <w:lang w:val="pt-BR"/>
        </w:rPr>
        <w:t>1</w:t>
      </w:r>
      <w:r w:rsidRPr="00213C7B">
        <w:rPr>
          <w:rFonts w:ascii="Times New Roman" w:eastAsia="Times New Roman" w:hAnsi="Times New Roman" w:cs="Times New Roman"/>
          <w:sz w:val="24"/>
          <w:szCs w:val="24"/>
          <w:lang w:val="pt-BR"/>
        </w:rPr>
        <w:t xml:space="preserve"> Programa de Pós-Graduação em Biologia Animal, Universidade Federal Rural do Rio de Janeiro, ICBS, Seropédica, RJ, Brazil; </w:t>
      </w:r>
    </w:p>
    <w:p w14:paraId="60593F08" w14:textId="77777777" w:rsidR="007A4D4D" w:rsidRPr="00213C7B" w:rsidRDefault="00000000">
      <w:pPr>
        <w:rPr>
          <w:rFonts w:ascii="Times New Roman" w:eastAsia="Times New Roman" w:hAnsi="Times New Roman" w:cs="Times New Roman"/>
          <w:sz w:val="24"/>
          <w:szCs w:val="24"/>
          <w:lang w:val="pt-BR"/>
        </w:rPr>
      </w:pPr>
      <w:r w:rsidRPr="00213C7B">
        <w:rPr>
          <w:rFonts w:ascii="Times New Roman" w:eastAsia="Times New Roman" w:hAnsi="Times New Roman" w:cs="Times New Roman"/>
          <w:sz w:val="24"/>
          <w:szCs w:val="24"/>
          <w:vertAlign w:val="superscript"/>
          <w:lang w:val="pt-BR"/>
        </w:rPr>
        <w:t xml:space="preserve">2 </w:t>
      </w:r>
      <w:r w:rsidRPr="00213C7B">
        <w:rPr>
          <w:rFonts w:ascii="Times New Roman" w:eastAsia="Times New Roman" w:hAnsi="Times New Roman" w:cs="Times New Roman"/>
          <w:sz w:val="24"/>
          <w:szCs w:val="24"/>
          <w:lang w:val="pt-BR"/>
        </w:rPr>
        <w:t>Pontifícia Universidade Católica do Rio de Janeiro, Departamento de Biologia, Rio de Janeiro, RJ, Brazil; </w:t>
      </w:r>
    </w:p>
    <w:p w14:paraId="5AD4027A" w14:textId="77777777" w:rsidR="007A4D4D" w:rsidRPr="00213C7B" w:rsidRDefault="00000000">
      <w:pPr>
        <w:rPr>
          <w:rFonts w:ascii="Times New Roman" w:eastAsia="Times New Roman" w:hAnsi="Times New Roman" w:cs="Times New Roman"/>
          <w:sz w:val="24"/>
          <w:szCs w:val="24"/>
          <w:lang w:val="pt-BR"/>
        </w:rPr>
      </w:pPr>
      <w:r w:rsidRPr="00213C7B">
        <w:rPr>
          <w:rFonts w:ascii="Times New Roman" w:eastAsia="Times New Roman" w:hAnsi="Times New Roman" w:cs="Times New Roman"/>
          <w:sz w:val="24"/>
          <w:szCs w:val="24"/>
          <w:vertAlign w:val="superscript"/>
          <w:lang w:val="pt-BR"/>
        </w:rPr>
        <w:t xml:space="preserve">3 </w:t>
      </w:r>
      <w:r w:rsidRPr="00213C7B">
        <w:rPr>
          <w:rFonts w:ascii="Times New Roman" w:eastAsia="Times New Roman" w:hAnsi="Times New Roman" w:cs="Times New Roman"/>
          <w:sz w:val="24"/>
          <w:szCs w:val="24"/>
          <w:lang w:val="pt-BR"/>
        </w:rPr>
        <w:t>Laboratório de Mirmecologia, CEPEC/CEPLAC, Ilhéus, BA, Brazil &amp; Departamento de Ciências Agrárias e Ambientais, Universidade Estadual de Santa Cruz, Ilhéus, BA, Brazil; </w:t>
      </w:r>
    </w:p>
    <w:p w14:paraId="126FE3BB" w14:textId="77777777" w:rsidR="007A4D4D" w:rsidRPr="00213C7B" w:rsidRDefault="00000000">
      <w:pPr>
        <w:rPr>
          <w:rFonts w:ascii="Times New Roman" w:eastAsia="Times New Roman" w:hAnsi="Times New Roman" w:cs="Times New Roman"/>
          <w:sz w:val="24"/>
          <w:szCs w:val="24"/>
          <w:lang w:val="pt-BR"/>
        </w:rPr>
      </w:pPr>
      <w:r w:rsidRPr="00213C7B">
        <w:rPr>
          <w:rFonts w:ascii="Times New Roman" w:eastAsia="Times New Roman" w:hAnsi="Times New Roman" w:cs="Times New Roman"/>
          <w:sz w:val="24"/>
          <w:szCs w:val="24"/>
          <w:vertAlign w:val="superscript"/>
          <w:lang w:val="pt-BR"/>
        </w:rPr>
        <w:t>4</w:t>
      </w:r>
      <w:r w:rsidRPr="00213C7B">
        <w:rPr>
          <w:rFonts w:ascii="Times New Roman" w:eastAsia="Times New Roman" w:hAnsi="Times New Roman" w:cs="Times New Roman"/>
          <w:sz w:val="24"/>
          <w:szCs w:val="24"/>
          <w:lang w:val="pt-BR"/>
        </w:rPr>
        <w:t xml:space="preserve"> Departamento de Ciências Ambientais, IF, Universidade Federal Rural do Rio de Janeiro, Seropédica, Rio de Janeiro, Brazil.</w:t>
      </w:r>
    </w:p>
    <w:p w14:paraId="69803581" w14:textId="77777777" w:rsidR="007A4D4D" w:rsidRPr="00213C7B" w:rsidRDefault="007A4D4D">
      <w:pPr>
        <w:rPr>
          <w:rFonts w:ascii="Times New Roman" w:eastAsia="Times New Roman" w:hAnsi="Times New Roman" w:cs="Times New Roman"/>
          <w:sz w:val="24"/>
          <w:szCs w:val="24"/>
          <w:lang w:val="pt-BR"/>
        </w:rPr>
      </w:pPr>
    </w:p>
    <w:p w14:paraId="76917505" w14:textId="77777777" w:rsidR="007A4D4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Email: gm.violante0@gmail.com (*corresponding author)</w:t>
      </w:r>
    </w:p>
    <w:p w14:paraId="454334E1" w14:textId="77777777" w:rsidR="007A4D4D" w:rsidRDefault="00000000">
      <w:pPr>
        <w:rPr>
          <w:rFonts w:ascii="Times New Roman" w:eastAsia="Times New Roman" w:hAnsi="Times New Roman" w:cs="Times New Roman"/>
          <w:b/>
          <w:bCs/>
          <w:sz w:val="24"/>
          <w:szCs w:val="24"/>
        </w:rPr>
      </w:pPr>
      <w:r>
        <w:br w:type="page"/>
      </w:r>
    </w:p>
    <w:p w14:paraId="3E508384" w14:textId="77777777" w:rsidR="007A4D4D"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Supplementary Methods S1. Selection of urban squares</w:t>
      </w:r>
    </w:p>
    <w:p w14:paraId="31D22862" w14:textId="562FED6A" w:rsidR="007A4D4D" w:rsidRDefault="00000000" w:rsidP="008F036A">
      <w:pPr>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Thirty public urban squares were selected in the city of Rio de Janeiro. The selection process was conducted as follows. Initially, urban squares with easy accessibility via public transportation and located in safe areas were chosen. Both accessibility and safety were assessed using Google Maps by checking, for example, the presence of nearby metro stations and user comments regarding safety. Subsequently, field visits were conducted to verify whether each square contained at least </w:t>
      </w:r>
      <w:r w:rsidR="008F036A" w:rsidRPr="008F036A">
        <w:rPr>
          <w:rFonts w:ascii="Times New Roman" w:eastAsia="Times New Roman" w:hAnsi="Times New Roman" w:cs="Times New Roman"/>
          <w:sz w:val="24"/>
          <w:szCs w:val="24"/>
        </w:rPr>
        <w:t>15 trees with a minimum diameter at breast height of 10 cm and spaced about 10 meters apart within each square</w:t>
      </w:r>
      <w:r>
        <w:rPr>
          <w:rFonts w:ascii="Times New Roman" w:eastAsia="Times New Roman" w:hAnsi="Times New Roman" w:cs="Times New Roman"/>
          <w:sz w:val="24"/>
          <w:szCs w:val="24"/>
        </w:rPr>
        <w:t>. The minimum distance between selected trees was established to reduce the chances of ants from the same colony being attracted to more than one sampling station. After the visits, 65 squares were identified as potential study sites.</w:t>
      </w:r>
    </w:p>
    <w:p w14:paraId="666411BD" w14:textId="76232238" w:rsidR="007A4D4D" w:rsidRDefault="00000000">
      <w:pPr>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of the 65 candidate squares, a 500</w:t>
      </w:r>
      <w:r w:rsidR="00405C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 circular buffer was generated. Within each buffer, forest cover and forest configuration were quantified using three landscape metrics: percentage of forest cover (PLAND), percentage of urban land cover (URB), and forest edge density (ED; m/ha). ED represents the sum of all forest edge lengths relative to the landscape area (m/ha) (</w:t>
      </w:r>
      <w:proofErr w:type="spellStart"/>
      <w:r>
        <w:rPr>
          <w:rFonts w:ascii="Times New Roman" w:eastAsia="Times New Roman" w:hAnsi="Times New Roman" w:cs="Times New Roman"/>
          <w:sz w:val="24"/>
          <w:szCs w:val="24"/>
        </w:rPr>
        <w:t>MacGarigal</w:t>
      </w:r>
      <w:proofErr w:type="spellEnd"/>
      <w:r>
        <w:rPr>
          <w:rFonts w:ascii="Times New Roman" w:eastAsia="Times New Roman" w:hAnsi="Times New Roman" w:cs="Times New Roman"/>
          <w:sz w:val="24"/>
          <w:szCs w:val="24"/>
        </w:rPr>
        <w:t xml:space="preserve"> and Marks 1995).</w:t>
      </w:r>
    </w:p>
    <w:p w14:paraId="6D93776B" w14:textId="5AB1B63F" w:rsidR="00405C36" w:rsidRDefault="00000000">
      <w:pPr>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select the widest possible gradient of forest cover</w:t>
      </w:r>
      <w:r w:rsidR="00405C36">
        <w:rPr>
          <w:rFonts w:ascii="Times New Roman" w:eastAsia="Times New Roman" w:hAnsi="Times New Roman" w:cs="Times New Roman"/>
          <w:sz w:val="24"/>
          <w:szCs w:val="24"/>
        </w:rPr>
        <w:t xml:space="preserve"> and fragmentation, and urban cover,</w:t>
      </w:r>
      <w:r>
        <w:rPr>
          <w:rFonts w:ascii="Times New Roman" w:eastAsia="Times New Roman" w:hAnsi="Times New Roman" w:cs="Times New Roman"/>
          <w:sz w:val="24"/>
          <w:szCs w:val="24"/>
        </w:rPr>
        <w:t xml:space="preserve"> and to avoid spatial dependence, the full distribution of PLAND, URB, and ED values was inspected, and squares occupying underrepresented portions of these gradients were prioritized for inclusion.</w:t>
      </w:r>
      <w:r w:rsidR="00405C36">
        <w:rPr>
          <w:rFonts w:ascii="Times New Roman" w:eastAsia="Times New Roman" w:hAnsi="Times New Roman" w:cs="Times New Roman"/>
          <w:sz w:val="24"/>
          <w:szCs w:val="24"/>
        </w:rPr>
        <w:t xml:space="preserve"> When candidate urban squares had overlapping 500 m buffers, the square whose metric values were more redundant relative to the gradient already assembled was excluded.</w:t>
      </w:r>
    </w:p>
    <w:p w14:paraId="0CAF532A" w14:textId="77777777" w:rsidR="007A4D4D" w:rsidRDefault="00000000">
      <w:pPr>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the 30 public squares selected were those that provided the best spatial distribution across the city and were located in landscapes with the least overlap and the greatest possible variation in terms of forest cover and configuration.</w:t>
      </w:r>
    </w:p>
    <w:p w14:paraId="3D161B9E" w14:textId="77777777" w:rsidR="007A4D4D" w:rsidRDefault="007A4D4D">
      <w:pPr>
        <w:spacing w:line="240" w:lineRule="auto"/>
        <w:jc w:val="both"/>
        <w:rPr>
          <w:rFonts w:ascii="Times New Roman" w:eastAsia="Times New Roman" w:hAnsi="Times New Roman" w:cs="Times New Roman"/>
          <w:sz w:val="24"/>
          <w:szCs w:val="24"/>
        </w:rPr>
      </w:pPr>
    </w:p>
    <w:p w14:paraId="142E606E" w14:textId="77777777" w:rsidR="007A4D4D"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Methods S2. Selection of landscape scale</w:t>
      </w:r>
    </w:p>
    <w:p w14:paraId="5236223E" w14:textId="77777777" w:rsidR="007A4D4D" w:rsidRDefault="00000000">
      <w:pPr>
        <w:spacing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Before fitting the local and landscape models used to assess the diversity of native ants, native functional groups, and </w:t>
      </w:r>
      <w:r>
        <w:rPr>
          <w:rFonts w:ascii="Times New Roman" w:eastAsia="Times New Roman" w:hAnsi="Times New Roman" w:cs="Times New Roman"/>
          <w:sz w:val="24"/>
          <w:szCs w:val="24"/>
        </w:rPr>
        <w:t xml:space="preserve">non-native </w:t>
      </w:r>
      <w:r>
        <w:rPr>
          <w:rFonts w:ascii="Times New Roman" w:eastAsia="Times New Roman" w:hAnsi="Times New Roman" w:cs="Times New Roman"/>
          <w:color w:val="000000"/>
          <w:sz w:val="24"/>
          <w:szCs w:val="24"/>
        </w:rPr>
        <w:t xml:space="preserve">species, we perform </w:t>
      </w:r>
      <w:r>
        <w:rPr>
          <w:rFonts w:ascii="Times New Roman" w:eastAsia="Times New Roman" w:hAnsi="Times New Roman" w:cs="Times New Roman"/>
          <w:sz w:val="24"/>
          <w:szCs w:val="24"/>
        </w:rPr>
        <w:t>a scale-of-effect</w:t>
      </w:r>
      <w:r>
        <w:rPr>
          <w:rFonts w:ascii="Times New Roman" w:eastAsia="Times New Roman" w:hAnsi="Times New Roman" w:cs="Times New Roman"/>
          <w:color w:val="4472C4"/>
          <w:sz w:val="24"/>
          <w:szCs w:val="24"/>
        </w:rPr>
        <w:t xml:space="preserve"> </w:t>
      </w:r>
      <w:r>
        <w:rPr>
          <w:rFonts w:ascii="Times New Roman" w:eastAsia="Times New Roman" w:hAnsi="Times New Roman" w:cs="Times New Roman"/>
          <w:sz w:val="24"/>
          <w:szCs w:val="24"/>
        </w:rPr>
        <w:t xml:space="preserve">analysis </w:t>
      </w:r>
      <w:r>
        <w:rPr>
          <w:rFonts w:ascii="Times New Roman" w:eastAsia="Times New Roman" w:hAnsi="Times New Roman" w:cs="Times New Roman"/>
          <w:color w:val="000000"/>
          <w:sz w:val="24"/>
          <w:szCs w:val="24"/>
        </w:rPr>
        <w:t xml:space="preserve">to identify </w:t>
      </w:r>
      <w:r>
        <w:rPr>
          <w:rFonts w:ascii="Times New Roman" w:eastAsia="Times New Roman" w:hAnsi="Times New Roman" w:cs="Times New Roman"/>
          <w:sz w:val="24"/>
          <w:szCs w:val="24"/>
        </w:rPr>
        <w:t>the most appropriate spatial extent for each response variable</w:t>
      </w:r>
      <w:r>
        <w:rPr>
          <w:rFonts w:ascii="Times New Roman" w:eastAsia="Times New Roman" w:hAnsi="Times New Roman" w:cs="Times New Roman"/>
          <w:color w:val="000000"/>
          <w:sz w:val="24"/>
          <w:szCs w:val="24"/>
        </w:rPr>
        <w:t xml:space="preserve">. To do so, we applied the </w:t>
      </w:r>
      <w:proofErr w:type="spellStart"/>
      <w:r>
        <w:rPr>
          <w:rFonts w:ascii="Times New Roman" w:eastAsia="Times New Roman" w:hAnsi="Times New Roman" w:cs="Times New Roman"/>
          <w:i/>
          <w:iCs/>
          <w:color w:val="000000"/>
          <w:sz w:val="24"/>
          <w:szCs w:val="24"/>
        </w:rPr>
        <w:t>multifit</w:t>
      </w:r>
      <w:proofErr w:type="spellEnd"/>
      <w:r>
        <w:rPr>
          <w:rFonts w:ascii="Times New Roman" w:eastAsia="Times New Roman" w:hAnsi="Times New Roman" w:cs="Times New Roman"/>
          <w:color w:val="000000"/>
          <w:sz w:val="24"/>
          <w:szCs w:val="24"/>
        </w:rPr>
        <w:t xml:space="preserve"> function (R package </w:t>
      </w:r>
      <w:proofErr w:type="spellStart"/>
      <w:r>
        <w:rPr>
          <w:rFonts w:ascii="Times New Roman" w:eastAsia="Times New Roman" w:hAnsi="Times New Roman" w:cs="Times New Roman"/>
          <w:color w:val="000000"/>
          <w:sz w:val="24"/>
          <w:szCs w:val="24"/>
        </w:rPr>
        <w:t>multifit</w:t>
      </w:r>
      <w:proofErr w:type="spellEnd"/>
      <w:r>
        <w:rPr>
          <w:rFonts w:ascii="Times New Roman" w:eastAsia="Times New Roman" w:hAnsi="Times New Roman" w:cs="Times New Roman"/>
          <w:color w:val="000000"/>
          <w:sz w:val="24"/>
          <w:szCs w:val="24"/>
        </w:rPr>
        <w:t>), which automates the procedure by fitting comparable models across multiple buffer sizes of the same landscape metric and selecting the spatial scale with the lowest Akaike Information Criterion (AIC).</w:t>
      </w:r>
    </w:p>
    <w:p w14:paraId="01CC8CE7" w14:textId="77777777" w:rsidR="007A4D4D" w:rsidRDefault="00000000">
      <w:pPr>
        <w:spacing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each response variable, </w:t>
      </w:r>
      <w:proofErr w:type="spellStart"/>
      <w:r>
        <w:rPr>
          <w:rFonts w:ascii="Times New Roman" w:eastAsia="Times New Roman" w:hAnsi="Times New Roman" w:cs="Times New Roman"/>
          <w:i/>
          <w:iCs/>
          <w:color w:val="000000"/>
          <w:sz w:val="24"/>
          <w:szCs w:val="24"/>
        </w:rPr>
        <w:t>multifit</w:t>
      </w:r>
      <w:proofErr w:type="spellEnd"/>
      <w:r>
        <w:rPr>
          <w:rFonts w:ascii="Times New Roman" w:eastAsia="Times New Roman" w:hAnsi="Times New Roman" w:cs="Times New Roman"/>
          <w:color w:val="000000"/>
          <w:sz w:val="24"/>
          <w:szCs w:val="24"/>
        </w:rPr>
        <w:t xml:space="preserve"> was used to fit models including the FOR, ED, and URB metrics measured at 200, 250, and 500 m radii. All models were fitted using the same statistical structure (linear models with G</w:t>
      </w:r>
      <w:r>
        <w:rPr>
          <w:rFonts w:ascii="Times New Roman" w:eastAsia="Times New Roman" w:hAnsi="Times New Roman" w:cs="Times New Roman"/>
          <w:sz w:val="24"/>
          <w:szCs w:val="24"/>
        </w:rPr>
        <w:t>amma</w:t>
      </w:r>
      <w:r>
        <w:rPr>
          <w:rFonts w:ascii="Times New Roman" w:eastAsia="Times New Roman" w:hAnsi="Times New Roman" w:cs="Times New Roman"/>
          <w:color w:val="000000"/>
          <w:sz w:val="24"/>
          <w:szCs w:val="24"/>
        </w:rPr>
        <w:t xml:space="preserve"> errors), and the Akaike Information Criterion (AIC) was used as the selection criterion. For each metric, the function identifies the radius at which model support is maximized (i.e., the minimum AIC), which is then retained as the scale of effect for subsequent analyses.</w:t>
      </w:r>
      <w:r>
        <w:br w:type="page"/>
      </w:r>
    </w:p>
    <w:tbl>
      <w:tblPr>
        <w:tblStyle w:val="a"/>
        <w:tblW w:w="9074" w:type="dxa"/>
        <w:tblBorders>
          <w:top w:val="nil"/>
          <w:left w:val="nil"/>
          <w:bottom w:val="nil"/>
          <w:right w:val="nil"/>
          <w:insideH w:val="nil"/>
          <w:insideV w:val="nil"/>
        </w:tblBorders>
        <w:tblLayout w:type="fixed"/>
        <w:tblLook w:val="0400" w:firstRow="0" w:lastRow="0" w:firstColumn="0" w:lastColumn="0" w:noHBand="0" w:noVBand="1"/>
      </w:tblPr>
      <w:tblGrid>
        <w:gridCol w:w="4537"/>
        <w:gridCol w:w="4537"/>
      </w:tblGrid>
      <w:tr w:rsidR="007A4D4D" w14:paraId="246039C2" w14:textId="77777777">
        <w:tc>
          <w:tcPr>
            <w:tcW w:w="4537" w:type="dxa"/>
          </w:tcPr>
          <w:p w14:paraId="1F462E5F" w14:textId="77777777" w:rsidR="007A4D4D" w:rsidRDefault="00000000">
            <w:pPr>
              <w:tabs>
                <w:tab w:val="left" w:pos="790"/>
              </w:tabs>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(a)</w:t>
            </w:r>
            <w:r>
              <w:rPr>
                <w:b/>
                <w:bCs/>
                <w:noProof/>
              </w:rPr>
              <w:drawing>
                <wp:inline distT="0" distB="0" distL="0" distR="0" wp14:anchorId="2249FCD4" wp14:editId="0B751A13">
                  <wp:extent cx="2702901" cy="3600000"/>
                  <wp:effectExtent l="0" t="0" r="0" b="0"/>
                  <wp:docPr id="206594377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702901" cy="3600000"/>
                          </a:xfrm>
                          <a:prstGeom prst="rect">
                            <a:avLst/>
                          </a:prstGeom>
                          <a:ln/>
                        </pic:spPr>
                      </pic:pic>
                    </a:graphicData>
                  </a:graphic>
                </wp:inline>
              </w:drawing>
            </w:r>
          </w:p>
        </w:tc>
        <w:tc>
          <w:tcPr>
            <w:tcW w:w="4537" w:type="dxa"/>
          </w:tcPr>
          <w:p w14:paraId="626DABAF" w14:textId="77777777" w:rsidR="007A4D4D" w:rsidRDefault="00000000">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w:t>
            </w:r>
            <w:r>
              <w:rPr>
                <w:b/>
                <w:bCs/>
              </w:rPr>
              <w:t xml:space="preserve"> </w:t>
            </w:r>
            <w:r>
              <w:rPr>
                <w:b/>
                <w:bCs/>
                <w:noProof/>
              </w:rPr>
              <w:drawing>
                <wp:inline distT="0" distB="0" distL="0" distR="0" wp14:anchorId="26760234" wp14:editId="183F3A51">
                  <wp:extent cx="2702901" cy="3600000"/>
                  <wp:effectExtent l="0" t="0" r="0" b="0"/>
                  <wp:docPr id="206594377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2702901" cy="3600000"/>
                          </a:xfrm>
                          <a:prstGeom prst="rect">
                            <a:avLst/>
                          </a:prstGeom>
                          <a:ln/>
                        </pic:spPr>
                      </pic:pic>
                    </a:graphicData>
                  </a:graphic>
                </wp:inline>
              </w:drawing>
            </w:r>
          </w:p>
        </w:tc>
      </w:tr>
    </w:tbl>
    <w:p w14:paraId="1A949182" w14:textId="77777777" w:rsidR="007A4D4D" w:rsidRDefault="007A4D4D">
      <w:pPr>
        <w:spacing w:line="240" w:lineRule="auto"/>
        <w:jc w:val="both"/>
        <w:rPr>
          <w:rFonts w:ascii="Times New Roman" w:eastAsia="Times New Roman" w:hAnsi="Times New Roman" w:cs="Times New Roman"/>
          <w:color w:val="000000"/>
          <w:sz w:val="20"/>
          <w:szCs w:val="20"/>
        </w:rPr>
      </w:pPr>
    </w:p>
    <w:p w14:paraId="509EED62" w14:textId="77777777" w:rsidR="007A4D4D" w:rsidRDefault="00000000">
      <w:pPr>
        <w:spacing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Fig. S1</w:t>
      </w:r>
      <w:r>
        <w:rPr>
          <w:rFonts w:ascii="Times New Roman" w:eastAsia="Times New Roman" w:hAnsi="Times New Roman" w:cs="Times New Roman"/>
          <w:color w:val="000000"/>
          <w:sz w:val="20"/>
          <w:szCs w:val="20"/>
        </w:rPr>
        <w:t xml:space="preserve"> Ants were sampled using sardine baits placed: </w:t>
      </w:r>
      <w:r>
        <w:rPr>
          <w:rFonts w:ascii="Times New Roman" w:eastAsia="Times New Roman" w:hAnsi="Times New Roman" w:cs="Times New Roman"/>
          <w:b/>
          <w:bCs/>
          <w:color w:val="000000"/>
          <w:sz w:val="20"/>
          <w:szCs w:val="20"/>
        </w:rPr>
        <w:t>(a)</w:t>
      </w:r>
      <w:r>
        <w:rPr>
          <w:rFonts w:ascii="Times New Roman" w:eastAsia="Times New Roman" w:hAnsi="Times New Roman" w:cs="Times New Roman"/>
          <w:color w:val="000000"/>
          <w:sz w:val="20"/>
          <w:szCs w:val="20"/>
        </w:rPr>
        <w:t xml:space="preserve"> on the ground, one meter away from the tree and on top of a napkin; and </w:t>
      </w:r>
      <w:r>
        <w:rPr>
          <w:rFonts w:ascii="Times New Roman" w:eastAsia="Times New Roman" w:hAnsi="Times New Roman" w:cs="Times New Roman"/>
          <w:b/>
          <w:bCs/>
          <w:color w:val="000000"/>
          <w:sz w:val="20"/>
          <w:szCs w:val="20"/>
        </w:rPr>
        <w:t>(b)</w:t>
      </w:r>
      <w:r>
        <w:rPr>
          <w:rFonts w:ascii="Times New Roman" w:eastAsia="Times New Roman" w:hAnsi="Times New Roman" w:cs="Times New Roman"/>
          <w:color w:val="000000"/>
          <w:sz w:val="20"/>
          <w:szCs w:val="20"/>
        </w:rPr>
        <w:t xml:space="preserve"> on the tree trunk at breast height. Each sampling point included two ground baits, spaced at least one meter apart, and two trunk baits placed on opposite sides of the tree.</w:t>
      </w:r>
    </w:p>
    <w:p w14:paraId="7C05BB8A" w14:textId="77777777" w:rsidR="007A4D4D" w:rsidRDefault="007A4D4D">
      <w:pPr>
        <w:pBdr>
          <w:top w:val="nil"/>
          <w:left w:val="nil"/>
          <w:bottom w:val="nil"/>
          <w:right w:val="nil"/>
          <w:between w:val="nil"/>
        </w:pBdr>
        <w:spacing w:before="240" w:after="240" w:line="240" w:lineRule="auto"/>
        <w:ind w:firstLine="720"/>
        <w:jc w:val="both"/>
        <w:rPr>
          <w:rFonts w:ascii="Times New Roman" w:eastAsia="Times New Roman" w:hAnsi="Times New Roman" w:cs="Times New Roman"/>
          <w:color w:val="000000"/>
          <w:sz w:val="24"/>
          <w:szCs w:val="24"/>
        </w:rPr>
      </w:pPr>
    </w:p>
    <w:p w14:paraId="02F88F67" w14:textId="77777777" w:rsidR="007A4D4D" w:rsidRDefault="007A4D4D">
      <w:pPr>
        <w:spacing w:line="240" w:lineRule="auto"/>
        <w:jc w:val="both"/>
        <w:rPr>
          <w:rFonts w:ascii="Times New Roman" w:eastAsia="Times New Roman" w:hAnsi="Times New Roman" w:cs="Times New Roman"/>
          <w:sz w:val="24"/>
          <w:szCs w:val="24"/>
        </w:rPr>
      </w:pPr>
    </w:p>
    <w:p w14:paraId="14A2160C" w14:textId="77777777" w:rsidR="007A4D4D" w:rsidRDefault="007A4D4D">
      <w:pPr>
        <w:spacing w:line="240" w:lineRule="auto"/>
        <w:jc w:val="both"/>
        <w:rPr>
          <w:rFonts w:ascii="Times New Roman" w:eastAsia="Times New Roman" w:hAnsi="Times New Roman" w:cs="Times New Roman"/>
          <w:b/>
          <w:bCs/>
          <w:sz w:val="24"/>
          <w:szCs w:val="24"/>
        </w:rPr>
      </w:pPr>
    </w:p>
    <w:p w14:paraId="2934839C" w14:textId="77777777" w:rsidR="007A4D4D" w:rsidRDefault="007A4D4D"/>
    <w:p w14:paraId="5EA9B975" w14:textId="77777777" w:rsidR="007A4D4D" w:rsidRDefault="00000000">
      <w:r>
        <w:rPr>
          <w:noProof/>
        </w:rPr>
        <w:lastRenderedPageBreak/>
        <w:drawing>
          <wp:inline distT="0" distB="0" distL="0" distR="0" wp14:anchorId="4CACFC75" wp14:editId="235DF5D6">
            <wp:extent cx="5401945" cy="4670425"/>
            <wp:effectExtent l="0" t="0" r="0" b="0"/>
            <wp:docPr id="206594377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401945" cy="4670425"/>
                    </a:xfrm>
                    <a:prstGeom prst="rect">
                      <a:avLst/>
                    </a:prstGeom>
                    <a:ln/>
                  </pic:spPr>
                </pic:pic>
              </a:graphicData>
            </a:graphic>
          </wp:inline>
        </w:drawing>
      </w:r>
    </w:p>
    <w:p w14:paraId="303CA9C7" w14:textId="77777777" w:rsidR="007A4D4D" w:rsidRDefault="00000000">
      <w:pPr>
        <w:jc w:val="both"/>
        <w:rPr>
          <w:sz w:val="20"/>
          <w:szCs w:val="20"/>
        </w:rPr>
      </w:pPr>
      <w:r>
        <w:rPr>
          <w:rFonts w:ascii="Times New Roman" w:eastAsia="Times New Roman" w:hAnsi="Times New Roman" w:cs="Times New Roman"/>
          <w:b/>
          <w:bCs/>
          <w:sz w:val="20"/>
          <w:szCs w:val="20"/>
        </w:rPr>
        <w:t>Fig. S2</w:t>
      </w:r>
      <w:r>
        <w:rPr>
          <w:rFonts w:ascii="Times New Roman" w:eastAsia="Times New Roman" w:hAnsi="Times New Roman" w:cs="Times New Roman"/>
          <w:sz w:val="20"/>
          <w:szCs w:val="20"/>
        </w:rPr>
        <w:t xml:space="preserve"> Correlation matrix between the local and landscape predictors. </w:t>
      </w:r>
      <w:proofErr w:type="spellStart"/>
      <w:r>
        <w:rPr>
          <w:rFonts w:ascii="Times New Roman" w:eastAsia="Times New Roman" w:hAnsi="Times New Roman" w:cs="Times New Roman"/>
          <w:sz w:val="20"/>
          <w:szCs w:val="20"/>
        </w:rPr>
        <w:t>Lixeiras</w:t>
      </w:r>
      <w:proofErr w:type="spellEnd"/>
      <w:r>
        <w:rPr>
          <w:rFonts w:ascii="Times New Roman" w:eastAsia="Times New Roman" w:hAnsi="Times New Roman" w:cs="Times New Roman"/>
          <w:sz w:val="20"/>
          <w:szCs w:val="20"/>
        </w:rPr>
        <w:t xml:space="preserve"> - trash bin density; dossel – percentage of canopy cover; </w:t>
      </w:r>
      <w:proofErr w:type="spellStart"/>
      <w:r>
        <w:rPr>
          <w:rFonts w:ascii="Times New Roman" w:eastAsia="Times New Roman" w:hAnsi="Times New Roman" w:cs="Times New Roman"/>
          <w:sz w:val="20"/>
          <w:szCs w:val="20"/>
        </w:rPr>
        <w:t>dap_total</w:t>
      </w:r>
      <w:proofErr w:type="spellEnd"/>
      <w:r>
        <w:rPr>
          <w:rFonts w:ascii="Times New Roman" w:eastAsia="Times New Roman" w:hAnsi="Times New Roman" w:cs="Times New Roman"/>
          <w:sz w:val="20"/>
          <w:szCs w:val="20"/>
        </w:rPr>
        <w:t xml:space="preserve"> - diameter at breast height of trees; ed_500m - edge density with 500 m buffer; ed_250 m - edge density with 250 m buffer; ed_200m - edge density with 200 m buffer; pland_500m - percentage of forest cover with 500 m buffer; pland_250 m - percentage of forest cover with 250 m buffer; </w:t>
      </w:r>
      <w:proofErr w:type="spellStart"/>
      <w:r>
        <w:rPr>
          <w:rFonts w:ascii="Times New Roman" w:eastAsia="Times New Roman" w:hAnsi="Times New Roman" w:cs="Times New Roman"/>
          <w:sz w:val="20"/>
          <w:szCs w:val="20"/>
        </w:rPr>
        <w:t>pland</w:t>
      </w:r>
      <w:proofErr w:type="spellEnd"/>
      <w:r>
        <w:rPr>
          <w:rFonts w:ascii="Times New Roman" w:eastAsia="Times New Roman" w:hAnsi="Times New Roman" w:cs="Times New Roman"/>
          <w:sz w:val="20"/>
          <w:szCs w:val="20"/>
        </w:rPr>
        <w:t xml:space="preserve"> _200m - percentage of forest cover with 200 m buffer; urb_500 m percentage of urban cover with 500 m buffer; urb_250m - percentage of urban cover with 250 m buffer; urb_200m - percentage of urban cover with 500 m buffer. Darker blue and red indicates strong negative and positive correlations, respectively.</w:t>
      </w:r>
    </w:p>
    <w:sectPr w:rsidR="007A4D4D" w:rsidSect="00213C7B">
      <w:pgSz w:w="11906" w:h="16838"/>
      <w:pgMar w:top="1701" w:right="1134" w:bottom="1134" w:left="1701" w:header="706" w:footer="706"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1A666520-E643-476C-97B9-CEEE7609085A}"/>
    <w:embedBold r:id="rId2" w:fontKey="{50D7943B-0803-4DB4-BD22-A95E1D868382}"/>
    <w:embedItalic r:id="rId3" w:fontKey="{E645D486-9531-40DB-98FD-4738D2D688F6}"/>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A995CCA4-FD17-4D2D-948C-5ADD998CC437}"/>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D4D"/>
    <w:rsid w:val="001E02D6"/>
    <w:rsid w:val="00213C7B"/>
    <w:rsid w:val="003006A8"/>
    <w:rsid w:val="00405C36"/>
    <w:rsid w:val="007A4D4D"/>
    <w:rsid w:val="008F036A"/>
    <w:rsid w:val="00E07D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6D72"/>
  <w15:docId w15:val="{F090E6C0-C19F-471E-A58C-4D78AA7DE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E54B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B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B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E54B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B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B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B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B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B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B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B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BD2"/>
    <w:rPr>
      <w:rFonts w:eastAsiaTheme="majorEastAsia" w:cstheme="majorBidi"/>
      <w:color w:val="272727" w:themeColor="text1" w:themeTint="D8"/>
    </w:rPr>
  </w:style>
  <w:style w:type="character" w:customStyle="1" w:styleId="TitleChar">
    <w:name w:val="Title Char"/>
    <w:basedOn w:val="DefaultParagraphFont"/>
    <w:link w:val="Title"/>
    <w:uiPriority w:val="10"/>
    <w:rsid w:val="00E54BD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54B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BD2"/>
    <w:pPr>
      <w:spacing w:before="160"/>
      <w:jc w:val="center"/>
    </w:pPr>
    <w:rPr>
      <w:i/>
      <w:iCs/>
      <w:color w:val="404040" w:themeColor="text1" w:themeTint="BF"/>
    </w:rPr>
  </w:style>
  <w:style w:type="character" w:customStyle="1" w:styleId="QuoteChar">
    <w:name w:val="Quote Char"/>
    <w:basedOn w:val="DefaultParagraphFont"/>
    <w:link w:val="Quote"/>
    <w:uiPriority w:val="29"/>
    <w:rsid w:val="00E54BD2"/>
    <w:rPr>
      <w:i/>
      <w:iCs/>
      <w:color w:val="404040" w:themeColor="text1" w:themeTint="BF"/>
    </w:rPr>
  </w:style>
  <w:style w:type="paragraph" w:styleId="ListParagraph">
    <w:name w:val="List Paragraph"/>
    <w:basedOn w:val="Normal"/>
    <w:uiPriority w:val="34"/>
    <w:qFormat/>
    <w:rsid w:val="00E54BD2"/>
    <w:pPr>
      <w:ind w:left="720"/>
      <w:contextualSpacing/>
    </w:pPr>
  </w:style>
  <w:style w:type="character" w:styleId="IntenseEmphasis">
    <w:name w:val="Intense Emphasis"/>
    <w:basedOn w:val="DefaultParagraphFont"/>
    <w:uiPriority w:val="21"/>
    <w:qFormat/>
    <w:rsid w:val="00E54BD2"/>
    <w:rPr>
      <w:i/>
      <w:iCs/>
      <w:color w:val="2F5496" w:themeColor="accent1" w:themeShade="BF"/>
    </w:rPr>
  </w:style>
  <w:style w:type="paragraph" w:styleId="IntenseQuote">
    <w:name w:val="Intense Quote"/>
    <w:basedOn w:val="Normal"/>
    <w:next w:val="Normal"/>
    <w:link w:val="IntenseQuoteChar"/>
    <w:uiPriority w:val="30"/>
    <w:qFormat/>
    <w:rsid w:val="00E54B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BD2"/>
    <w:rPr>
      <w:i/>
      <w:iCs/>
      <w:color w:val="2F5496" w:themeColor="accent1" w:themeShade="BF"/>
    </w:rPr>
  </w:style>
  <w:style w:type="character" w:styleId="IntenseReference">
    <w:name w:val="Intense Reference"/>
    <w:basedOn w:val="DefaultParagraphFont"/>
    <w:uiPriority w:val="32"/>
    <w:qFormat/>
    <w:rsid w:val="00E54BD2"/>
    <w:rPr>
      <w:b/>
      <w:bCs/>
      <w:smallCaps/>
      <w:color w:val="2F5496" w:themeColor="accent1" w:themeShade="BF"/>
      <w:spacing w:val="5"/>
    </w:rPr>
  </w:style>
  <w:style w:type="table" w:customStyle="1" w:styleId="TableNormal1">
    <w:name w:val="Table Normal1"/>
    <w:rsid w:val="00E54BD2"/>
    <w:tblPr>
      <w:tblCellMar>
        <w:top w:w="0" w:type="dxa"/>
        <w:left w:w="0" w:type="dxa"/>
        <w:bottom w:w="0" w:type="dxa"/>
        <w:right w:w="0" w:type="dxa"/>
      </w:tblCellMar>
    </w:tblPr>
  </w:style>
  <w:style w:type="character" w:styleId="Hyperlink">
    <w:name w:val="Hyperlink"/>
    <w:uiPriority w:val="99"/>
    <w:unhideWhenUsed/>
    <w:rsid w:val="00E54BD2"/>
    <w:rPr>
      <w:color w:val="0000FF"/>
      <w:u w:val="single"/>
    </w:rPr>
  </w:style>
  <w:style w:type="character" w:styleId="CommentReference">
    <w:name w:val="annotation reference"/>
    <w:basedOn w:val="DefaultParagraphFont"/>
    <w:uiPriority w:val="99"/>
    <w:semiHidden/>
    <w:unhideWhenUsed/>
    <w:rsid w:val="00E54BD2"/>
    <w:rPr>
      <w:sz w:val="16"/>
      <w:szCs w:val="16"/>
    </w:rPr>
  </w:style>
  <w:style w:type="paragraph" w:styleId="CommentText">
    <w:name w:val="annotation text"/>
    <w:basedOn w:val="Normal"/>
    <w:link w:val="CommentTextChar"/>
    <w:uiPriority w:val="99"/>
    <w:unhideWhenUsed/>
    <w:rsid w:val="00E54BD2"/>
    <w:pPr>
      <w:spacing w:line="240" w:lineRule="auto"/>
    </w:pPr>
    <w:rPr>
      <w:sz w:val="20"/>
      <w:szCs w:val="20"/>
    </w:rPr>
  </w:style>
  <w:style w:type="character" w:customStyle="1" w:styleId="CommentTextChar">
    <w:name w:val="Comment Text Char"/>
    <w:basedOn w:val="DefaultParagraphFont"/>
    <w:link w:val="CommentText"/>
    <w:uiPriority w:val="99"/>
    <w:rsid w:val="00E54BD2"/>
    <w:rPr>
      <w:rFonts w:ascii="Calibri" w:eastAsia="Calibri" w:hAnsi="Calibri" w:cs="Calibri"/>
      <w:kern w:val="0"/>
      <w:sz w:val="20"/>
      <w:szCs w:val="20"/>
      <w:lang w:val="en-US" w:eastAsia="pt-BR"/>
    </w:rPr>
  </w:style>
  <w:style w:type="paragraph" w:styleId="CommentSubject">
    <w:name w:val="annotation subject"/>
    <w:basedOn w:val="CommentText"/>
    <w:next w:val="CommentText"/>
    <w:link w:val="CommentSubjectChar"/>
    <w:uiPriority w:val="99"/>
    <w:semiHidden/>
    <w:unhideWhenUsed/>
    <w:rsid w:val="00E54BD2"/>
    <w:rPr>
      <w:b/>
      <w:bCs/>
    </w:rPr>
  </w:style>
  <w:style w:type="character" w:customStyle="1" w:styleId="CommentSubjectChar">
    <w:name w:val="Comment Subject Char"/>
    <w:basedOn w:val="CommentTextChar"/>
    <w:link w:val="CommentSubject"/>
    <w:uiPriority w:val="99"/>
    <w:semiHidden/>
    <w:rsid w:val="00E54BD2"/>
    <w:rPr>
      <w:rFonts w:ascii="Calibri" w:eastAsia="Calibri" w:hAnsi="Calibri" w:cs="Calibri"/>
      <w:b/>
      <w:bCs/>
      <w:kern w:val="0"/>
      <w:sz w:val="20"/>
      <w:szCs w:val="20"/>
      <w:lang w:val="en-US" w:eastAsia="pt-BR"/>
    </w:rPr>
  </w:style>
  <w:style w:type="paragraph" w:styleId="Header">
    <w:name w:val="header"/>
    <w:basedOn w:val="Normal"/>
    <w:link w:val="HeaderChar"/>
    <w:uiPriority w:val="99"/>
    <w:unhideWhenUsed/>
    <w:rsid w:val="00E54BD2"/>
    <w:pPr>
      <w:tabs>
        <w:tab w:val="center" w:pos="4252"/>
        <w:tab w:val="right" w:pos="8504"/>
      </w:tabs>
      <w:spacing w:after="0" w:line="240" w:lineRule="auto"/>
    </w:pPr>
  </w:style>
  <w:style w:type="character" w:customStyle="1" w:styleId="HeaderChar">
    <w:name w:val="Header Char"/>
    <w:basedOn w:val="DefaultParagraphFont"/>
    <w:link w:val="Header"/>
    <w:uiPriority w:val="99"/>
    <w:rsid w:val="00E54BD2"/>
    <w:rPr>
      <w:rFonts w:ascii="Calibri" w:eastAsia="Calibri" w:hAnsi="Calibri" w:cs="Calibri"/>
      <w:kern w:val="0"/>
      <w:lang w:val="en-US" w:eastAsia="pt-BR"/>
    </w:rPr>
  </w:style>
  <w:style w:type="paragraph" w:styleId="Footer">
    <w:name w:val="footer"/>
    <w:basedOn w:val="Normal"/>
    <w:link w:val="FooterChar"/>
    <w:uiPriority w:val="99"/>
    <w:unhideWhenUsed/>
    <w:rsid w:val="00E54BD2"/>
    <w:pPr>
      <w:tabs>
        <w:tab w:val="center" w:pos="4252"/>
        <w:tab w:val="right" w:pos="8504"/>
      </w:tabs>
      <w:spacing w:after="0" w:line="240" w:lineRule="auto"/>
    </w:pPr>
  </w:style>
  <w:style w:type="character" w:customStyle="1" w:styleId="FooterChar">
    <w:name w:val="Footer Char"/>
    <w:basedOn w:val="DefaultParagraphFont"/>
    <w:link w:val="Footer"/>
    <w:uiPriority w:val="99"/>
    <w:rsid w:val="00E54BD2"/>
    <w:rPr>
      <w:rFonts w:ascii="Calibri" w:eastAsia="Calibri" w:hAnsi="Calibri" w:cs="Calibri"/>
      <w:kern w:val="0"/>
      <w:lang w:val="en-US" w:eastAsia="pt-BR"/>
    </w:rPr>
  </w:style>
  <w:style w:type="paragraph" w:styleId="NormalWeb">
    <w:name w:val="Normal (Web)"/>
    <w:basedOn w:val="Normal"/>
    <w:uiPriority w:val="99"/>
    <w:unhideWhenUsed/>
    <w:rsid w:val="00E54BD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54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4BD2"/>
    <w:rPr>
      <w:color w:val="0563C1"/>
      <w:u w:val="single"/>
    </w:rPr>
  </w:style>
  <w:style w:type="paragraph" w:customStyle="1" w:styleId="msonormal0">
    <w:name w:val="msonormal"/>
    <w:basedOn w:val="Normal"/>
    <w:rsid w:val="00E54B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54B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E54BD2"/>
    <w:pPr>
      <w:pBdr>
        <w:bottom w:val="single" w:sz="4" w:space="0" w:color="8EA9DB"/>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E54BD2"/>
    <w:pPr>
      <w:pBdr>
        <w:bottom w:val="single" w:sz="4" w:space="0" w:color="8EA9DB"/>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ormal"/>
    <w:rsid w:val="00E54BD2"/>
    <w:pPr>
      <w:spacing w:before="100" w:beforeAutospacing="1" w:after="100" w:afterAutospacing="1" w:line="240" w:lineRule="auto"/>
      <w:ind w:firstLineChars="100" w:firstLine="100"/>
    </w:pPr>
    <w:rPr>
      <w:rFonts w:ascii="Times New Roman" w:eastAsia="Times New Roman" w:hAnsi="Times New Roman" w:cs="Times New Roman"/>
      <w:b/>
      <w:bCs/>
      <w:sz w:val="24"/>
      <w:szCs w:val="24"/>
    </w:rPr>
  </w:style>
  <w:style w:type="paragraph" w:customStyle="1" w:styleId="xl69">
    <w:name w:val="xl69"/>
    <w:basedOn w:val="Normal"/>
    <w:rsid w:val="00E54BD2"/>
    <w:pPr>
      <w:spacing w:before="100" w:beforeAutospacing="1" w:after="100" w:afterAutospacing="1" w:line="240" w:lineRule="auto"/>
    </w:pPr>
    <w:rPr>
      <w:rFonts w:eastAsia="Times New Roman"/>
      <w:sz w:val="24"/>
      <w:szCs w:val="24"/>
    </w:rPr>
  </w:style>
  <w:style w:type="paragraph" w:customStyle="1" w:styleId="xl70">
    <w:name w:val="xl70"/>
    <w:basedOn w:val="Normal"/>
    <w:rsid w:val="00E54BD2"/>
    <w:pPr>
      <w:pBdr>
        <w:bottom w:val="single" w:sz="4" w:space="0" w:color="8EA9DB"/>
      </w:pBdr>
      <w:spacing w:before="100" w:beforeAutospacing="1" w:after="100" w:afterAutospacing="1" w:line="240" w:lineRule="auto"/>
    </w:pPr>
    <w:rPr>
      <w:rFonts w:eastAsia="Times New Roman"/>
      <w:b/>
      <w:bCs/>
      <w:sz w:val="24"/>
      <w:szCs w:val="24"/>
    </w:rPr>
  </w:style>
  <w:style w:type="paragraph" w:styleId="HTMLPreformatted">
    <w:name w:val="HTML Preformatted"/>
    <w:basedOn w:val="Normal"/>
    <w:link w:val="HTMLPreformattedChar"/>
    <w:uiPriority w:val="99"/>
    <w:unhideWhenUsed/>
    <w:rsid w:val="00E54B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54BD2"/>
    <w:rPr>
      <w:rFonts w:ascii="Courier New" w:eastAsia="Times New Roman" w:hAnsi="Courier New" w:cs="Courier New"/>
      <w:kern w:val="0"/>
      <w:sz w:val="20"/>
      <w:szCs w:val="20"/>
      <w:lang w:val="en-US" w:eastAsia="pt-BR"/>
    </w:rPr>
  </w:style>
  <w:style w:type="character" w:customStyle="1" w:styleId="gnvwddmdn3b">
    <w:name w:val="gnvwddmdn3b"/>
    <w:basedOn w:val="DefaultParagraphFont"/>
    <w:rsid w:val="00E54BD2"/>
  </w:style>
  <w:style w:type="character" w:styleId="LineNumber">
    <w:name w:val="line number"/>
    <w:basedOn w:val="DefaultParagraphFont"/>
    <w:uiPriority w:val="99"/>
    <w:semiHidden/>
    <w:unhideWhenUsed/>
    <w:rsid w:val="00E54BD2"/>
  </w:style>
  <w:style w:type="character" w:styleId="PlaceholderText">
    <w:name w:val="Placeholder Text"/>
    <w:basedOn w:val="DefaultParagraphFont"/>
    <w:uiPriority w:val="99"/>
    <w:semiHidden/>
    <w:rsid w:val="00E54BD2"/>
    <w:rPr>
      <w:color w:val="666666"/>
    </w:rPr>
  </w:style>
  <w:style w:type="paragraph" w:styleId="BodyText">
    <w:name w:val="Body Text"/>
    <w:basedOn w:val="Normal"/>
    <w:link w:val="BodyTextChar"/>
    <w:uiPriority w:val="1"/>
    <w:qFormat/>
    <w:rsid w:val="00E54BD2"/>
    <w:pPr>
      <w:widowControl w:val="0"/>
      <w:autoSpaceDE w:val="0"/>
      <w:autoSpaceDN w:val="0"/>
      <w:spacing w:after="0" w:line="240" w:lineRule="auto"/>
    </w:pPr>
    <w:rPr>
      <w:rFonts w:ascii="Courier New" w:eastAsia="Courier New" w:hAnsi="Courier New" w:cs="Courier New"/>
      <w:sz w:val="18"/>
      <w:szCs w:val="18"/>
      <w:lang w:val="pt-PT" w:eastAsia="en-US"/>
    </w:rPr>
  </w:style>
  <w:style w:type="character" w:customStyle="1" w:styleId="BodyTextChar">
    <w:name w:val="Body Text Char"/>
    <w:basedOn w:val="DefaultParagraphFont"/>
    <w:link w:val="BodyText"/>
    <w:uiPriority w:val="1"/>
    <w:rsid w:val="00E54BD2"/>
    <w:rPr>
      <w:rFonts w:ascii="Courier New" w:eastAsia="Courier New" w:hAnsi="Courier New" w:cs="Courier New"/>
      <w:kern w:val="0"/>
      <w:sz w:val="18"/>
      <w:szCs w:val="18"/>
      <w:lang w:val="pt-PT"/>
    </w:rPr>
  </w:style>
  <w:style w:type="paragraph" w:styleId="Revision">
    <w:name w:val="Revision"/>
    <w:hidden/>
    <w:uiPriority w:val="99"/>
    <w:semiHidden/>
    <w:rsid w:val="00E54BD2"/>
    <w:pPr>
      <w:spacing w:after="0" w:line="240" w:lineRule="auto"/>
    </w:pPr>
  </w:style>
  <w:style w:type="character" w:styleId="UnresolvedMention">
    <w:name w:val="Unresolved Mention"/>
    <w:basedOn w:val="DefaultParagraphFont"/>
    <w:uiPriority w:val="99"/>
    <w:semiHidden/>
    <w:unhideWhenUsed/>
    <w:rsid w:val="00E54BD2"/>
    <w:rPr>
      <w:color w:val="605E5C"/>
      <w:shd w:val="clear" w:color="auto" w:fill="E1DFDD"/>
    </w:rPr>
  </w:style>
  <w:style w:type="character" w:styleId="Strong">
    <w:name w:val="Strong"/>
    <w:basedOn w:val="DefaultParagraphFont"/>
    <w:uiPriority w:val="22"/>
    <w:qFormat/>
    <w:rsid w:val="00E54BD2"/>
    <w:rPr>
      <w:b/>
      <w:bCs/>
    </w:rPr>
  </w:style>
  <w:style w:type="character" w:styleId="Emphasis">
    <w:name w:val="Emphasis"/>
    <w:basedOn w:val="DefaultParagraphFont"/>
    <w:uiPriority w:val="20"/>
    <w:qFormat/>
    <w:rsid w:val="00E54BD2"/>
    <w:rPr>
      <w:i/>
      <w:iCs/>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wws8drvFvgaYCpwnEG6008snA==">CgMxLjA4AGoiChRzdWdnZXN0LjdxaXdza3dxemhnbhIKUGF1bGEgTGlyYWoiChRzdWdnZXN0LndyejNubDkzcGxvbhIKUGF1bGEgTGlyYWpCCjVzdWdnZXN0SWRJbXBvcnQ4ZjE3MzZjMy02YWVkLTRlMmYtOWYzZS05ZDBiMjA0MjM0ZjlfMRIJR3VpbGhlcm1laiIKFHN1Z2dlc3QucGFkZXN3NnV4OGcyEgpQYXVsYSBMaXJhaikKFHN1Z2dlc3QubmpzdHRwcnQyMWFlEhFHdWlsaGVybWUgTWFydGluc2oiChRzdWdnZXN0LnZ6YmJoNHQ2eW1lMhIKUGF1bGEgTGlyYWoiChRzdWdnZXN0Lmt2MzJ3cXJsMjZmYhIKUGF1bGEgTGlyYWpCCjVzdWdnZXN0SWRJbXBvcnQ4ZjE3MzZjMy02YWVkLTRlMmYtOWYzZS05ZDBiMjA0MjM0ZjlfNxIJR3VpbGhlcm1lciExV1RpT3pVc0NCdkFNVjNpRWZtaXl2bVdFbUphMExYNW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802</Words>
  <Characters>4333</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Violante</dc:creator>
  <cp:lastModifiedBy>Guilherme</cp:lastModifiedBy>
  <cp:revision>5</cp:revision>
  <dcterms:created xsi:type="dcterms:W3CDTF">2025-11-29T19:14:00Z</dcterms:created>
  <dcterms:modified xsi:type="dcterms:W3CDTF">2025-12-22T17:39:00Z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http://www.zotero.org/styles/associacao-brasileira-de-normas-tecnicas</vt:lpwstr>
  </property>
  <property fmtid="{D5CDD505-2E9C-101B-9397-08002B2CF9AE}" pid="3" name="Mendeley Recent Style Name 0_1">
    <vt:lpwstr>Associação Brasileira de Normas Técnicas (Português - Brasil)</vt:lpwstr>
  </property>
  <property fmtid="{D5CDD505-2E9C-101B-9397-08002B2CF9AE}" pid="4" name="Mendeley Recent Style Id 1_1">
    <vt:lpwstr>https://csl.mendeley.com/styles/584333261/ABNT-Modificado-Gui</vt:lpwstr>
  </property>
  <property fmtid="{D5CDD505-2E9C-101B-9397-08002B2CF9AE}" pid="5" name="Mendeley Recent Style Name 1_1">
    <vt:lpwstr>Associação Brasileira de Normas Técnicas (Português - Brasil) - Guilherme Martins</vt:lpwstr>
  </property>
  <property fmtid="{D5CDD505-2E9C-101B-9397-08002B2CF9AE}" pid="6" name="Mendeley Recent Style Id 2_1">
    <vt:lpwstr>http://www.zotero.org/styles/biotropica</vt:lpwstr>
  </property>
  <property fmtid="{D5CDD505-2E9C-101B-9397-08002B2CF9AE}" pid="7" name="Mendeley Recent Style Name 2_1">
    <vt:lpwstr>Biotropica</vt:lpwstr>
  </property>
  <property fmtid="{D5CDD505-2E9C-101B-9397-08002B2CF9AE}" pid="8" name="Mendeley Recent Style Id 3_1">
    <vt:lpwstr>http://www.zotero.org/styles/neotropical-entomology</vt:lpwstr>
  </property>
  <property fmtid="{D5CDD505-2E9C-101B-9397-08002B2CF9AE}" pid="9" name="Mendeley Recent Style Name 3_1">
    <vt:lpwstr>Neotropical Entomology</vt:lpwstr>
  </property>
  <property fmtid="{D5CDD505-2E9C-101B-9397-08002B2CF9AE}" pid="10" name="Mendeley Recent Style Id 4_1">
    <vt:lpwstr>http://www.zotero.org/styles/taylor-and-francis-ama</vt:lpwstr>
  </property>
  <property fmtid="{D5CDD505-2E9C-101B-9397-08002B2CF9AE}" pid="11" name="Mendeley Recent Style Name 4_1">
    <vt:lpwstr>Taylor &amp; Francis - AMA</vt:lpwstr>
  </property>
  <property fmtid="{D5CDD505-2E9C-101B-9397-08002B2CF9AE}" pid="12" name="Mendeley Recent Style Id 5_1">
    <vt:lpwstr>http://www.zotero.org/styles/taylor-and-francis-acs</vt:lpwstr>
  </property>
  <property fmtid="{D5CDD505-2E9C-101B-9397-08002B2CF9AE}" pid="13" name="Mendeley Recent Style Name 5_1">
    <vt:lpwstr>Taylor &amp; Francis - American Chemical Society</vt:lpwstr>
  </property>
  <property fmtid="{D5CDD505-2E9C-101B-9397-08002B2CF9AE}" pid="14" name="Mendeley Recent Style Id 6_1">
    <vt:lpwstr>http://www.zotero.org/styles/taylor-and-francis-aip</vt:lpwstr>
  </property>
  <property fmtid="{D5CDD505-2E9C-101B-9397-08002B2CF9AE}" pid="15" name="Mendeley Recent Style Name 6_1">
    <vt:lpwstr>Taylor &amp; Francis - American Institute of Physics</vt:lpwstr>
  </property>
  <property fmtid="{D5CDD505-2E9C-101B-9397-08002B2CF9AE}" pid="16" name="Mendeley Recent Style Id 7_1">
    <vt:lpwstr>http://www.zotero.org/styles/taylor-and-francis-harvard-v</vt:lpwstr>
  </property>
  <property fmtid="{D5CDD505-2E9C-101B-9397-08002B2CF9AE}" pid="17" name="Mendeley Recent Style Name 7_1">
    <vt:lpwstr>Taylor &amp; Francis - Harvard V</vt:lpwstr>
  </property>
  <property fmtid="{D5CDD505-2E9C-101B-9397-08002B2CF9AE}" pid="18" name="Mendeley Recent Style Id 8_1">
    <vt:lpwstr>http://www.zotero.org/styles/taylor-and-francis-vancouver-national-library-of-medicine</vt:lpwstr>
  </property>
  <property fmtid="{D5CDD505-2E9C-101B-9397-08002B2CF9AE}" pid="19" name="Mendeley Recent Style Name 8_1">
    <vt:lpwstr>Taylor &amp; Francis - Vancouver/National Library of Medicine</vt:lpwstr>
  </property>
  <property fmtid="{D5CDD505-2E9C-101B-9397-08002B2CF9AE}" pid="20" name="Mendeley Recent Style Id 9_1">
    <vt:lpwstr>http://www.zotero.org/styles/urban-ecosystems</vt:lpwstr>
  </property>
  <property fmtid="{D5CDD505-2E9C-101B-9397-08002B2CF9AE}" pid="21" name="Mendeley Recent Style Name 9_1">
    <vt:lpwstr>Urban Ecosystems</vt:lpwstr>
  </property>
</Properties>
</file>