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024" w:rsidRDefault="00830C00">
      <w:pPr>
        <w:spacing w:after="0"/>
        <w:jc w:val="center"/>
        <w:rPr>
          <w:rFonts w:ascii="Times New Roman" w:eastAsia="Times New Roman" w:hAnsi="Times New Roman" w:cs="Times New Roman"/>
          <w:b/>
          <w:bCs/>
          <w:sz w:val="26"/>
          <w:szCs w:val="26"/>
        </w:rPr>
      </w:pPr>
      <w:bookmarkStart w:id="0" w:name="_heading=h.e7jrm0ro1a9m" w:colFirst="0" w:colLast="0"/>
      <w:bookmarkEnd w:id="0"/>
      <w:r>
        <w:rPr>
          <w:rFonts w:ascii="Times New Roman" w:eastAsia="Times New Roman" w:hAnsi="Times New Roman" w:cs="Times New Roman"/>
          <w:b/>
          <w:bCs/>
          <w:sz w:val="26"/>
          <w:szCs w:val="26"/>
        </w:rPr>
        <w:t xml:space="preserve">Supplementary Materials </w:t>
      </w:r>
    </w:p>
    <w:p w:rsidR="00546024" w:rsidRDefault="00546024">
      <w:pPr>
        <w:spacing w:after="0"/>
        <w:rPr>
          <w:rFonts w:ascii="Times New Roman" w:eastAsia="Times New Roman" w:hAnsi="Times New Roman" w:cs="Times New Roman"/>
        </w:rPr>
      </w:pPr>
    </w:p>
    <w:p w:rsidR="00546024" w:rsidRDefault="00830C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SM1 - Soil Properties Analysis </w:t>
      </w:r>
    </w:p>
    <w:p w:rsidR="00546024" w:rsidRDefault="00546024">
      <w:pPr>
        <w:spacing w:after="0"/>
        <w:jc w:val="both"/>
        <w:rPr>
          <w:rFonts w:ascii="Times New Roman" w:eastAsia="Times New Roman" w:hAnsi="Times New Roman" w:cs="Times New Roman"/>
        </w:rPr>
      </w:pPr>
    </w:p>
    <w:p w:rsidR="00546024" w:rsidRDefault="00830C00">
      <w:pPr>
        <w:spacing w:after="0"/>
        <w:jc w:val="both"/>
        <w:rPr>
          <w:rFonts w:ascii="Times New Roman" w:eastAsia="Times New Roman" w:hAnsi="Times New Roman" w:cs="Times New Roman"/>
        </w:rPr>
      </w:pPr>
      <w:r>
        <w:rPr>
          <w:rFonts w:ascii="Times New Roman" w:eastAsia="Times New Roman" w:hAnsi="Times New Roman" w:cs="Times New Roman"/>
          <w:b/>
          <w:bCs/>
        </w:rPr>
        <w:t>Texture</w:t>
      </w:r>
      <w:r>
        <w:rPr>
          <w:rFonts w:ascii="Times New Roman" w:eastAsia="Times New Roman" w:hAnsi="Times New Roman" w:cs="Times New Roman"/>
        </w:rPr>
        <w:t xml:space="preserve">: the soil texture was determined using the sedimentation cylinder technique in accordance with Stokes's Law (ISO, 2009). in 100 mL cylinders, 50 g of dry weight (d.w.) soil were weighted and distilled water was added to achieve a final volume of 50 </w:t>
      </w:r>
      <w:proofErr w:type="spellStart"/>
      <w:r>
        <w:rPr>
          <w:rFonts w:ascii="Times New Roman" w:eastAsia="Times New Roman" w:hAnsi="Times New Roman" w:cs="Times New Roman"/>
        </w:rPr>
        <w:t>mL.</w:t>
      </w:r>
      <w:proofErr w:type="spellEnd"/>
      <w:r>
        <w:rPr>
          <w:rFonts w:ascii="Times New Roman" w:eastAsia="Times New Roman" w:hAnsi="Times New Roman" w:cs="Times New Roman"/>
        </w:rPr>
        <w:t xml:space="preserve"> Th</w:t>
      </w:r>
      <w:r>
        <w:rPr>
          <w:rFonts w:ascii="Times New Roman" w:eastAsia="Times New Roman" w:hAnsi="Times New Roman" w:cs="Times New Roman"/>
        </w:rPr>
        <w:t>e two fractions were mixed by shaking the cylinder. Once emulsified, the soil was expected to settle for 2 days, in order to measure (cm) the layers of clay, silt and sand percentage. The results were used to determine the soil type using a soil texture tr</w:t>
      </w:r>
      <w:r>
        <w:rPr>
          <w:rFonts w:ascii="Times New Roman" w:eastAsia="Times New Roman" w:hAnsi="Times New Roman" w:cs="Times New Roman"/>
        </w:rPr>
        <w:t>iangle based on the United States Department of Agriculture (USDA) classification.</w:t>
      </w:r>
    </w:p>
    <w:p w:rsidR="00546024" w:rsidRDefault="00830C00">
      <w:pPr>
        <w:spacing w:after="0"/>
        <w:jc w:val="both"/>
        <w:rPr>
          <w:rFonts w:ascii="Times New Roman" w:eastAsia="Times New Roman" w:hAnsi="Times New Roman" w:cs="Times New Roman"/>
        </w:rPr>
      </w:pPr>
      <w:r>
        <w:rPr>
          <w:rFonts w:ascii="Times New Roman" w:eastAsia="Times New Roman" w:hAnsi="Times New Roman" w:cs="Times New Roman"/>
          <w:b/>
          <w:bCs/>
        </w:rPr>
        <w:t>Water Holding Capacity (WHC)</w:t>
      </w:r>
      <w:r>
        <w:rPr>
          <w:rFonts w:ascii="Times New Roman" w:eastAsia="Times New Roman" w:hAnsi="Times New Roman" w:cs="Times New Roman"/>
        </w:rPr>
        <w:t>: the determination of soil WHC was quantified following the Annex E reported in ISO 11268-2 guidelines (2023a). 20 g d.w. of the sampled soils w</w:t>
      </w:r>
      <w:r>
        <w:rPr>
          <w:rFonts w:ascii="Times New Roman" w:eastAsia="Times New Roman" w:hAnsi="Times New Roman" w:cs="Times New Roman"/>
        </w:rPr>
        <w:t>ere first weighed, and then placed on perforated vials with filter paper at the bottom. The vials were then placed in a water bath in a plastic container, with the water level not higher than the soil surface. The samples were left to moisten for 2 hours a</w:t>
      </w:r>
      <w:r>
        <w:rPr>
          <w:rFonts w:ascii="Times New Roman" w:eastAsia="Times New Roman" w:hAnsi="Times New Roman" w:cs="Times New Roman"/>
        </w:rPr>
        <w:t xml:space="preserve">nd then allowed to drain for 1 hour.  Finally, the wet samples were weighed and the WHC was calculated according to the formula: </w:t>
      </w:r>
    </w:p>
    <w:p w:rsidR="00546024" w:rsidRDefault="00546024">
      <w:pPr>
        <w:spacing w:after="0"/>
        <w:jc w:val="both"/>
        <w:rPr>
          <w:rFonts w:ascii="Times New Roman" w:eastAsia="Times New Roman" w:hAnsi="Times New Roman" w:cs="Times New Roman"/>
        </w:rPr>
      </w:pPr>
    </w:p>
    <w:p w:rsidR="00546024" w:rsidRDefault="00830C00">
      <w:pPr>
        <w:spacing w:after="0"/>
        <w:jc w:val="center"/>
        <w:rPr>
          <w:rFonts w:ascii="Times New Roman" w:eastAsia="Times New Roman" w:hAnsi="Times New Roman" w:cs="Times New Roman"/>
        </w:rPr>
      </w:pPr>
      <w:r>
        <w:rPr>
          <w:rFonts w:ascii="Times New Roman" w:eastAsia="Times New Roman" w:hAnsi="Times New Roman" w:cs="Times New Roman"/>
        </w:rPr>
        <w:t>WHC = [(S - T - D)/D] x 100</w:t>
      </w:r>
    </w:p>
    <w:p w:rsidR="00546024" w:rsidRDefault="00546024">
      <w:pPr>
        <w:spacing w:after="0"/>
        <w:jc w:val="both"/>
        <w:rPr>
          <w:rFonts w:ascii="Times New Roman" w:eastAsia="Times New Roman" w:hAnsi="Times New Roman" w:cs="Times New Roman"/>
        </w:rPr>
      </w:pPr>
    </w:p>
    <w:p w:rsidR="00546024" w:rsidRDefault="00830C00">
      <w:pPr>
        <w:spacing w:after="0"/>
        <w:jc w:val="both"/>
        <w:rPr>
          <w:rFonts w:ascii="Times New Roman" w:eastAsia="Times New Roman" w:hAnsi="Times New Roman" w:cs="Times New Roman"/>
        </w:rPr>
      </w:pPr>
      <w:r>
        <w:rPr>
          <w:rFonts w:ascii="Times New Roman" w:eastAsia="Times New Roman" w:hAnsi="Times New Roman" w:cs="Times New Roman"/>
        </w:rPr>
        <w:t>Where S = water-saturated substrate + tare, T = tare vials, D = dry mass of substrate.</w:t>
      </w:r>
    </w:p>
    <w:p w:rsidR="00546024" w:rsidRDefault="00830C00">
      <w:pPr>
        <w:spacing w:after="0"/>
        <w:jc w:val="both"/>
        <w:rPr>
          <w:rFonts w:ascii="Times New Roman" w:eastAsia="Times New Roman" w:hAnsi="Times New Roman" w:cs="Times New Roman"/>
        </w:rPr>
      </w:pPr>
      <w:r>
        <w:rPr>
          <w:rFonts w:ascii="Times New Roman" w:eastAsia="Times New Roman" w:hAnsi="Times New Roman" w:cs="Times New Roman"/>
          <w:b/>
          <w:bCs/>
        </w:rPr>
        <w:t>pH</w:t>
      </w:r>
      <w:r>
        <w:rPr>
          <w:rFonts w:ascii="Times New Roman" w:eastAsia="Times New Roman" w:hAnsi="Times New Roman" w:cs="Times New Roman"/>
        </w:rPr>
        <w:t>: the d</w:t>
      </w:r>
      <w:r>
        <w:rPr>
          <w:rFonts w:ascii="Times New Roman" w:eastAsia="Times New Roman" w:hAnsi="Times New Roman" w:cs="Times New Roman"/>
        </w:rPr>
        <w:t>etermination of soil pH was determined following the ISO guidelines (ISO, 2005). 20 g d.w. of soil samples were placed into vials, to which 20 mL of a 0.01 M calcium chloride (</w:t>
      </w:r>
      <w:proofErr w:type="spellStart"/>
      <w:r>
        <w:rPr>
          <w:rFonts w:ascii="Times New Roman" w:eastAsia="Times New Roman" w:hAnsi="Times New Roman" w:cs="Times New Roman"/>
        </w:rPr>
        <w:t>CaCl</w:t>
      </w:r>
      <w:proofErr w:type="spellEnd"/>
      <w:r>
        <w:rPr>
          <w:rFonts w:ascii="Times New Roman" w:eastAsia="Times New Roman" w:hAnsi="Times New Roman" w:cs="Times New Roman"/>
        </w:rPr>
        <w:t>₂) solution was added. The resulting suspension was then agitated for 15 min</w:t>
      </w:r>
      <w:r>
        <w:rPr>
          <w:rFonts w:ascii="Times New Roman" w:eastAsia="Times New Roman" w:hAnsi="Times New Roman" w:cs="Times New Roman"/>
        </w:rPr>
        <w:t xml:space="preserve">utes using an agitator, after which it was left to settle for a period of 2 hours. Following this, the pH of the liquid phase was measured using a pH Multi-parameter portable meter (WTW, </w:t>
      </w:r>
      <w:proofErr w:type="spellStart"/>
      <w:r>
        <w:rPr>
          <w:rFonts w:ascii="Times New Roman" w:eastAsia="Times New Roman" w:hAnsi="Times New Roman" w:cs="Times New Roman"/>
        </w:rPr>
        <w:t>ProfiLine</w:t>
      </w:r>
      <w:proofErr w:type="spellEnd"/>
      <w:r>
        <w:rPr>
          <w:rFonts w:ascii="Times New Roman" w:eastAsia="Times New Roman" w:hAnsi="Times New Roman" w:cs="Times New Roman"/>
        </w:rPr>
        <w:t xml:space="preserve"> Multi 3320 model Germany). </w:t>
      </w:r>
    </w:p>
    <w:p w:rsidR="00546024" w:rsidRDefault="00830C00">
      <w:pPr>
        <w:spacing w:after="0"/>
        <w:jc w:val="both"/>
        <w:rPr>
          <w:rFonts w:ascii="Times New Roman" w:eastAsia="Times New Roman" w:hAnsi="Times New Roman" w:cs="Times New Roman"/>
        </w:rPr>
      </w:pPr>
      <w:r>
        <w:rPr>
          <w:rFonts w:ascii="Times New Roman" w:eastAsia="Times New Roman" w:hAnsi="Times New Roman" w:cs="Times New Roman"/>
          <w:b/>
          <w:bCs/>
        </w:rPr>
        <w:t>Soil Organic Matter (SOM)</w:t>
      </w:r>
      <w:r>
        <w:rPr>
          <w:rFonts w:ascii="Times New Roman" w:eastAsia="Times New Roman" w:hAnsi="Times New Roman" w:cs="Times New Roman"/>
        </w:rPr>
        <w:t xml:space="preserve">: The </w:t>
      </w:r>
      <w:r>
        <w:rPr>
          <w:rFonts w:ascii="Times New Roman" w:eastAsia="Times New Roman" w:hAnsi="Times New Roman" w:cs="Times New Roman"/>
        </w:rPr>
        <w:t>SOM % was estimated using the loss-on-ignition (LOI) technique (</w:t>
      </w:r>
      <w:proofErr w:type="spellStart"/>
      <w:r>
        <w:rPr>
          <w:rFonts w:ascii="Times New Roman" w:eastAsia="Times New Roman" w:hAnsi="Times New Roman" w:cs="Times New Roman"/>
        </w:rPr>
        <w:t>Cambardella</w:t>
      </w:r>
      <w:proofErr w:type="spellEnd"/>
      <w:r>
        <w:rPr>
          <w:rFonts w:ascii="Times New Roman" w:eastAsia="Times New Roman" w:hAnsi="Times New Roman" w:cs="Times New Roman"/>
        </w:rPr>
        <w:t xml:space="preserve"> et al., 2000). 2 g d.w. soil samples were heated at 500 °C for 6 hours in a muffle. The percentage of SOM was determined as the subtraction of incinerated soil dry weight from the </w:t>
      </w:r>
      <w:r>
        <w:rPr>
          <w:rFonts w:ascii="Times New Roman" w:eastAsia="Times New Roman" w:hAnsi="Times New Roman" w:cs="Times New Roman"/>
        </w:rPr>
        <w:t>dried soil weight, normalizing the value to the initial dry weight of soil.</w:t>
      </w:r>
    </w:p>
    <w:p w:rsidR="00546024" w:rsidRDefault="00546024">
      <w:pPr>
        <w:spacing w:after="0"/>
      </w:pPr>
    </w:p>
    <w:p w:rsidR="00546024" w:rsidRDefault="00830C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SM2 - Animal cultures and LUFA 2.2 soil </w:t>
      </w:r>
    </w:p>
    <w:p w:rsidR="00546024" w:rsidRDefault="00546024">
      <w:pPr>
        <w:spacing w:after="0"/>
        <w:rPr>
          <w:rFonts w:ascii="Times New Roman" w:eastAsia="Times New Roman" w:hAnsi="Times New Roman" w:cs="Times New Roman"/>
          <w:b/>
          <w:bCs/>
        </w:rPr>
      </w:pPr>
    </w:p>
    <w:p w:rsidR="00546024" w:rsidRDefault="00830C00">
      <w:pPr>
        <w:jc w:val="both"/>
        <w:rPr>
          <w:rFonts w:ascii="Times New Roman" w:eastAsia="Times New Roman" w:hAnsi="Times New Roman" w:cs="Times New Roman"/>
        </w:rPr>
      </w:pPr>
      <w:r>
        <w:rPr>
          <w:rFonts w:ascii="Times New Roman" w:eastAsia="Times New Roman" w:hAnsi="Times New Roman" w:cs="Times New Roman"/>
          <w:b/>
          <w:bCs/>
        </w:rPr>
        <w:t>Terrestrial isopod</w:t>
      </w:r>
      <w:r>
        <w:rPr>
          <w:rFonts w:ascii="Times New Roman" w:eastAsia="Times New Roman" w:hAnsi="Times New Roman" w:cs="Times New Roman"/>
        </w:rPr>
        <w:t xml:space="preserve">: Woodlice breeding was carried out following methods previously established in various lines of research (Loureiro et </w:t>
      </w:r>
      <w:r>
        <w:rPr>
          <w:rFonts w:ascii="Times New Roman" w:eastAsia="Times New Roman" w:hAnsi="Times New Roman" w:cs="Times New Roman"/>
        </w:rPr>
        <w:t xml:space="preserve">al., 2005; </w:t>
      </w:r>
      <w:proofErr w:type="spellStart"/>
      <w:r>
        <w:rPr>
          <w:rFonts w:ascii="Times New Roman" w:eastAsia="Times New Roman" w:hAnsi="Times New Roman" w:cs="Times New Roman"/>
        </w:rPr>
        <w:t>Morgado</w:t>
      </w:r>
      <w:proofErr w:type="spellEnd"/>
      <w:r>
        <w:rPr>
          <w:rFonts w:ascii="Times New Roman" w:eastAsia="Times New Roman" w:hAnsi="Times New Roman" w:cs="Times New Roman"/>
        </w:rPr>
        <w:t xml:space="preserve"> et al., 2015; Federico et al., 2024). </w:t>
      </w:r>
      <w:proofErr w:type="spellStart"/>
      <w:r>
        <w:rPr>
          <w:rFonts w:ascii="Times New Roman" w:eastAsia="Times New Roman" w:hAnsi="Times New Roman" w:cs="Times New Roman"/>
          <w:i/>
          <w:iCs/>
        </w:rPr>
        <w:t>Porcellionides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pruinosus</w:t>
      </w:r>
      <w:proofErr w:type="spellEnd"/>
      <w:r>
        <w:rPr>
          <w:rFonts w:ascii="Times New Roman" w:eastAsia="Times New Roman" w:hAnsi="Times New Roman" w:cs="Times New Roman"/>
        </w:rPr>
        <w:t xml:space="preserve"> (Brandt, 1833) culture was maintained in the laboratory at controlled conditions (20 ± 2°C of temperature, photoperiod of 16:8 h light-dark) and were fed </w:t>
      </w:r>
      <w:r>
        <w:rPr>
          <w:rFonts w:ascii="Times New Roman" w:eastAsia="Times New Roman" w:hAnsi="Times New Roman" w:cs="Times New Roman"/>
          <w:i/>
          <w:iCs/>
        </w:rPr>
        <w:t>ad libitum</w:t>
      </w:r>
      <w:r>
        <w:rPr>
          <w:rFonts w:ascii="Times New Roman" w:eastAsia="Times New Roman" w:hAnsi="Times New Roman" w:cs="Times New Roman"/>
        </w:rPr>
        <w:t xml:space="preserve"> with alde</w:t>
      </w:r>
      <w:r>
        <w:rPr>
          <w:rFonts w:ascii="Times New Roman" w:eastAsia="Times New Roman" w:hAnsi="Times New Roman" w:cs="Times New Roman"/>
        </w:rPr>
        <w:t>r leaves (</w:t>
      </w:r>
      <w:proofErr w:type="spellStart"/>
      <w:r>
        <w:rPr>
          <w:rFonts w:ascii="Times New Roman" w:eastAsia="Times New Roman" w:hAnsi="Times New Roman" w:cs="Times New Roman"/>
          <w:i/>
          <w:iCs/>
        </w:rPr>
        <w:t>Alnus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glutinosa</w:t>
      </w:r>
      <w:proofErr w:type="spellEnd"/>
      <w:r>
        <w:rPr>
          <w:rFonts w:ascii="Times New Roman" w:eastAsia="Times New Roman" w:hAnsi="Times New Roman" w:cs="Times New Roman"/>
        </w:rPr>
        <w:t xml:space="preserve">). The cultures were sprayed with ultra-pure water twice a week and food </w:t>
      </w:r>
      <w:proofErr w:type="gramStart"/>
      <w:r>
        <w:rPr>
          <w:rFonts w:ascii="Times New Roman" w:eastAsia="Times New Roman" w:hAnsi="Times New Roman" w:cs="Times New Roman"/>
        </w:rPr>
        <w:t>was</w:t>
      </w:r>
      <w:proofErr w:type="gramEnd"/>
      <w:r>
        <w:rPr>
          <w:rFonts w:ascii="Times New Roman" w:eastAsia="Times New Roman" w:hAnsi="Times New Roman" w:cs="Times New Roman"/>
        </w:rPr>
        <w:t xml:space="preserve"> provided. Only adults with a wet weight of 14-30 mg, without sex distinction, were used during the tests. Moulting animals, individuals with malformations</w:t>
      </w:r>
      <w:r>
        <w:rPr>
          <w:rFonts w:ascii="Times New Roman" w:eastAsia="Times New Roman" w:hAnsi="Times New Roman" w:cs="Times New Roman"/>
        </w:rPr>
        <w:t xml:space="preserve">, and pregnant females were excluded. </w:t>
      </w:r>
    </w:p>
    <w:p w:rsidR="00546024" w:rsidRDefault="00830C00">
      <w:pPr>
        <w:jc w:val="both"/>
        <w:rPr>
          <w:rFonts w:ascii="Times New Roman" w:eastAsia="Times New Roman" w:hAnsi="Times New Roman" w:cs="Times New Roman"/>
        </w:rPr>
      </w:pPr>
      <w:r>
        <w:rPr>
          <w:rFonts w:ascii="Times New Roman" w:eastAsia="Times New Roman" w:hAnsi="Times New Roman" w:cs="Times New Roman"/>
          <w:b/>
          <w:bCs/>
        </w:rPr>
        <w:t>Earthworms</w:t>
      </w:r>
      <w:r>
        <w:rPr>
          <w:rFonts w:ascii="Times New Roman" w:eastAsia="Times New Roman" w:hAnsi="Times New Roman" w:cs="Times New Roman"/>
        </w:rPr>
        <w:t xml:space="preserve">: Earthworm breeding was carried out as reported in Annex D of ISO guidelines (2023a). </w:t>
      </w:r>
      <w:r>
        <w:rPr>
          <w:rFonts w:ascii="Times New Roman" w:eastAsia="Times New Roman" w:hAnsi="Times New Roman" w:cs="Times New Roman"/>
          <w:i/>
          <w:iCs/>
        </w:rPr>
        <w:t xml:space="preserve">Eisenia </w:t>
      </w:r>
      <w:proofErr w:type="spellStart"/>
      <w:r>
        <w:rPr>
          <w:rFonts w:ascii="Times New Roman" w:eastAsia="Times New Roman" w:hAnsi="Times New Roman" w:cs="Times New Roman"/>
          <w:i/>
          <w:iCs/>
        </w:rPr>
        <w:t>fetida</w:t>
      </w:r>
      <w:proofErr w:type="spellEnd"/>
      <w:r>
        <w:rPr>
          <w:rFonts w:ascii="Times New Roman" w:eastAsia="Times New Roman" w:hAnsi="Times New Roman" w:cs="Times New Roman"/>
        </w:rPr>
        <w:t xml:space="preserve"> (Savigny, 1826) were collected from a vermicompost (50% sphagnum peat and 50% cattle dung) at controlled </w:t>
      </w:r>
      <w:r>
        <w:rPr>
          <w:rFonts w:ascii="Times New Roman" w:eastAsia="Times New Roman" w:hAnsi="Times New Roman" w:cs="Times New Roman"/>
        </w:rPr>
        <w:t xml:space="preserve">conditions of 20 ± 2°C of temperature, and 16:8 h light-dark. Earthworm cocoons were periodically separated from the culture to which earthworm cohorts synchronized for tests. Only adult worms with well-developed </w:t>
      </w:r>
      <w:proofErr w:type="spellStart"/>
      <w:r>
        <w:rPr>
          <w:rFonts w:ascii="Times New Roman" w:eastAsia="Times New Roman" w:hAnsi="Times New Roman" w:cs="Times New Roman"/>
        </w:rPr>
        <w:t>clitellae</w:t>
      </w:r>
      <w:proofErr w:type="spellEnd"/>
      <w:r>
        <w:rPr>
          <w:rFonts w:ascii="Times New Roman" w:eastAsia="Times New Roman" w:hAnsi="Times New Roman" w:cs="Times New Roman"/>
        </w:rPr>
        <w:t xml:space="preserve"> and fresh weight between 250-300 </w:t>
      </w:r>
      <w:r>
        <w:rPr>
          <w:rFonts w:ascii="Times New Roman" w:eastAsia="Times New Roman" w:hAnsi="Times New Roman" w:cs="Times New Roman"/>
        </w:rPr>
        <w:t>mg were random selected for the behavioural tests</w:t>
      </w:r>
    </w:p>
    <w:p w:rsidR="00546024" w:rsidRDefault="00830C00">
      <w:pPr>
        <w:jc w:val="both"/>
        <w:rPr>
          <w:rFonts w:ascii="Times New Roman" w:eastAsia="Times New Roman" w:hAnsi="Times New Roman" w:cs="Times New Roman"/>
        </w:rPr>
      </w:pPr>
      <w:r>
        <w:rPr>
          <w:rFonts w:ascii="Times New Roman" w:eastAsia="Times New Roman" w:hAnsi="Times New Roman" w:cs="Times New Roman"/>
          <w:b/>
          <w:bCs/>
        </w:rPr>
        <w:t>Collembolans:</w:t>
      </w:r>
      <w:r>
        <w:rPr>
          <w:rFonts w:ascii="Times New Roman" w:eastAsia="Times New Roman" w:hAnsi="Times New Roman" w:cs="Times New Roman"/>
        </w:rPr>
        <w:t xml:space="preserve"> Collembolans breeding was carried out as reported in Annex A of ISO guidelines (2023b).</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i/>
          <w:iCs/>
        </w:rPr>
        <w:t>Folsomia</w:t>
      </w:r>
      <w:proofErr w:type="spellEnd"/>
      <w:r>
        <w:rPr>
          <w:rFonts w:ascii="Times New Roman" w:eastAsia="Times New Roman" w:hAnsi="Times New Roman" w:cs="Times New Roman"/>
          <w:i/>
          <w:iCs/>
        </w:rPr>
        <w:t xml:space="preserve"> candida</w:t>
      </w:r>
      <w:r>
        <w:rPr>
          <w:rFonts w:ascii="Times New Roman" w:eastAsia="Times New Roman" w:hAnsi="Times New Roman" w:cs="Times New Roman"/>
        </w:rPr>
        <w:t xml:space="preserve"> (Willem, 1902) were cultured in glass Petri-dishes (</w:t>
      </w:r>
      <w:r>
        <w:rPr>
          <w:rFonts w:ascii="Cambria Math" w:eastAsia="Cambria Math" w:hAnsi="Cambria Math" w:cs="Cambria Math"/>
        </w:rPr>
        <w:t>⌀</w:t>
      </w:r>
      <w:r>
        <w:rPr>
          <w:rFonts w:ascii="Times New Roman" w:eastAsia="Times New Roman" w:hAnsi="Times New Roman" w:cs="Times New Roman"/>
        </w:rPr>
        <w:t xml:space="preserve"> = 8.5 cm) on a moist substrate of</w:t>
      </w:r>
      <w:r>
        <w:rPr>
          <w:rFonts w:ascii="Times New Roman" w:eastAsia="Times New Roman" w:hAnsi="Times New Roman" w:cs="Times New Roman"/>
        </w:rPr>
        <w:t xml:space="preserve"> plaster of Paris and activated charcoal (8:1), and maintained at temperature of 20 ± 2°C, photoperiod regime of 16:8h </w:t>
      </w:r>
      <w:proofErr w:type="spellStart"/>
      <w:proofErr w:type="gramStart"/>
      <w:r>
        <w:rPr>
          <w:rFonts w:ascii="Times New Roman" w:eastAsia="Times New Roman" w:hAnsi="Times New Roman" w:cs="Times New Roman"/>
        </w:rPr>
        <w:t>light:dark</w:t>
      </w:r>
      <w:proofErr w:type="spellEnd"/>
      <w:proofErr w:type="gramEnd"/>
      <w:r>
        <w:rPr>
          <w:rFonts w:ascii="Times New Roman" w:eastAsia="Times New Roman" w:hAnsi="Times New Roman" w:cs="Times New Roman"/>
        </w:rPr>
        <w:t xml:space="preserve"> and fed weekly with dried baker’s yeast (</w:t>
      </w:r>
      <w:r>
        <w:rPr>
          <w:rFonts w:ascii="Times New Roman" w:eastAsia="Times New Roman" w:hAnsi="Times New Roman" w:cs="Times New Roman"/>
          <w:i/>
          <w:iCs/>
        </w:rPr>
        <w:t xml:space="preserve">Saccharomyces </w:t>
      </w:r>
      <w:proofErr w:type="spellStart"/>
      <w:r>
        <w:rPr>
          <w:rFonts w:ascii="Times New Roman" w:eastAsia="Times New Roman" w:hAnsi="Times New Roman" w:cs="Times New Roman"/>
          <w:i/>
          <w:iCs/>
        </w:rPr>
        <w:t>cerevisae</w:t>
      </w:r>
      <w:proofErr w:type="spellEnd"/>
      <w:r>
        <w:rPr>
          <w:rFonts w:ascii="Times New Roman" w:eastAsia="Times New Roman" w:hAnsi="Times New Roman" w:cs="Times New Roman"/>
        </w:rPr>
        <w:t>). Collembola eggs were periodically separated from the cultur</w:t>
      </w:r>
      <w:r>
        <w:rPr>
          <w:rFonts w:ascii="Times New Roman" w:eastAsia="Times New Roman" w:hAnsi="Times New Roman" w:cs="Times New Roman"/>
        </w:rPr>
        <w:t>e to obtain synchronized individuals for tests. Only adults 20 days after hatching were selected.</w:t>
      </w:r>
    </w:p>
    <w:p w:rsidR="00546024" w:rsidRDefault="00830C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LUFA 2.2 soil</w:t>
      </w:r>
      <w:r>
        <w:rPr>
          <w:rFonts w:ascii="Times New Roman" w:eastAsia="Times New Roman" w:hAnsi="Times New Roman" w:cs="Times New Roman"/>
        </w:rPr>
        <w:t>: the properties of this soil include a pH = 5.5 ± 0.2 (0.01 M CaCl</w:t>
      </w:r>
      <w:r>
        <w:rPr>
          <w:rFonts w:ascii="Times New Roman" w:eastAsia="Times New Roman" w:hAnsi="Times New Roman" w:cs="Times New Roman"/>
          <w:sz w:val="13"/>
          <w:szCs w:val="13"/>
          <w:vertAlign w:val="subscript"/>
        </w:rPr>
        <w:t>2</w:t>
      </w:r>
      <w:r>
        <w:rPr>
          <w:rFonts w:ascii="Times New Roman" w:eastAsia="Times New Roman" w:hAnsi="Times New Roman" w:cs="Times New Roman"/>
        </w:rPr>
        <w:t xml:space="preserve">), WHC = 44.5 ± 3.0 (g/100 g), C = 1.77 ± 0.2 (%), N = 0.17 ± 0.02, texture = 7.3 ± 1.2 (%) clay; 13.8 ± 2.7 (%) silt and 78.9 ± 3.5 (%) sand. </w:t>
      </w:r>
    </w:p>
    <w:p w:rsidR="00546024" w:rsidRDefault="00546024">
      <w:pPr>
        <w:spacing w:after="0" w:line="240" w:lineRule="auto"/>
        <w:jc w:val="both"/>
        <w:rPr>
          <w:rFonts w:ascii="Times New Roman" w:eastAsia="Times New Roman" w:hAnsi="Times New Roman" w:cs="Times New Roman"/>
        </w:rPr>
      </w:pPr>
    </w:p>
    <w:p w:rsidR="00546024" w:rsidRDefault="00546024">
      <w:pPr>
        <w:jc w:val="both"/>
      </w:pPr>
    </w:p>
    <w:p w:rsidR="00546024" w:rsidRDefault="00830C00">
      <w:pPr>
        <w:spacing w:after="0"/>
        <w:jc w:val="both"/>
        <w:rPr>
          <w:rFonts w:ascii="Times New Roman" w:eastAsia="Times New Roman" w:hAnsi="Times New Roman" w:cs="Times New Roman"/>
          <w:b/>
          <w:bCs/>
        </w:rPr>
      </w:pPr>
      <w:bookmarkStart w:id="1" w:name="_heading=h.gjdgxs" w:colFirst="0" w:colLast="0"/>
      <w:bookmarkEnd w:id="1"/>
      <w:r>
        <w:rPr>
          <w:rFonts w:ascii="Times New Roman" w:eastAsia="Times New Roman" w:hAnsi="Times New Roman" w:cs="Times New Roman"/>
          <w:b/>
          <w:bCs/>
        </w:rPr>
        <w:t xml:space="preserve">SM3 - </w:t>
      </w:r>
      <w:r>
        <w:rPr>
          <w:rFonts w:ascii="Times New Roman" w:eastAsia="Times New Roman" w:hAnsi="Times New Roman" w:cs="Times New Roman"/>
          <w:b/>
          <w:bCs/>
          <w:sz w:val="20"/>
          <w:szCs w:val="20"/>
        </w:rPr>
        <w:t>Table 2. Mean (± standard deviation) values referred to the sand (%), silt (%), clay (%), texture, pH, W</w:t>
      </w:r>
      <w:r>
        <w:rPr>
          <w:rFonts w:ascii="Times New Roman" w:eastAsia="Times New Roman" w:hAnsi="Times New Roman" w:cs="Times New Roman"/>
          <w:b/>
          <w:bCs/>
          <w:sz w:val="20"/>
          <w:szCs w:val="20"/>
        </w:rPr>
        <w:t>ater Holding Capacity (%), and Soil Organic Matter (%) of the three urban soils (U2, U3, and U4) from the University of Milano Bicocca, Italy.</w:t>
      </w:r>
    </w:p>
    <w:tbl>
      <w:tblPr>
        <w:tblStyle w:val="a9"/>
        <w:tblW w:w="8508"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573"/>
        <w:gridCol w:w="1410"/>
        <w:gridCol w:w="1275"/>
        <w:gridCol w:w="1275"/>
        <w:gridCol w:w="1275"/>
        <w:gridCol w:w="1425"/>
        <w:gridCol w:w="1275"/>
      </w:tblGrid>
      <w:tr w:rsidR="00546024" w:rsidTr="00FE5931">
        <w:trPr>
          <w:trHeight w:val="446"/>
        </w:trPr>
        <w:tc>
          <w:tcPr>
            <w:tcW w:w="573"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bookmarkStart w:id="2" w:name="_heading=h.6mri1d21c9in" w:colFirst="0" w:colLast="0"/>
            <w:bookmarkEnd w:id="2"/>
            <w:r>
              <w:rPr>
                <w:rFonts w:ascii="Times New Roman" w:eastAsia="Times New Roman" w:hAnsi="Times New Roman" w:cs="Times New Roman"/>
                <w:b/>
                <w:bCs/>
              </w:rPr>
              <w:t>Sites</w:t>
            </w:r>
          </w:p>
        </w:tc>
        <w:tc>
          <w:tcPr>
            <w:tcW w:w="1410"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Sand %</w:t>
            </w:r>
          </w:p>
        </w:tc>
        <w:tc>
          <w:tcPr>
            <w:tcW w:w="1275"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Silt %</w:t>
            </w:r>
          </w:p>
        </w:tc>
        <w:tc>
          <w:tcPr>
            <w:tcW w:w="1275"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Clay %</w:t>
            </w:r>
          </w:p>
        </w:tc>
        <w:tc>
          <w:tcPr>
            <w:tcW w:w="1275"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pH</w:t>
            </w:r>
          </w:p>
        </w:tc>
        <w:tc>
          <w:tcPr>
            <w:tcW w:w="1425"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WHC %</w:t>
            </w:r>
          </w:p>
        </w:tc>
        <w:tc>
          <w:tcPr>
            <w:tcW w:w="1275" w:type="dxa"/>
            <w:tcBorders>
              <w:top w:val="single" w:sz="8" w:space="0" w:color="000000"/>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SOM %</w:t>
            </w:r>
          </w:p>
        </w:tc>
      </w:tr>
      <w:tr w:rsidR="00546024" w:rsidRPr="00FE5931" w:rsidTr="00FE5931">
        <w:trPr>
          <w:trHeight w:val="360"/>
        </w:trPr>
        <w:tc>
          <w:tcPr>
            <w:tcW w:w="573" w:type="dxa"/>
            <w:tcBorders>
              <w:top w:val="nil"/>
              <w:left w:val="nil"/>
              <w:bottom w:val="nil"/>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U2</w:t>
            </w:r>
          </w:p>
        </w:tc>
        <w:tc>
          <w:tcPr>
            <w:tcW w:w="1410"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85.61 (± 1.3)</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9.50 (± 0.45)</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3.95 (± 0.13)</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6.75 (± 0.54)</w:t>
            </w:r>
          </w:p>
        </w:tc>
        <w:tc>
          <w:tcPr>
            <w:tcW w:w="142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49.1 (± 3.6)</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5.59 (± 0.36)</w:t>
            </w:r>
          </w:p>
        </w:tc>
      </w:tr>
      <w:tr w:rsidR="00546024" w:rsidRPr="00FE5931" w:rsidTr="00FE5931">
        <w:trPr>
          <w:trHeight w:val="510"/>
        </w:trPr>
        <w:tc>
          <w:tcPr>
            <w:tcW w:w="573" w:type="dxa"/>
            <w:tcBorders>
              <w:top w:val="nil"/>
              <w:left w:val="nil"/>
              <w:bottom w:val="nil"/>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U3</w:t>
            </w:r>
          </w:p>
        </w:tc>
        <w:tc>
          <w:tcPr>
            <w:tcW w:w="1410"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88.13 (± 0.97)</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9.53 (± 0.06)</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2.9 (± 0.26)</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7.11 (± 0.07)</w:t>
            </w:r>
          </w:p>
        </w:tc>
        <w:tc>
          <w:tcPr>
            <w:tcW w:w="142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51.6 (± 3.12)</w:t>
            </w:r>
          </w:p>
        </w:tc>
        <w:tc>
          <w:tcPr>
            <w:tcW w:w="1275" w:type="dxa"/>
            <w:tcBorders>
              <w:top w:val="nil"/>
              <w:left w:val="nil"/>
              <w:bottom w:val="nil"/>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6.11 (± 0.84)</w:t>
            </w:r>
          </w:p>
        </w:tc>
      </w:tr>
      <w:tr w:rsidR="00546024" w:rsidRPr="00FE5931" w:rsidTr="00FE5931">
        <w:trPr>
          <w:trHeight w:val="525"/>
        </w:trPr>
        <w:tc>
          <w:tcPr>
            <w:tcW w:w="573" w:type="dxa"/>
            <w:tcBorders>
              <w:top w:val="nil"/>
              <w:left w:val="nil"/>
              <w:bottom w:val="single" w:sz="8" w:space="0" w:color="000000"/>
              <w:right w:val="nil"/>
            </w:tcBorders>
            <w:tcMar>
              <w:top w:w="0" w:type="dxa"/>
              <w:left w:w="0" w:type="dxa"/>
              <w:bottom w:w="0" w:type="dxa"/>
              <w:right w:w="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U4</w:t>
            </w:r>
          </w:p>
        </w:tc>
        <w:tc>
          <w:tcPr>
            <w:tcW w:w="1410"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86.9 (± 0.70)</w:t>
            </w:r>
          </w:p>
        </w:tc>
        <w:tc>
          <w:tcPr>
            <w:tcW w:w="1275"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9.25 (± 0.31)</w:t>
            </w:r>
          </w:p>
        </w:tc>
        <w:tc>
          <w:tcPr>
            <w:tcW w:w="1275"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3.26 (± 0.16)</w:t>
            </w:r>
          </w:p>
        </w:tc>
        <w:tc>
          <w:tcPr>
            <w:tcW w:w="1275"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6.89 (± 0.49)</w:t>
            </w:r>
          </w:p>
        </w:tc>
        <w:tc>
          <w:tcPr>
            <w:tcW w:w="1425"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44.9 (± 2.78)</w:t>
            </w:r>
          </w:p>
        </w:tc>
        <w:tc>
          <w:tcPr>
            <w:tcW w:w="1275" w:type="dxa"/>
            <w:tcBorders>
              <w:top w:val="nil"/>
              <w:left w:val="nil"/>
              <w:bottom w:val="single" w:sz="8" w:space="0" w:color="000000"/>
              <w:right w:val="nil"/>
            </w:tcBorders>
            <w:tcMar>
              <w:top w:w="0" w:type="dxa"/>
              <w:left w:w="0" w:type="dxa"/>
              <w:bottom w:w="0" w:type="dxa"/>
              <w:right w:w="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5.42 (± 0.83)</w:t>
            </w:r>
          </w:p>
        </w:tc>
      </w:tr>
    </w:tbl>
    <w:p w:rsidR="00546024" w:rsidRDefault="00546024">
      <w:pPr>
        <w:spacing w:after="0"/>
        <w:rPr>
          <w:rFonts w:ascii="Times New Roman" w:eastAsia="Times New Roman" w:hAnsi="Times New Roman" w:cs="Times New Roman"/>
        </w:rPr>
      </w:pPr>
    </w:p>
    <w:p w:rsidR="00546024" w:rsidRDefault="00546024">
      <w:pPr>
        <w:spacing w:after="0"/>
        <w:rPr>
          <w:rFonts w:ascii="Times New Roman" w:eastAsia="Times New Roman" w:hAnsi="Times New Roman" w:cs="Times New Roman"/>
          <w:b/>
          <w:bCs/>
        </w:rPr>
      </w:pPr>
      <w:bookmarkStart w:id="3" w:name="_heading=h.m2bn0xmejcu0" w:colFirst="0" w:colLast="0"/>
      <w:bookmarkEnd w:id="3"/>
    </w:p>
    <w:p w:rsidR="00546024" w:rsidRDefault="00830C00">
      <w:pPr>
        <w:spacing w:after="0"/>
        <w:jc w:val="both"/>
        <w:rPr>
          <w:rFonts w:ascii="Times New Roman" w:eastAsia="Times New Roman" w:hAnsi="Times New Roman" w:cs="Times New Roman"/>
          <w:b/>
          <w:bCs/>
        </w:rPr>
      </w:pPr>
      <w:bookmarkStart w:id="4" w:name="_heading=h.o9z2vpz3d7lb" w:colFirst="0" w:colLast="0"/>
      <w:bookmarkEnd w:id="4"/>
      <w:r>
        <w:rPr>
          <w:rFonts w:ascii="Times New Roman" w:eastAsia="Times New Roman" w:hAnsi="Times New Roman" w:cs="Times New Roman"/>
          <w:b/>
          <w:bCs/>
        </w:rPr>
        <w:t xml:space="preserve">SM4 - </w:t>
      </w:r>
      <w:r>
        <w:rPr>
          <w:rFonts w:ascii="Times New Roman" w:eastAsia="Times New Roman" w:hAnsi="Times New Roman" w:cs="Times New Roman"/>
          <w:b/>
          <w:bCs/>
          <w:sz w:val="20"/>
          <w:szCs w:val="20"/>
        </w:rPr>
        <w:t>Statistical results of generalized linear models (GLMs) for the behavioural response of invertebrate model organisms across different green areas. For each model organism, the p-values indicate the significance of differences between green areas (U2, U3, a</w:t>
      </w:r>
      <w:r>
        <w:rPr>
          <w:rFonts w:ascii="Times New Roman" w:eastAsia="Times New Roman" w:hAnsi="Times New Roman" w:cs="Times New Roman"/>
          <w:b/>
          <w:bCs/>
          <w:sz w:val="20"/>
          <w:szCs w:val="20"/>
        </w:rPr>
        <w:t>nd U4) (</w:t>
      </w:r>
      <w:proofErr w:type="spellStart"/>
      <w:r>
        <w:rPr>
          <w:rFonts w:ascii="Times New Roman" w:eastAsia="Times New Roman" w:hAnsi="Times New Roman" w:cs="Times New Roman"/>
          <w:b/>
          <w:bCs/>
          <w:sz w:val="20"/>
          <w:szCs w:val="20"/>
        </w:rPr>
        <w:t>Signif</w:t>
      </w:r>
      <w:proofErr w:type="spellEnd"/>
      <w:r>
        <w:rPr>
          <w:rFonts w:ascii="Times New Roman" w:eastAsia="Times New Roman" w:hAnsi="Times New Roman" w:cs="Times New Roman"/>
          <w:b/>
          <w:bCs/>
          <w:sz w:val="20"/>
          <w:szCs w:val="20"/>
        </w:rPr>
        <w:t xml:space="preserve">. codes:  0 ‘***’ 0.001 ‘**’ 0.01 ‘*’ 0.05). Model fit statistics, including estimate, standard error (SE.), z value, Confident Interval (CI), and Akaike Information Criterion (AIC) are also presented. </w:t>
      </w:r>
    </w:p>
    <w:p w:rsidR="00546024" w:rsidRDefault="00546024">
      <w:pPr>
        <w:spacing w:after="0"/>
        <w:jc w:val="both"/>
        <w:rPr>
          <w:rFonts w:ascii="Times New Roman" w:eastAsia="Times New Roman" w:hAnsi="Times New Roman" w:cs="Times New Roman"/>
          <w:b/>
          <w:bCs/>
          <w:sz w:val="20"/>
          <w:szCs w:val="20"/>
        </w:rPr>
      </w:pPr>
      <w:bookmarkStart w:id="5" w:name="_heading=h.r4v0q3jvrbug" w:colFirst="0" w:colLast="0"/>
      <w:bookmarkEnd w:id="5"/>
    </w:p>
    <w:tbl>
      <w:tblPr>
        <w:tblStyle w:val="aa"/>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6"/>
        <w:gridCol w:w="1491"/>
        <w:gridCol w:w="1134"/>
        <w:gridCol w:w="989"/>
        <w:gridCol w:w="536"/>
        <w:gridCol w:w="744"/>
        <w:gridCol w:w="977"/>
        <w:gridCol w:w="865"/>
        <w:gridCol w:w="879"/>
        <w:gridCol w:w="680"/>
      </w:tblGrid>
      <w:tr w:rsidR="00546024" w:rsidTr="00FE5931">
        <w:trPr>
          <w:trHeight w:val="485"/>
        </w:trPr>
        <w:tc>
          <w:tcPr>
            <w:tcW w:w="1486"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Model organisms</w:t>
            </w:r>
          </w:p>
        </w:tc>
        <w:tc>
          <w:tcPr>
            <w:tcW w:w="1491"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Behavioural endpoint</w:t>
            </w:r>
          </w:p>
        </w:tc>
        <w:tc>
          <w:tcPr>
            <w:tcW w:w="1134"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Samples</w:t>
            </w:r>
          </w:p>
        </w:tc>
        <w:tc>
          <w:tcPr>
            <w:tcW w:w="989"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Estimate</w:t>
            </w:r>
          </w:p>
        </w:tc>
        <w:tc>
          <w:tcPr>
            <w:tcW w:w="536"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w:t>
            </w:r>
          </w:p>
        </w:tc>
        <w:tc>
          <w:tcPr>
            <w:tcW w:w="744"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z value</w:t>
            </w:r>
          </w:p>
        </w:tc>
        <w:tc>
          <w:tcPr>
            <w:tcW w:w="977"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 value</w:t>
            </w:r>
          </w:p>
        </w:tc>
        <w:tc>
          <w:tcPr>
            <w:tcW w:w="86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Signif</w:t>
            </w:r>
            <w:proofErr w:type="spellEnd"/>
            <w:r>
              <w:rPr>
                <w:rFonts w:ascii="Times New Roman" w:eastAsia="Times New Roman" w:hAnsi="Times New Roman" w:cs="Times New Roman"/>
                <w:b/>
                <w:bCs/>
                <w:sz w:val="20"/>
                <w:szCs w:val="20"/>
              </w:rPr>
              <w:t>.</w:t>
            </w:r>
          </w:p>
        </w:tc>
        <w:tc>
          <w:tcPr>
            <w:tcW w:w="879"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CI</w:t>
            </w:r>
          </w:p>
        </w:tc>
        <w:tc>
          <w:tcPr>
            <w:tcW w:w="680"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AIC</w:t>
            </w:r>
          </w:p>
        </w:tc>
      </w:tr>
      <w:tr w:rsidR="00546024" w:rsidRPr="00FE5931" w:rsidTr="00FE5931">
        <w:trPr>
          <w:trHeight w:val="485"/>
        </w:trPr>
        <w:tc>
          <w:tcPr>
            <w:tcW w:w="1486"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
                <w:bCs/>
                <w:i/>
                <w:sz w:val="20"/>
                <w:szCs w:val="20"/>
              </w:rPr>
            </w:pPr>
            <w:r w:rsidRPr="00FE5931">
              <w:rPr>
                <w:rFonts w:ascii="Times New Roman" w:eastAsia="Times New Roman" w:hAnsi="Times New Roman" w:cs="Times New Roman"/>
                <w:b/>
                <w:bCs/>
                <w:i/>
                <w:sz w:val="20"/>
                <w:szCs w:val="20"/>
              </w:rPr>
              <w:t xml:space="preserve">E. </w:t>
            </w:r>
            <w:proofErr w:type="spellStart"/>
            <w:r w:rsidRPr="00FE5931">
              <w:rPr>
                <w:rFonts w:ascii="Times New Roman" w:eastAsia="Times New Roman" w:hAnsi="Times New Roman" w:cs="Times New Roman"/>
                <w:b/>
                <w:bCs/>
                <w:i/>
                <w:sz w:val="20"/>
                <w:szCs w:val="20"/>
              </w:rPr>
              <w:t>fetida</w:t>
            </w:r>
            <w:proofErr w:type="spellEnd"/>
          </w:p>
        </w:tc>
        <w:tc>
          <w:tcPr>
            <w:tcW w:w="1491"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Avoidance</w:t>
            </w:r>
          </w:p>
        </w:tc>
        <w:tc>
          <w:tcPr>
            <w:tcW w:w="1134"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(Intercept)</w:t>
            </w:r>
          </w:p>
        </w:tc>
        <w:tc>
          <w:tcPr>
            <w:tcW w:w="989"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1.23</w:t>
            </w:r>
          </w:p>
        </w:tc>
        <w:tc>
          <w:tcPr>
            <w:tcW w:w="536"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1.14</w:t>
            </w:r>
          </w:p>
        </w:tc>
        <w:tc>
          <w:tcPr>
            <w:tcW w:w="744"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1.08</w:t>
            </w:r>
          </w:p>
        </w:tc>
        <w:tc>
          <w:tcPr>
            <w:tcW w:w="977"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0.28</w:t>
            </w:r>
          </w:p>
        </w:tc>
        <w:tc>
          <w:tcPr>
            <w:tcW w:w="865"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[-5.53-4.18]</w:t>
            </w:r>
          </w:p>
        </w:tc>
        <w:tc>
          <w:tcPr>
            <w:tcW w:w="680"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n.d.</w:t>
            </w:r>
          </w:p>
        </w:tc>
      </w:tr>
      <w:tr w:rsidR="00546024" w:rsidRPr="00FE5931" w:rsidTr="00FE5931">
        <w:trPr>
          <w:trHeight w:val="485"/>
        </w:trPr>
        <w:tc>
          <w:tcPr>
            <w:tcW w:w="1486"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U2</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2.37</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1.30</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1.82</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0.068</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U3</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2.06</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1.3</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1.58</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0.11</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U4</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2.82</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1.3</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2.17</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0.036</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
                <w:bCs/>
                <w:i/>
                <w:sz w:val="20"/>
                <w:szCs w:val="20"/>
              </w:rPr>
            </w:pPr>
            <w:r w:rsidRPr="00FE5931">
              <w:rPr>
                <w:rFonts w:ascii="Times New Roman" w:eastAsia="Times New Roman" w:hAnsi="Times New Roman" w:cs="Times New Roman"/>
                <w:b/>
                <w:bCs/>
                <w:i/>
                <w:sz w:val="20"/>
                <w:szCs w:val="20"/>
              </w:rPr>
              <w:t>F. candida</w:t>
            </w:r>
          </w:p>
        </w:tc>
        <w:tc>
          <w:tcPr>
            <w:tcW w:w="1491"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Avoidance</w:t>
            </w: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(Intercept)</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1.39</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0.41</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3.38</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0.00072</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[-5.52-4.61]</w:t>
            </w:r>
          </w:p>
        </w:tc>
        <w:tc>
          <w:tcPr>
            <w:tcW w:w="68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524</w:t>
            </w:r>
          </w:p>
        </w:tc>
      </w:tr>
      <w:tr w:rsidR="00546024" w:rsidRPr="00FE5931" w:rsidTr="00FE5931">
        <w:trPr>
          <w:trHeight w:val="485"/>
        </w:trPr>
        <w:tc>
          <w:tcPr>
            <w:tcW w:w="1486"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U2</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0.71</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0.48</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1.48</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0.14</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U3</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1.89</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0.91</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2.08</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0.037</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i/>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U4</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2.71</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0.45</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5.97</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2.39e-9</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r>
      <w:tr w:rsidR="00546024" w:rsidRPr="00FE5931" w:rsidTr="00FE5931">
        <w:trPr>
          <w:trHeight w:val="485"/>
        </w:trPr>
        <w:tc>
          <w:tcPr>
            <w:tcW w:w="1486"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
                <w:bCs/>
                <w:i/>
                <w:sz w:val="20"/>
                <w:szCs w:val="20"/>
              </w:rPr>
            </w:pPr>
            <w:r w:rsidRPr="00FE5931">
              <w:rPr>
                <w:rFonts w:ascii="Times New Roman" w:eastAsia="Times New Roman" w:hAnsi="Times New Roman" w:cs="Times New Roman"/>
                <w:b/>
                <w:bCs/>
                <w:i/>
                <w:sz w:val="20"/>
                <w:szCs w:val="20"/>
              </w:rPr>
              <w:t xml:space="preserve">P. </w:t>
            </w:r>
            <w:proofErr w:type="spellStart"/>
            <w:r w:rsidRPr="00FE5931">
              <w:rPr>
                <w:rFonts w:ascii="Times New Roman" w:eastAsia="Times New Roman" w:hAnsi="Times New Roman" w:cs="Times New Roman"/>
                <w:b/>
                <w:bCs/>
                <w:i/>
                <w:sz w:val="20"/>
                <w:szCs w:val="20"/>
              </w:rPr>
              <w:t>pruinosus</w:t>
            </w:r>
            <w:proofErr w:type="spellEnd"/>
          </w:p>
        </w:tc>
        <w:tc>
          <w:tcPr>
            <w:tcW w:w="1491"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Avoidance</w:t>
            </w: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(Intercept)</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2.17</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0.33</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6.52</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6.92e-11</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[-4.48-6.15]</w:t>
            </w:r>
          </w:p>
        </w:tc>
        <w:tc>
          <w:tcPr>
            <w:tcW w:w="68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514</w:t>
            </w: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U2</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0.55</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0.37</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1.47</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0.14</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U3</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1.97</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0.38</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5.13</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2.97e-7</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U4</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2.23</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0.36</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6.13</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8.92e-10</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Disaggregation</w:t>
            </w: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(Intercept)</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2.71</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0.21</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12.9</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&lt; 2e-16</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[-7.64-7.74]</w:t>
            </w:r>
          </w:p>
        </w:tc>
        <w:tc>
          <w:tcPr>
            <w:tcW w:w="680"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991</w:t>
            </w: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U2</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0.48</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0.26</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1.85</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0.065</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 xml:space="preserve"> </w:t>
            </w:r>
          </w:p>
        </w:tc>
        <w:tc>
          <w:tcPr>
            <w:tcW w:w="879"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U3</w:t>
            </w:r>
          </w:p>
        </w:tc>
        <w:tc>
          <w:tcPr>
            <w:tcW w:w="989"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0.41</w:t>
            </w:r>
          </w:p>
        </w:tc>
        <w:tc>
          <w:tcPr>
            <w:tcW w:w="536"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0.24</w:t>
            </w:r>
          </w:p>
        </w:tc>
        <w:tc>
          <w:tcPr>
            <w:tcW w:w="744"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1.69</w:t>
            </w:r>
          </w:p>
        </w:tc>
        <w:tc>
          <w:tcPr>
            <w:tcW w:w="977"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0.09</w:t>
            </w:r>
          </w:p>
        </w:tc>
        <w:tc>
          <w:tcPr>
            <w:tcW w:w="86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r w:rsidR="00546024" w:rsidTr="00FE5931">
        <w:trPr>
          <w:trHeight w:val="485"/>
        </w:trPr>
        <w:tc>
          <w:tcPr>
            <w:tcW w:w="1486"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1491"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sz w:val="20"/>
                <w:szCs w:val="20"/>
              </w:rPr>
            </w:pPr>
          </w:p>
        </w:tc>
        <w:tc>
          <w:tcPr>
            <w:tcW w:w="1134"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U4</w:t>
            </w:r>
          </w:p>
        </w:tc>
        <w:tc>
          <w:tcPr>
            <w:tcW w:w="989"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1.68</w:t>
            </w:r>
          </w:p>
        </w:tc>
        <w:tc>
          <w:tcPr>
            <w:tcW w:w="536"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0.24</w:t>
            </w:r>
          </w:p>
        </w:tc>
        <w:tc>
          <w:tcPr>
            <w:tcW w:w="744"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7.14</w:t>
            </w:r>
          </w:p>
        </w:tc>
        <w:tc>
          <w:tcPr>
            <w:tcW w:w="977"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9.19 e-13</w:t>
            </w:r>
          </w:p>
        </w:tc>
        <w:tc>
          <w:tcPr>
            <w:tcW w:w="865"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sz w:val="20"/>
                <w:szCs w:val="20"/>
              </w:rPr>
            </w:pPr>
            <w:r w:rsidRPr="00FE5931">
              <w:rPr>
                <w:rFonts w:ascii="Times New Roman" w:eastAsia="Times New Roman" w:hAnsi="Times New Roman" w:cs="Times New Roman"/>
                <w:bCs/>
                <w:sz w:val="20"/>
                <w:szCs w:val="20"/>
              </w:rPr>
              <w:t>***</w:t>
            </w:r>
          </w:p>
        </w:tc>
        <w:tc>
          <w:tcPr>
            <w:tcW w:w="879"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c>
          <w:tcPr>
            <w:tcW w:w="68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c>
      </w:tr>
    </w:tbl>
    <w:p w:rsidR="00546024" w:rsidRDefault="00546024">
      <w:pPr>
        <w:spacing w:after="0"/>
        <w:jc w:val="both"/>
        <w:rPr>
          <w:rFonts w:ascii="Times New Roman" w:eastAsia="Times New Roman" w:hAnsi="Times New Roman" w:cs="Times New Roman"/>
          <w:sz w:val="20"/>
          <w:szCs w:val="20"/>
        </w:rPr>
      </w:pPr>
    </w:p>
    <w:p w:rsidR="00546024" w:rsidRDefault="00546024">
      <w:pPr>
        <w:spacing w:after="0"/>
        <w:jc w:val="both"/>
        <w:rPr>
          <w:rFonts w:ascii="Times New Roman" w:eastAsia="Times New Roman" w:hAnsi="Times New Roman" w:cs="Times New Roman"/>
          <w:sz w:val="20"/>
          <w:szCs w:val="20"/>
        </w:rPr>
      </w:pPr>
      <w:bookmarkStart w:id="6" w:name="_heading=h.wt526at8nj57" w:colFirst="0" w:colLast="0"/>
      <w:bookmarkEnd w:id="6"/>
    </w:p>
    <w:p w:rsidR="00546024" w:rsidRDefault="00830C00">
      <w:pPr>
        <w:spacing w:after="0"/>
        <w:jc w:val="both"/>
        <w:rPr>
          <w:rFonts w:ascii="Times New Roman" w:eastAsia="Times New Roman" w:hAnsi="Times New Roman" w:cs="Times New Roman"/>
          <w:b/>
          <w:bCs/>
        </w:rPr>
      </w:pPr>
      <w:bookmarkStart w:id="7" w:name="_heading=h.wjl152gbwdou" w:colFirst="0" w:colLast="0"/>
      <w:bookmarkEnd w:id="7"/>
      <w:r>
        <w:rPr>
          <w:rFonts w:ascii="Times New Roman" w:eastAsia="Times New Roman" w:hAnsi="Times New Roman" w:cs="Times New Roman"/>
          <w:b/>
          <w:bCs/>
          <w:sz w:val="20"/>
          <w:szCs w:val="20"/>
        </w:rPr>
        <w:t>SM5 - Statistical results of generalized linear models (GLMs) for the comparison of taxa and invertebrate groups across different green areas. For each taxon or invertebrate group, the p-values indicate the significance of differences between green areas (</w:t>
      </w:r>
      <w:r>
        <w:rPr>
          <w:rFonts w:ascii="Times New Roman" w:eastAsia="Times New Roman" w:hAnsi="Times New Roman" w:cs="Times New Roman"/>
          <w:b/>
          <w:bCs/>
          <w:sz w:val="20"/>
          <w:szCs w:val="20"/>
        </w:rPr>
        <w:t>U2, U3, and U4) (</w:t>
      </w:r>
      <w:proofErr w:type="spellStart"/>
      <w:r>
        <w:rPr>
          <w:rFonts w:ascii="Times New Roman" w:eastAsia="Times New Roman" w:hAnsi="Times New Roman" w:cs="Times New Roman"/>
          <w:b/>
          <w:bCs/>
          <w:sz w:val="20"/>
          <w:szCs w:val="20"/>
        </w:rPr>
        <w:t>Signif</w:t>
      </w:r>
      <w:proofErr w:type="spellEnd"/>
      <w:r>
        <w:rPr>
          <w:rFonts w:ascii="Times New Roman" w:eastAsia="Times New Roman" w:hAnsi="Times New Roman" w:cs="Times New Roman"/>
          <w:b/>
          <w:bCs/>
          <w:sz w:val="20"/>
          <w:szCs w:val="20"/>
        </w:rPr>
        <w:t>. codes:  0 ‘***’ 0.001 ‘**’ 0.01 ‘*’ 0.05). Model fit statistics, including dispersion, null deviance (Null Dev.), residual deviance (Res. Dev.), and Akaike Information Criterion (AIC), are also presented. The number of interactions</w:t>
      </w:r>
      <w:r>
        <w:rPr>
          <w:rFonts w:ascii="Times New Roman" w:eastAsia="Times New Roman" w:hAnsi="Times New Roman" w:cs="Times New Roman"/>
          <w:b/>
          <w:bCs/>
          <w:sz w:val="20"/>
          <w:szCs w:val="20"/>
        </w:rPr>
        <w:t xml:space="preserve"> (N. of Inter.) refers to the number of pairwise comparisons conducted within each model. </w:t>
      </w:r>
    </w:p>
    <w:p w:rsidR="00546024" w:rsidRDefault="00546024">
      <w:pPr>
        <w:spacing w:after="0"/>
        <w:rPr>
          <w:rFonts w:ascii="Times New Roman" w:eastAsia="Times New Roman" w:hAnsi="Times New Roman" w:cs="Times New Roman"/>
          <w:b/>
          <w:bCs/>
        </w:rPr>
      </w:pPr>
      <w:bookmarkStart w:id="8" w:name="_heading=h.k87w2ogmubtr" w:colFirst="0" w:colLast="0"/>
      <w:bookmarkEnd w:id="8"/>
    </w:p>
    <w:tbl>
      <w:tblPr>
        <w:tblStyle w:val="ab"/>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89"/>
        <w:gridCol w:w="792"/>
        <w:gridCol w:w="1599"/>
        <w:gridCol w:w="1277"/>
        <w:gridCol w:w="1233"/>
        <w:gridCol w:w="1247"/>
        <w:gridCol w:w="938"/>
        <w:gridCol w:w="762"/>
      </w:tblGrid>
      <w:tr w:rsidR="00546024">
        <w:trPr>
          <w:trHeight w:val="671"/>
        </w:trPr>
        <w:tc>
          <w:tcPr>
            <w:tcW w:w="1789"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Variables</w:t>
            </w:r>
          </w:p>
        </w:tc>
        <w:tc>
          <w:tcPr>
            <w:tcW w:w="792"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Areas</w:t>
            </w:r>
          </w:p>
        </w:tc>
        <w:tc>
          <w:tcPr>
            <w:tcW w:w="1598"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p value</w:t>
            </w:r>
          </w:p>
        </w:tc>
        <w:tc>
          <w:tcPr>
            <w:tcW w:w="1276"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Dispersion</w:t>
            </w:r>
          </w:p>
        </w:tc>
        <w:tc>
          <w:tcPr>
            <w:tcW w:w="1232"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Null Dev.</w:t>
            </w:r>
          </w:p>
        </w:tc>
        <w:tc>
          <w:tcPr>
            <w:tcW w:w="1246"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Res. Dev.</w:t>
            </w:r>
          </w:p>
        </w:tc>
        <w:tc>
          <w:tcPr>
            <w:tcW w:w="938"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AIC</w:t>
            </w:r>
          </w:p>
        </w:tc>
        <w:tc>
          <w:tcPr>
            <w:tcW w:w="762" w:type="dxa"/>
            <w:tcBorders>
              <w:top w:val="single" w:sz="6" w:space="0" w:color="000000"/>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N. of Inter.</w:t>
            </w: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Taxa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22.64</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5.18</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124.3</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0.00051***</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0.00039***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Acarina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104.11</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6.28</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127.06</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6.66e-12***</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&lt; 2e-16***</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Araneae</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16.86</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10.88</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26.88</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18</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0.215</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0.997</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Chilopoda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55.47</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7.13</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37.12</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19</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Coleoptera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22.3</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21.08</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74.51</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0.533</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0.280</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Collembola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16.93</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9.25</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140.25</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0.4354</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0.0546 *</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Diplopoda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32.28</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30.17</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76.11</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0.166</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0.670</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Diplura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75.26</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30.74</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99.4</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0.384e-7***</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0.244</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Diptera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28.42</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23.86</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64.96</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0.0571*</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0.5299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Enchytreideae</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62.28</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26.39</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62.82</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17</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0.99485</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0.00239**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Gasteropoda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35.12</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7.33</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54.87</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18</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0.996750</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0.111245</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Hemiptera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32.53</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28.41</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78.68</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0.5645</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0.0578*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Hymenoptera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161.66</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19.07</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97.73</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0.683</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1.3e-13***</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Isopoda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57.12</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12.54</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51.47</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0.000311***</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0.0001059***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Lepidoptera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21.67</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21.4</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40.01</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6</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0.6569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0.6569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Lumbricinae</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31.3</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23.52</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72.69</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0.3387</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0.0832</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Nematoda</w:t>
            </w: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28.07</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14.33</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38.18</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17</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0.9951</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0.0544*</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Opiliones</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16.86</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5.88</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21.88</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19</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Pauropoda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31.12</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24.20</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75.64</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5</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0.01615*</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0.26059</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285"/>
        </w:trPr>
        <w:tc>
          <w:tcPr>
            <w:tcW w:w="1789" w:type="dxa"/>
            <w:vMerge w:val="restart"/>
            <w:tcBorders>
              <w:top w:val="nil"/>
              <w:left w:val="nil"/>
              <w:bottom w:val="nil"/>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Protura</w:t>
            </w:r>
            <w:proofErr w:type="spellEnd"/>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112.47</w:t>
            </w:r>
          </w:p>
        </w:tc>
        <w:tc>
          <w:tcPr>
            <w:tcW w:w="1246"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4.80</w:t>
            </w:r>
          </w:p>
        </w:tc>
        <w:tc>
          <w:tcPr>
            <w:tcW w:w="938"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42.48</w:t>
            </w:r>
          </w:p>
        </w:tc>
        <w:tc>
          <w:tcPr>
            <w:tcW w:w="762" w:type="dxa"/>
            <w:vMerge w:val="restart"/>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19</w:t>
            </w:r>
          </w:p>
        </w:tc>
      </w:tr>
      <w:tr w:rsidR="00546024">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rsidTr="00FE5931">
        <w:trPr>
          <w:trHeight w:val="285"/>
        </w:trPr>
        <w:tc>
          <w:tcPr>
            <w:tcW w:w="1789" w:type="dxa"/>
            <w:vMerge/>
            <w:tcBorders>
              <w:top w:val="nil"/>
              <w:left w:val="nil"/>
              <w:bottom w:val="nil"/>
              <w:right w:val="nil"/>
            </w:tcBorders>
            <w:shd w:val="clear" w:color="auto" w:fill="FFFFFF"/>
            <w:tcMar>
              <w:top w:w="0" w:type="dxa"/>
              <w:left w:w="100" w:type="dxa"/>
              <w:bottom w:w="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792" w:type="dxa"/>
            <w:tcBorders>
              <w:top w:val="nil"/>
              <w:left w:val="nil"/>
              <w:bottom w:val="nil"/>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598" w:type="dxa"/>
            <w:tcBorders>
              <w:top w:val="nil"/>
              <w:left w:val="nil"/>
              <w:bottom w:val="nil"/>
              <w:right w:val="nil"/>
            </w:tcBorders>
            <w:shd w:val="clear" w:color="auto" w:fill="FFFFFF"/>
            <w:tcMar>
              <w:top w:w="0" w:type="dxa"/>
              <w:left w:w="100" w:type="dxa"/>
              <w:bottom w:w="0" w:type="dxa"/>
              <w:right w:w="100" w:type="dxa"/>
            </w:tcMar>
            <w:vAlign w:val="bottom"/>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0.998</w:t>
            </w:r>
          </w:p>
        </w:tc>
        <w:tc>
          <w:tcPr>
            <w:tcW w:w="127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3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46"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938"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762" w:type="dxa"/>
            <w:vMerge/>
            <w:tcBorders>
              <w:top w:val="nil"/>
              <w:left w:val="nil"/>
              <w:bottom w:val="nil"/>
              <w:right w:val="nil"/>
            </w:tcBorders>
            <w:shd w:val="clear" w:color="auto" w:fill="FFFFFF"/>
            <w:tcMar>
              <w:top w:w="0" w:type="dxa"/>
              <w:left w:w="100" w:type="dxa"/>
              <w:bottom w:w="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rsidTr="00FE5931">
        <w:trPr>
          <w:trHeight w:val="285"/>
        </w:trPr>
        <w:tc>
          <w:tcPr>
            <w:tcW w:w="1789"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Default="00830C00">
            <w:pPr>
              <w:spacing w:before="240"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Symphila</w:t>
            </w:r>
          </w:p>
        </w:tc>
        <w:tc>
          <w:tcPr>
            <w:tcW w:w="792" w:type="dxa"/>
            <w:tcBorders>
              <w:top w:val="nil"/>
              <w:left w:val="nil"/>
              <w:bottom w:val="single" w:sz="4" w:space="0" w:color="auto"/>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U2</w:t>
            </w:r>
          </w:p>
        </w:tc>
        <w:tc>
          <w:tcPr>
            <w:tcW w:w="1598" w:type="dxa"/>
            <w:tcBorders>
              <w:top w:val="nil"/>
              <w:left w:val="nil"/>
              <w:bottom w:val="single" w:sz="4" w:space="0" w:color="auto"/>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276"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32"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15.96</w:t>
            </w:r>
          </w:p>
        </w:tc>
        <w:tc>
          <w:tcPr>
            <w:tcW w:w="1246"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9.36</w:t>
            </w:r>
          </w:p>
        </w:tc>
        <w:tc>
          <w:tcPr>
            <w:tcW w:w="938"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19.98</w:t>
            </w:r>
          </w:p>
        </w:tc>
        <w:tc>
          <w:tcPr>
            <w:tcW w:w="762" w:type="dxa"/>
            <w:tcBorders>
              <w:top w:val="nil"/>
              <w:left w:val="nil"/>
              <w:bottom w:val="single" w:sz="6" w:space="0" w:color="000000"/>
              <w:right w:val="nil"/>
            </w:tcBorders>
            <w:shd w:val="clear" w:color="auto" w:fill="FFFFFF"/>
            <w:tcMar>
              <w:top w:w="0" w:type="dxa"/>
              <w:left w:w="100" w:type="dxa"/>
              <w:bottom w:w="0" w:type="dxa"/>
              <w:right w:w="100" w:type="dxa"/>
            </w:tcMar>
          </w:tcPr>
          <w:p w:rsidR="00546024" w:rsidRPr="00FE5931" w:rsidRDefault="00830C00">
            <w:pPr>
              <w:spacing w:before="240" w:after="0" w:line="276" w:lineRule="auto"/>
              <w:jc w:val="center"/>
              <w:rPr>
                <w:rFonts w:ascii="Times New Roman" w:eastAsia="Times New Roman" w:hAnsi="Times New Roman" w:cs="Times New Roman"/>
                <w:bCs/>
              </w:rPr>
            </w:pPr>
            <w:r w:rsidRPr="00FE5931">
              <w:rPr>
                <w:rFonts w:ascii="Times New Roman" w:eastAsia="Times New Roman" w:hAnsi="Times New Roman" w:cs="Times New Roman"/>
                <w:bCs/>
              </w:rPr>
              <w:t>18</w:t>
            </w:r>
          </w:p>
        </w:tc>
      </w:tr>
    </w:tbl>
    <w:p w:rsidR="00546024" w:rsidRDefault="00546024">
      <w:pPr>
        <w:spacing w:after="0"/>
        <w:rPr>
          <w:rFonts w:ascii="Times New Roman" w:eastAsia="Times New Roman" w:hAnsi="Times New Roman" w:cs="Times New Roman"/>
          <w:b/>
          <w:bCs/>
        </w:rPr>
      </w:pPr>
    </w:p>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 xml:space="preserve">SM6- Extracted eigenvectors and eigenvalues from the Principal Component Analysis (PCA) of soils from U2, U3, and U4 green areas. Bold values: eigenvector positive and negative weak loading of first (PC1) and second (PC2) principal components. </w:t>
      </w:r>
    </w:p>
    <w:tbl>
      <w:tblPr>
        <w:tblStyle w:val="ad"/>
        <w:tblW w:w="6786" w:type="dxa"/>
        <w:jc w:val="center"/>
        <w:tblInd w:w="0" w:type="dxa"/>
        <w:tblLayout w:type="fixed"/>
        <w:tblLook w:val="0400" w:firstRow="0" w:lastRow="0" w:firstColumn="0" w:lastColumn="0" w:noHBand="0" w:noVBand="1"/>
      </w:tblPr>
      <w:tblGrid>
        <w:gridCol w:w="2323"/>
        <w:gridCol w:w="1039"/>
        <w:gridCol w:w="855"/>
        <w:gridCol w:w="855"/>
        <w:gridCol w:w="855"/>
        <w:gridCol w:w="859"/>
      </w:tblGrid>
      <w:tr w:rsidR="00546024">
        <w:trPr>
          <w:trHeight w:val="300"/>
          <w:jc w:val="center"/>
        </w:trPr>
        <w:tc>
          <w:tcPr>
            <w:tcW w:w="2323" w:type="dxa"/>
            <w:vMerge w:val="restart"/>
            <w:tcBorders>
              <w:top w:val="single" w:sz="4" w:space="0" w:color="000000"/>
              <w:left w:val="nil"/>
              <w:bottom w:val="single" w:sz="4" w:space="0" w:color="000000"/>
              <w:right w:val="nil"/>
            </w:tcBorders>
            <w:shd w:val="clear" w:color="auto" w:fill="auto"/>
            <w:vAlign w:val="center"/>
          </w:tcPr>
          <w:p w:rsidR="00546024" w:rsidRDefault="00830C00">
            <w:pPr>
              <w:spacing w:after="0" w:line="240" w:lineRule="auto"/>
              <w:jc w:val="center"/>
              <w:rPr>
                <w:rFonts w:ascii="Times New Roman" w:eastAsia="Times New Roman" w:hAnsi="Times New Roman" w:cs="Times New Roman"/>
                <w:b/>
                <w:bCs/>
                <w:color w:val="000000"/>
              </w:rPr>
            </w:pPr>
            <w:bookmarkStart w:id="9" w:name="_heading=h.sj5iuwigsyjf" w:colFirst="0" w:colLast="0"/>
            <w:bookmarkEnd w:id="9"/>
            <w:r>
              <w:rPr>
                <w:rFonts w:ascii="Times New Roman" w:eastAsia="Times New Roman" w:hAnsi="Times New Roman" w:cs="Times New Roman"/>
                <w:b/>
                <w:bCs/>
                <w:color w:val="000000"/>
              </w:rPr>
              <w:t>Taxa</w:t>
            </w:r>
          </w:p>
        </w:tc>
        <w:tc>
          <w:tcPr>
            <w:tcW w:w="4463" w:type="dxa"/>
            <w:gridSpan w:val="5"/>
            <w:tcBorders>
              <w:top w:val="single" w:sz="4" w:space="0" w:color="000000"/>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Extracted Eigenvectors</w:t>
            </w:r>
          </w:p>
        </w:tc>
      </w:tr>
      <w:tr w:rsidR="00546024">
        <w:trPr>
          <w:trHeight w:val="300"/>
          <w:jc w:val="center"/>
        </w:trPr>
        <w:tc>
          <w:tcPr>
            <w:tcW w:w="2323" w:type="dxa"/>
            <w:vMerge/>
            <w:tcBorders>
              <w:top w:val="single" w:sz="4" w:space="0" w:color="000000"/>
              <w:left w:val="nil"/>
              <w:bottom w:val="single" w:sz="4" w:space="0" w:color="000000"/>
              <w:right w:val="nil"/>
            </w:tcBorders>
            <w:shd w:val="clear" w:color="auto" w:fill="auto"/>
            <w:vAlign w:val="cente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1039"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PC1</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PC2</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PC3</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PC4</w:t>
            </w:r>
          </w:p>
        </w:tc>
        <w:tc>
          <w:tcPr>
            <w:tcW w:w="859"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PC5</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Acarina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0,12</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-0,08</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-0,02</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Araneae</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0,12</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-0,14</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0,54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Chilopoda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0,36</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-0,08</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0,03</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Coleoptera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0,10</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0,22</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-0,56</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Collembola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0,38</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0,06</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Diplopoda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0,53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0,11</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-0,09</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Diplura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Diptera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0,21</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0,39</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Hemiptera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0,10</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-0,16</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-0,39</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Enchytreida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-0,11</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0,18</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0,27</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Gasteropoda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0,26</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-0,30</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0,22</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Hymenoptera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-0,20</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-0,43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Isopoda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0,36</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Lepidoptera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-0,42</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0,13</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Lumbricinae</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0,26</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Nematoda</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0,28</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-0,06</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0,22</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0,21</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-0,11</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Opiliones</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0,28</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0,10</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0,16</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-0,44</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Pauropoda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0,26</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0,23</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Protura</w:t>
            </w:r>
            <w:proofErr w:type="spellEnd"/>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-0,03</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-0,04</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0,03</w:t>
            </w:r>
          </w:p>
        </w:tc>
      </w:tr>
      <w:tr w:rsidR="00546024">
        <w:trPr>
          <w:trHeight w:val="300"/>
          <w:jc w:val="center"/>
        </w:trPr>
        <w:tc>
          <w:tcPr>
            <w:tcW w:w="2323"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Symphyla</w:t>
            </w:r>
            <w:proofErr w:type="spellEnd"/>
          </w:p>
        </w:tc>
        <w:tc>
          <w:tcPr>
            <w:tcW w:w="1039" w:type="dxa"/>
            <w:tcBorders>
              <w:top w:val="nil"/>
              <w:left w:val="nil"/>
              <w:bottom w:val="single" w:sz="4" w:space="0" w:color="000000"/>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-0,08</w:t>
            </w:r>
          </w:p>
        </w:tc>
        <w:tc>
          <w:tcPr>
            <w:tcW w:w="855" w:type="dxa"/>
            <w:tcBorders>
              <w:top w:val="nil"/>
              <w:left w:val="nil"/>
              <w:bottom w:val="single" w:sz="4" w:space="0" w:color="000000"/>
              <w:right w:val="nil"/>
            </w:tcBorders>
            <w:shd w:val="clear" w:color="auto" w:fill="FFFFFF"/>
          </w:tcPr>
          <w:p w:rsidR="00546024" w:rsidRDefault="00830C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rPr>
              <w:t>0,32</w:t>
            </w:r>
          </w:p>
        </w:tc>
        <w:tc>
          <w:tcPr>
            <w:tcW w:w="855" w:type="dxa"/>
            <w:tcBorders>
              <w:top w:val="nil"/>
              <w:left w:val="nil"/>
              <w:bottom w:val="single" w:sz="4" w:space="0" w:color="000000"/>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-0,11</w:t>
            </w:r>
          </w:p>
        </w:tc>
        <w:tc>
          <w:tcPr>
            <w:tcW w:w="855" w:type="dxa"/>
            <w:tcBorders>
              <w:top w:val="nil"/>
              <w:left w:val="nil"/>
              <w:bottom w:val="single" w:sz="4" w:space="0" w:color="000000"/>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0,30</w:t>
            </w:r>
          </w:p>
        </w:tc>
        <w:tc>
          <w:tcPr>
            <w:tcW w:w="859" w:type="dxa"/>
            <w:tcBorders>
              <w:top w:val="nil"/>
              <w:left w:val="nil"/>
              <w:bottom w:val="single" w:sz="4" w:space="0" w:color="000000"/>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-0,07</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Eigenvalue</w:t>
            </w:r>
          </w:p>
        </w:tc>
        <w:tc>
          <w:tcPr>
            <w:tcW w:w="103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6,79</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3,17</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1,95</w:t>
            </w:r>
          </w:p>
        </w:tc>
        <w:tc>
          <w:tcPr>
            <w:tcW w:w="855"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1,71</w:t>
            </w:r>
          </w:p>
        </w:tc>
        <w:tc>
          <w:tcPr>
            <w:tcW w:w="859" w:type="dxa"/>
            <w:tcBorders>
              <w:top w:val="nil"/>
              <w:left w:val="nil"/>
              <w:bottom w:val="nil"/>
              <w:right w:val="nil"/>
            </w:tcBorders>
            <w:shd w:val="clear" w:color="auto" w:fill="FFFFFF"/>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1,20</w:t>
            </w:r>
          </w:p>
        </w:tc>
      </w:tr>
      <w:tr w:rsidR="00546024">
        <w:trPr>
          <w:trHeight w:val="300"/>
          <w:jc w:val="center"/>
        </w:trPr>
        <w:tc>
          <w:tcPr>
            <w:tcW w:w="2323"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Variances %</w:t>
            </w:r>
          </w:p>
        </w:tc>
        <w:tc>
          <w:tcPr>
            <w:tcW w:w="1039"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33.93%</w:t>
            </w:r>
          </w:p>
        </w:tc>
        <w:tc>
          <w:tcPr>
            <w:tcW w:w="855"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15.85%</w:t>
            </w:r>
          </w:p>
        </w:tc>
        <w:tc>
          <w:tcPr>
            <w:tcW w:w="855"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9.77%</w:t>
            </w:r>
          </w:p>
        </w:tc>
        <w:tc>
          <w:tcPr>
            <w:tcW w:w="855"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8.56%</w:t>
            </w:r>
          </w:p>
        </w:tc>
        <w:tc>
          <w:tcPr>
            <w:tcW w:w="859" w:type="dxa"/>
            <w:tcBorders>
              <w:top w:val="nil"/>
              <w:left w:val="nil"/>
              <w:bottom w:val="nil"/>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6.02%</w:t>
            </w:r>
          </w:p>
        </w:tc>
      </w:tr>
      <w:tr w:rsidR="00546024">
        <w:trPr>
          <w:trHeight w:val="300"/>
          <w:jc w:val="center"/>
        </w:trPr>
        <w:tc>
          <w:tcPr>
            <w:tcW w:w="2323"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Cumulative Variances %</w:t>
            </w:r>
          </w:p>
        </w:tc>
        <w:tc>
          <w:tcPr>
            <w:tcW w:w="1039"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33.93%</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49.78%</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59.55%</w:t>
            </w:r>
          </w:p>
        </w:tc>
        <w:tc>
          <w:tcPr>
            <w:tcW w:w="855"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68.11%</w:t>
            </w:r>
          </w:p>
        </w:tc>
        <w:tc>
          <w:tcPr>
            <w:tcW w:w="859" w:type="dxa"/>
            <w:tcBorders>
              <w:top w:val="nil"/>
              <w:left w:val="nil"/>
              <w:bottom w:val="single" w:sz="4" w:space="0" w:color="000000"/>
              <w:right w:val="nil"/>
            </w:tcBorders>
            <w:shd w:val="clear" w:color="auto" w:fill="FFFFFF"/>
            <w:vAlign w:val="bottom"/>
          </w:tcPr>
          <w:p w:rsidR="00546024" w:rsidRDefault="00830C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74.13%</w:t>
            </w:r>
          </w:p>
        </w:tc>
      </w:tr>
    </w:tbl>
    <w:p w:rsidR="00546024" w:rsidRDefault="00546024">
      <w:pPr>
        <w:spacing w:after="0"/>
        <w:jc w:val="both"/>
        <w:rPr>
          <w:rFonts w:ascii="Times New Roman" w:eastAsia="Times New Roman" w:hAnsi="Times New Roman" w:cs="Times New Roman"/>
          <w:b/>
          <w:bCs/>
        </w:rPr>
      </w:pPr>
    </w:p>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SM7 – Bacterial communities’ genera abundances of the three green sampling areas (U2, U3, and U4).</w:t>
      </w:r>
      <w:bookmarkStart w:id="10" w:name="_GoBack"/>
      <w:bookmarkEnd w:id="10"/>
    </w:p>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noProof/>
        </w:rPr>
        <w:drawing>
          <wp:inline distT="114300" distB="114300" distL="114300" distR="114300">
            <wp:extent cx="5678805" cy="277794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678805" cy="2777944"/>
                    </a:xfrm>
                    <a:prstGeom prst="rect">
                      <a:avLst/>
                    </a:prstGeom>
                    <a:ln/>
                  </pic:spPr>
                </pic:pic>
              </a:graphicData>
            </a:graphic>
          </wp:inline>
        </w:drawing>
      </w:r>
    </w:p>
    <w:p w:rsidR="00546024" w:rsidRDefault="00830C00">
      <w:pPr>
        <w:spacing w:after="0"/>
        <w:jc w:val="both"/>
      </w:pPr>
      <w:r>
        <w:rPr>
          <w:rFonts w:ascii="Times New Roman" w:eastAsia="Times New Roman" w:hAnsi="Times New Roman" w:cs="Times New Roman"/>
          <w:b/>
          <w:bCs/>
          <w:sz w:val="20"/>
          <w:szCs w:val="20"/>
        </w:rPr>
        <w:t>Figure 5.</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Barplot</w:t>
      </w:r>
      <w:proofErr w:type="spellEnd"/>
      <w:r>
        <w:rPr>
          <w:rFonts w:ascii="Times New Roman" w:eastAsia="Times New Roman" w:hAnsi="Times New Roman" w:cs="Times New Roman"/>
          <w:sz w:val="20"/>
          <w:szCs w:val="20"/>
        </w:rPr>
        <w:t xml:space="preserve"> showing genera relative abundances of the three sampling areas. Genera with a relative abundance &lt;1% were grouped in “Other Genera”.</w:t>
      </w:r>
    </w:p>
    <w:p w:rsidR="00546024" w:rsidRDefault="00546024">
      <w:pPr>
        <w:spacing w:after="0"/>
        <w:jc w:val="both"/>
        <w:rPr>
          <w:rFonts w:ascii="Times New Roman" w:eastAsia="Times New Roman" w:hAnsi="Times New Roman" w:cs="Times New Roman"/>
          <w:b/>
          <w:bCs/>
        </w:rPr>
      </w:pPr>
    </w:p>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SM</w:t>
      </w:r>
      <w:r>
        <w:rPr>
          <w:rFonts w:ascii="Times New Roman" w:eastAsia="Times New Roman" w:hAnsi="Times New Roman" w:cs="Times New Roman"/>
          <w:b/>
          <w:bCs/>
        </w:rPr>
        <w:t xml:space="preserve">8 - </w:t>
      </w:r>
      <w:r>
        <w:rPr>
          <w:rFonts w:ascii="Times New Roman" w:eastAsia="Times New Roman" w:hAnsi="Times New Roman" w:cs="Times New Roman"/>
          <w:b/>
          <w:bCs/>
          <w:sz w:val="20"/>
          <w:szCs w:val="20"/>
        </w:rPr>
        <w:t>Statistical results of generalized linear models (GLMs) for the comparison of diversity indices across different green areas. The p-values indicate the significance of differences between green areas (U2, U3, and U4) (</w:t>
      </w:r>
      <w:proofErr w:type="spellStart"/>
      <w:r>
        <w:rPr>
          <w:rFonts w:ascii="Times New Roman" w:eastAsia="Times New Roman" w:hAnsi="Times New Roman" w:cs="Times New Roman"/>
          <w:b/>
          <w:bCs/>
          <w:sz w:val="20"/>
          <w:szCs w:val="20"/>
        </w:rPr>
        <w:t>Signif</w:t>
      </w:r>
      <w:proofErr w:type="spellEnd"/>
      <w:r>
        <w:rPr>
          <w:rFonts w:ascii="Times New Roman" w:eastAsia="Times New Roman" w:hAnsi="Times New Roman" w:cs="Times New Roman"/>
          <w:b/>
          <w:bCs/>
          <w:sz w:val="20"/>
          <w:szCs w:val="20"/>
        </w:rPr>
        <w:t>. codes:  0 ‘***’ 0.001 ‘**’</w:t>
      </w:r>
      <w:r>
        <w:rPr>
          <w:rFonts w:ascii="Times New Roman" w:eastAsia="Times New Roman" w:hAnsi="Times New Roman" w:cs="Times New Roman"/>
          <w:b/>
          <w:bCs/>
          <w:sz w:val="20"/>
          <w:szCs w:val="20"/>
        </w:rPr>
        <w:t xml:space="preserve"> 0.01 ‘*’ 0.05). Model fit statistics, including dispersion, null deviance (Null Dev.), residual deviance (Res. Dev.), and Akaike Information Criterion (AIC), are also presented. The number of interactions (N. of Inter.) refers to the number of pairwise co</w:t>
      </w:r>
      <w:r>
        <w:rPr>
          <w:rFonts w:ascii="Times New Roman" w:eastAsia="Times New Roman" w:hAnsi="Times New Roman" w:cs="Times New Roman"/>
          <w:b/>
          <w:bCs/>
          <w:sz w:val="20"/>
          <w:szCs w:val="20"/>
        </w:rPr>
        <w:t xml:space="preserve">mparisons conducted within each model. </w:t>
      </w:r>
    </w:p>
    <w:p w:rsidR="00546024" w:rsidRDefault="00546024">
      <w:pPr>
        <w:spacing w:after="0"/>
        <w:jc w:val="both"/>
        <w:rPr>
          <w:rFonts w:ascii="Times New Roman" w:eastAsia="Times New Roman" w:hAnsi="Times New Roman" w:cs="Times New Roman"/>
          <w:b/>
          <w:bCs/>
        </w:rPr>
      </w:pPr>
    </w:p>
    <w:tbl>
      <w:tblPr>
        <w:tblStyle w:val="ae"/>
        <w:tblW w:w="9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65"/>
        <w:gridCol w:w="905"/>
        <w:gridCol w:w="1385"/>
        <w:gridCol w:w="1385"/>
        <w:gridCol w:w="1205"/>
        <w:gridCol w:w="1205"/>
        <w:gridCol w:w="800"/>
        <w:gridCol w:w="1355"/>
      </w:tblGrid>
      <w:tr w:rsidR="00546024" w:rsidTr="00FE5931">
        <w:trPr>
          <w:trHeight w:val="755"/>
        </w:trPr>
        <w:tc>
          <w:tcPr>
            <w:tcW w:w="126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lastRenderedPageBreak/>
              <w:t>Variables</w:t>
            </w:r>
          </w:p>
        </w:tc>
        <w:tc>
          <w:tcPr>
            <w:tcW w:w="90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Areas</w:t>
            </w:r>
          </w:p>
        </w:tc>
        <w:tc>
          <w:tcPr>
            <w:tcW w:w="138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p value</w:t>
            </w:r>
          </w:p>
        </w:tc>
        <w:tc>
          <w:tcPr>
            <w:tcW w:w="138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Dispersion</w:t>
            </w:r>
          </w:p>
        </w:tc>
        <w:tc>
          <w:tcPr>
            <w:tcW w:w="120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Null Dev.</w:t>
            </w:r>
          </w:p>
        </w:tc>
        <w:tc>
          <w:tcPr>
            <w:tcW w:w="120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Res. Dev.</w:t>
            </w:r>
          </w:p>
        </w:tc>
        <w:tc>
          <w:tcPr>
            <w:tcW w:w="800"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AIC</w:t>
            </w:r>
          </w:p>
        </w:tc>
        <w:tc>
          <w:tcPr>
            <w:tcW w:w="1355" w:type="dxa"/>
            <w:tcBorders>
              <w:top w:val="single" w:sz="4" w:space="0" w:color="auto"/>
              <w:left w:val="nil"/>
              <w:bottom w:val="single" w:sz="4" w:space="0" w:color="auto"/>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N. of Inter.</w:t>
            </w:r>
          </w:p>
        </w:tc>
      </w:tr>
      <w:tr w:rsidR="00546024" w:rsidTr="00FE5931">
        <w:trPr>
          <w:trHeight w:val="485"/>
        </w:trPr>
        <w:tc>
          <w:tcPr>
            <w:tcW w:w="1265" w:type="dxa"/>
            <w:vMerge w:val="restart"/>
            <w:tcBorders>
              <w:top w:val="single" w:sz="4" w:space="0" w:color="auto"/>
              <w:left w:val="nil"/>
              <w:bottom w:val="nil"/>
              <w:right w:val="nil"/>
            </w:tcBorders>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d-Margalef</w:t>
            </w:r>
          </w:p>
        </w:tc>
        <w:tc>
          <w:tcPr>
            <w:tcW w:w="905"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3.33</w:t>
            </w:r>
          </w:p>
        </w:tc>
        <w:tc>
          <w:tcPr>
            <w:tcW w:w="1205"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0.48</w:t>
            </w:r>
          </w:p>
        </w:tc>
        <w:tc>
          <w:tcPr>
            <w:tcW w:w="800"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7.22</w:t>
            </w:r>
          </w:p>
        </w:tc>
        <w:tc>
          <w:tcPr>
            <w:tcW w:w="1355" w:type="dxa"/>
            <w:vMerge w:val="restart"/>
            <w:tcBorders>
              <w:top w:val="single" w:sz="4" w:space="0" w:color="auto"/>
              <w:left w:val="nil"/>
              <w:bottom w:val="nil"/>
              <w:right w:val="nil"/>
            </w:tcBorders>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trPr>
          <w:trHeight w:val="485"/>
        </w:trPr>
        <w:tc>
          <w:tcPr>
            <w:tcW w:w="1265" w:type="dxa"/>
            <w:vMerge/>
            <w:tcBorders>
              <w:top w:val="nil"/>
              <w:left w:val="nil"/>
              <w:bottom w:val="nil"/>
              <w:right w:val="nil"/>
            </w:tcBorders>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0.0028**</w:t>
            </w:r>
          </w:p>
        </w:tc>
        <w:tc>
          <w:tcPr>
            <w:tcW w:w="138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tcBorders>
              <w:top w:val="nil"/>
              <w:left w:val="nil"/>
              <w:bottom w:val="nil"/>
              <w:right w:val="nil"/>
            </w:tcBorders>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0.0017**</w:t>
            </w:r>
          </w:p>
        </w:tc>
        <w:tc>
          <w:tcPr>
            <w:tcW w:w="138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val="restart"/>
            <w:tcBorders>
              <w:top w:val="nil"/>
              <w:left w:val="nil"/>
              <w:bottom w:val="nil"/>
              <w:right w:val="nil"/>
            </w:tcBorders>
            <w:shd w:val="clear" w:color="auto" w:fill="auto"/>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D-Simpson</w:t>
            </w: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0.0078</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0.0014</w:t>
            </w:r>
          </w:p>
        </w:tc>
        <w:tc>
          <w:tcPr>
            <w:tcW w:w="80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45.96</w:t>
            </w:r>
          </w:p>
        </w:tc>
        <w:tc>
          <w:tcPr>
            <w:tcW w:w="135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0.0017**</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0.029*</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val="restart"/>
            <w:tcBorders>
              <w:top w:val="nil"/>
              <w:left w:val="nil"/>
              <w:bottom w:val="nil"/>
              <w:right w:val="nil"/>
            </w:tcBorders>
            <w:shd w:val="clear" w:color="auto" w:fill="auto"/>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H-Shannon</w:t>
            </w: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0.36</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0.034</w:t>
            </w:r>
          </w:p>
        </w:tc>
        <w:tc>
          <w:tcPr>
            <w:tcW w:w="80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16.73</w:t>
            </w:r>
          </w:p>
        </w:tc>
        <w:tc>
          <w:tcPr>
            <w:tcW w:w="135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0.00041***</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0.001**</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val="restart"/>
            <w:tcBorders>
              <w:top w:val="nil"/>
              <w:left w:val="nil"/>
              <w:bottom w:val="nil"/>
              <w:right w:val="nil"/>
            </w:tcBorders>
            <w:shd w:val="clear" w:color="auto" w:fill="auto"/>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Absolute Effective Diversity (AED)</w:t>
            </w: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230.83</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18.01</w:t>
            </w:r>
          </w:p>
        </w:tc>
        <w:tc>
          <w:tcPr>
            <w:tcW w:w="80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39.78</w:t>
            </w:r>
          </w:p>
        </w:tc>
        <w:tc>
          <w:tcPr>
            <w:tcW w:w="135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0.00041***</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0.00029**</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val="restart"/>
            <w:tcBorders>
              <w:top w:val="nil"/>
              <w:left w:val="nil"/>
              <w:bottom w:val="nil"/>
              <w:right w:val="nil"/>
            </w:tcBorders>
            <w:shd w:val="clear" w:color="auto" w:fill="auto"/>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A/C ratio</w:t>
            </w: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2.21</w:t>
            </w:r>
          </w:p>
        </w:tc>
        <w:tc>
          <w:tcPr>
            <w:tcW w:w="120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0.54</w:t>
            </w:r>
          </w:p>
        </w:tc>
        <w:tc>
          <w:tcPr>
            <w:tcW w:w="800"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8.14</w:t>
            </w:r>
          </w:p>
        </w:tc>
        <w:tc>
          <w:tcPr>
            <w:tcW w:w="1355" w:type="dxa"/>
            <w:vMerge w:val="restart"/>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0.0097**</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tcBorders>
              <w:top w:val="nil"/>
              <w:left w:val="nil"/>
              <w:bottom w:val="nil"/>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0.0092**</w:t>
            </w:r>
          </w:p>
        </w:tc>
        <w:tc>
          <w:tcPr>
            <w:tcW w:w="138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20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800"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c>
          <w:tcPr>
            <w:tcW w:w="1355" w:type="dxa"/>
            <w:vMerge/>
            <w:tcBorders>
              <w:top w:val="nil"/>
              <w:left w:val="nil"/>
              <w:bottom w:val="nil"/>
              <w:right w:val="nil"/>
            </w:tcBorders>
            <w:shd w:val="clear" w:color="auto" w:fill="auto"/>
            <w:tcMar>
              <w:top w:w="100" w:type="dxa"/>
              <w:left w:w="100" w:type="dxa"/>
              <w:bottom w:w="100" w:type="dxa"/>
              <w:right w:w="100" w:type="dxa"/>
            </w:tcMar>
          </w:tcPr>
          <w:p w:rsidR="00546024" w:rsidRPr="00FE5931" w:rsidRDefault="00546024">
            <w:pPr>
              <w:widowControl w:val="0"/>
              <w:pBdr>
                <w:top w:val="nil"/>
                <w:left w:val="nil"/>
                <w:bottom w:val="nil"/>
                <w:right w:val="nil"/>
                <w:between w:val="nil"/>
              </w:pBdr>
              <w:spacing w:after="0" w:line="276" w:lineRule="auto"/>
              <w:rPr>
                <w:rFonts w:ascii="Times New Roman" w:eastAsia="Times New Roman" w:hAnsi="Times New Roman" w:cs="Times New Roman"/>
                <w:bCs/>
              </w:rPr>
            </w:pPr>
          </w:p>
        </w:tc>
      </w:tr>
      <w:tr w:rsidR="00546024">
        <w:trPr>
          <w:trHeight w:val="485"/>
        </w:trPr>
        <w:tc>
          <w:tcPr>
            <w:tcW w:w="1265"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t>QBS-</w:t>
            </w:r>
            <w:proofErr w:type="spellStart"/>
            <w:r>
              <w:rPr>
                <w:rFonts w:ascii="Times New Roman" w:eastAsia="Times New Roman" w:hAnsi="Times New Roman" w:cs="Times New Roman"/>
                <w:b/>
                <w:bCs/>
              </w:rPr>
              <w:t>ar</w:t>
            </w:r>
            <w:proofErr w:type="spellEnd"/>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 xml:space="preserve">U2 </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intercept</w:t>
            </w:r>
          </w:p>
        </w:tc>
        <w:tc>
          <w:tcPr>
            <w:tcW w:w="1385"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1</w:t>
            </w:r>
          </w:p>
        </w:tc>
        <w:tc>
          <w:tcPr>
            <w:tcW w:w="1205"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5174.9</w:t>
            </w:r>
          </w:p>
        </w:tc>
        <w:tc>
          <w:tcPr>
            <w:tcW w:w="1205"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2090.7</w:t>
            </w:r>
          </w:p>
        </w:tc>
        <w:tc>
          <w:tcPr>
            <w:tcW w:w="800"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82.57</w:t>
            </w:r>
          </w:p>
        </w:tc>
        <w:tc>
          <w:tcPr>
            <w:tcW w:w="1355" w:type="dxa"/>
            <w:vMerge w:val="restart"/>
            <w:tcBorders>
              <w:top w:val="nil"/>
              <w:left w:val="nil"/>
              <w:bottom w:val="single" w:sz="6" w:space="0" w:color="000000"/>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2</w:t>
            </w:r>
          </w:p>
        </w:tc>
      </w:tr>
      <w:tr w:rsidR="00546024" w:rsidTr="00FE5931">
        <w:trPr>
          <w:trHeight w:val="485"/>
        </w:trPr>
        <w:tc>
          <w:tcPr>
            <w:tcW w:w="126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U3</w:t>
            </w:r>
          </w:p>
        </w:tc>
        <w:tc>
          <w:tcPr>
            <w:tcW w:w="1385" w:type="dxa"/>
            <w:tcBorders>
              <w:top w:val="nil"/>
              <w:left w:val="nil"/>
              <w:bottom w:val="nil"/>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0.123</w:t>
            </w:r>
          </w:p>
        </w:tc>
        <w:tc>
          <w:tcPr>
            <w:tcW w:w="138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20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20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80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35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r>
      <w:tr w:rsidR="00546024" w:rsidTr="00FE5931">
        <w:trPr>
          <w:trHeight w:val="485"/>
        </w:trPr>
        <w:tc>
          <w:tcPr>
            <w:tcW w:w="126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905"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U4</w:t>
            </w:r>
          </w:p>
        </w:tc>
        <w:tc>
          <w:tcPr>
            <w:tcW w:w="1385" w:type="dxa"/>
            <w:tcBorders>
              <w:top w:val="nil"/>
              <w:left w:val="nil"/>
              <w:bottom w:val="single" w:sz="4" w:space="0" w:color="auto"/>
              <w:right w:val="nil"/>
            </w:tcBorders>
            <w:shd w:val="clear" w:color="auto" w:fill="auto"/>
            <w:tcMar>
              <w:top w:w="100" w:type="dxa"/>
              <w:left w:w="100" w:type="dxa"/>
              <w:bottom w:w="100" w:type="dxa"/>
              <w:right w:w="100" w:type="dxa"/>
            </w:tcMar>
          </w:tcPr>
          <w:p w:rsidR="00546024" w:rsidRPr="00FE5931" w:rsidRDefault="00830C00">
            <w:pPr>
              <w:spacing w:after="0"/>
              <w:jc w:val="both"/>
              <w:rPr>
                <w:rFonts w:ascii="Times New Roman" w:eastAsia="Times New Roman" w:hAnsi="Times New Roman" w:cs="Times New Roman"/>
                <w:bCs/>
              </w:rPr>
            </w:pPr>
            <w:r w:rsidRPr="00FE5931">
              <w:rPr>
                <w:rFonts w:ascii="Times New Roman" w:eastAsia="Times New Roman" w:hAnsi="Times New Roman" w:cs="Times New Roman"/>
                <w:bCs/>
              </w:rPr>
              <w:t>0.025*</w:t>
            </w:r>
          </w:p>
        </w:tc>
        <w:tc>
          <w:tcPr>
            <w:tcW w:w="138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20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20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80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355"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546024" w:rsidRDefault="00546024">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r>
    </w:tbl>
    <w:p w:rsidR="00546024" w:rsidRDefault="00546024">
      <w:pPr>
        <w:spacing w:after="0"/>
        <w:jc w:val="both"/>
        <w:rPr>
          <w:rFonts w:ascii="Times New Roman" w:eastAsia="Times New Roman" w:hAnsi="Times New Roman" w:cs="Times New Roman"/>
          <w:b/>
          <w:bCs/>
        </w:rPr>
      </w:pPr>
    </w:p>
    <w:p w:rsidR="00FE5931" w:rsidRDefault="00FE5931">
      <w:pPr>
        <w:spacing w:after="0"/>
        <w:jc w:val="both"/>
        <w:rPr>
          <w:rFonts w:ascii="Times New Roman" w:eastAsia="Times New Roman" w:hAnsi="Times New Roman" w:cs="Times New Roman"/>
          <w:b/>
          <w:bCs/>
        </w:rPr>
      </w:pPr>
    </w:p>
    <w:p w:rsidR="00FE5931" w:rsidRDefault="00FE5931">
      <w:pPr>
        <w:spacing w:after="0"/>
        <w:jc w:val="both"/>
        <w:rPr>
          <w:rFonts w:ascii="Times New Roman" w:eastAsia="Times New Roman" w:hAnsi="Times New Roman" w:cs="Times New Roman"/>
          <w:b/>
          <w:bCs/>
        </w:rPr>
      </w:pPr>
    </w:p>
    <w:p w:rsidR="00546024" w:rsidRDefault="00830C00">
      <w:pPr>
        <w:spacing w:after="0"/>
        <w:jc w:val="both"/>
        <w:rPr>
          <w:rFonts w:ascii="Times New Roman" w:eastAsia="Times New Roman" w:hAnsi="Times New Roman" w:cs="Times New Roman"/>
          <w:b/>
          <w:bCs/>
        </w:rPr>
      </w:pPr>
      <w:r>
        <w:rPr>
          <w:rFonts w:ascii="Times New Roman" w:eastAsia="Times New Roman" w:hAnsi="Times New Roman" w:cs="Times New Roman"/>
          <w:b/>
          <w:bCs/>
        </w:rPr>
        <w:lastRenderedPageBreak/>
        <w:t>References</w:t>
      </w:r>
    </w:p>
    <w:p w:rsidR="00546024" w:rsidRDefault="00830C00">
      <w:pPr>
        <w:numPr>
          <w:ilvl w:val="0"/>
          <w:numId w:val="1"/>
        </w:numPr>
        <w:spacing w:after="0"/>
        <w:jc w:val="both"/>
        <w:rPr>
          <w:rFonts w:ascii="Times New Roman" w:eastAsia="Times New Roman" w:hAnsi="Times New Roman" w:cs="Times New Roman"/>
        </w:rPr>
      </w:pPr>
      <w:proofErr w:type="spellStart"/>
      <w:r w:rsidRPr="00FE5931">
        <w:rPr>
          <w:rFonts w:ascii="Times New Roman" w:eastAsia="Times New Roman" w:hAnsi="Times New Roman" w:cs="Times New Roman"/>
          <w:lang w:val="it-IT"/>
        </w:rPr>
        <w:t>Cambardella</w:t>
      </w:r>
      <w:proofErr w:type="spellEnd"/>
      <w:r w:rsidRPr="00FE5931">
        <w:rPr>
          <w:rFonts w:ascii="Times New Roman" w:eastAsia="Times New Roman" w:hAnsi="Times New Roman" w:cs="Times New Roman"/>
          <w:lang w:val="it-IT"/>
        </w:rPr>
        <w:t xml:space="preserve">, C. A., </w:t>
      </w:r>
      <w:proofErr w:type="spellStart"/>
      <w:r w:rsidRPr="00FE5931">
        <w:rPr>
          <w:rFonts w:ascii="Times New Roman" w:eastAsia="Times New Roman" w:hAnsi="Times New Roman" w:cs="Times New Roman"/>
          <w:lang w:val="it-IT"/>
        </w:rPr>
        <w:t>Gajda</w:t>
      </w:r>
      <w:proofErr w:type="spellEnd"/>
      <w:r w:rsidRPr="00FE5931">
        <w:rPr>
          <w:rFonts w:ascii="Times New Roman" w:eastAsia="Times New Roman" w:hAnsi="Times New Roman" w:cs="Times New Roman"/>
          <w:lang w:val="it-IT"/>
        </w:rPr>
        <w:t xml:space="preserve">, A. M., </w:t>
      </w:r>
      <w:proofErr w:type="spellStart"/>
      <w:r w:rsidRPr="00FE5931">
        <w:rPr>
          <w:rFonts w:ascii="Times New Roman" w:eastAsia="Times New Roman" w:hAnsi="Times New Roman" w:cs="Times New Roman"/>
          <w:lang w:val="it-IT"/>
        </w:rPr>
        <w:t>Doran</w:t>
      </w:r>
      <w:proofErr w:type="spellEnd"/>
      <w:r w:rsidRPr="00FE5931">
        <w:rPr>
          <w:rFonts w:ascii="Times New Roman" w:eastAsia="Times New Roman" w:hAnsi="Times New Roman" w:cs="Times New Roman"/>
          <w:lang w:val="it-IT"/>
        </w:rPr>
        <w:t xml:space="preserve">, J. W., </w:t>
      </w:r>
      <w:proofErr w:type="spellStart"/>
      <w:r w:rsidRPr="00FE5931">
        <w:rPr>
          <w:rFonts w:ascii="Times New Roman" w:eastAsia="Times New Roman" w:hAnsi="Times New Roman" w:cs="Times New Roman"/>
          <w:lang w:val="it-IT"/>
        </w:rPr>
        <w:t>Wienhold</w:t>
      </w:r>
      <w:proofErr w:type="spellEnd"/>
      <w:r w:rsidRPr="00FE5931">
        <w:rPr>
          <w:rFonts w:ascii="Times New Roman" w:eastAsia="Times New Roman" w:hAnsi="Times New Roman" w:cs="Times New Roman"/>
          <w:lang w:val="it-IT"/>
        </w:rPr>
        <w:t xml:space="preserve">, B. J., </w:t>
      </w:r>
      <w:proofErr w:type="spellStart"/>
      <w:r w:rsidRPr="00FE5931">
        <w:rPr>
          <w:rFonts w:ascii="Times New Roman" w:eastAsia="Times New Roman" w:hAnsi="Times New Roman" w:cs="Times New Roman"/>
          <w:lang w:val="it-IT"/>
        </w:rPr>
        <w:t>Kettler</w:t>
      </w:r>
      <w:proofErr w:type="spellEnd"/>
      <w:r w:rsidRPr="00FE5931">
        <w:rPr>
          <w:rFonts w:ascii="Times New Roman" w:eastAsia="Times New Roman" w:hAnsi="Times New Roman" w:cs="Times New Roman"/>
          <w:lang w:val="it-IT"/>
        </w:rPr>
        <w:t xml:space="preserve">, T. A. 2000. </w:t>
      </w:r>
      <w:r>
        <w:rPr>
          <w:rFonts w:ascii="Times New Roman" w:eastAsia="Times New Roman" w:hAnsi="Times New Roman" w:cs="Times New Roman"/>
        </w:rPr>
        <w:t>Matter by Weight Loss-on-Ignition. Assessment methods for soil carbon. Adv. Soil Sci. CRC Press, Boca Raton. Pp. 349–359.</w:t>
      </w:r>
    </w:p>
    <w:p w:rsidR="00546024" w:rsidRDefault="00830C00">
      <w:pPr>
        <w:numPr>
          <w:ilvl w:val="0"/>
          <w:numId w:val="1"/>
        </w:numPr>
        <w:spacing w:after="0"/>
        <w:jc w:val="both"/>
        <w:rPr>
          <w:rFonts w:ascii="Times New Roman" w:eastAsia="Times New Roman" w:hAnsi="Times New Roman" w:cs="Times New Roman"/>
        </w:rPr>
      </w:pPr>
      <w:r w:rsidRPr="00FE5931">
        <w:rPr>
          <w:rFonts w:ascii="Times New Roman" w:eastAsia="Times New Roman" w:hAnsi="Times New Roman" w:cs="Times New Roman"/>
          <w:lang w:val="it-IT"/>
        </w:rPr>
        <w:t xml:space="preserve">Federico, L., Monti, G. S., </w:t>
      </w:r>
      <w:proofErr w:type="spellStart"/>
      <w:r w:rsidRPr="00FE5931">
        <w:rPr>
          <w:rFonts w:ascii="Times New Roman" w:eastAsia="Times New Roman" w:hAnsi="Times New Roman" w:cs="Times New Roman"/>
          <w:lang w:val="it-IT"/>
        </w:rPr>
        <w:t>Loureiro</w:t>
      </w:r>
      <w:proofErr w:type="spellEnd"/>
      <w:r w:rsidRPr="00FE5931">
        <w:rPr>
          <w:rFonts w:ascii="Times New Roman" w:eastAsia="Times New Roman" w:hAnsi="Times New Roman" w:cs="Times New Roman"/>
          <w:lang w:val="it-IT"/>
        </w:rPr>
        <w:t>, S., Villa,</w:t>
      </w:r>
      <w:r w:rsidRPr="00FE5931">
        <w:rPr>
          <w:rFonts w:ascii="Times New Roman" w:eastAsia="Times New Roman" w:hAnsi="Times New Roman" w:cs="Times New Roman"/>
          <w:lang w:val="it-IT"/>
        </w:rPr>
        <w:t xml:space="preserve"> S. 2024. </w:t>
      </w:r>
      <w:r>
        <w:rPr>
          <w:rFonts w:ascii="Times New Roman" w:eastAsia="Times New Roman" w:hAnsi="Times New Roman" w:cs="Times New Roman"/>
        </w:rPr>
        <w:t xml:space="preserve">Disaggregation </w:t>
      </w:r>
      <w:proofErr w:type="spellStart"/>
      <w:r>
        <w:rPr>
          <w:rFonts w:ascii="Times New Roman" w:eastAsia="Times New Roman" w:hAnsi="Times New Roman" w:cs="Times New Roman"/>
        </w:rPr>
        <w:t>behavior</w:t>
      </w:r>
      <w:proofErr w:type="spellEnd"/>
      <w:r>
        <w:rPr>
          <w:rFonts w:ascii="Times New Roman" w:eastAsia="Times New Roman" w:hAnsi="Times New Roman" w:cs="Times New Roman"/>
        </w:rPr>
        <w:t xml:space="preserve"> in the terrestrial isopod </w:t>
      </w:r>
      <w:proofErr w:type="spellStart"/>
      <w:r>
        <w:rPr>
          <w:rFonts w:ascii="Times New Roman" w:eastAsia="Times New Roman" w:hAnsi="Times New Roman" w:cs="Times New Roman"/>
          <w:i/>
          <w:iCs/>
        </w:rPr>
        <w:t>Porcellionides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pruinosus</w:t>
      </w:r>
      <w:proofErr w:type="spellEnd"/>
      <w:r>
        <w:rPr>
          <w:rFonts w:ascii="Times New Roman" w:eastAsia="Times New Roman" w:hAnsi="Times New Roman" w:cs="Times New Roman"/>
        </w:rPr>
        <w:t xml:space="preserve"> as a new ecotoxicological endpoint for assessing infochemical disrupting activity. </w:t>
      </w:r>
      <w:r>
        <w:rPr>
          <w:rFonts w:ascii="Times New Roman" w:eastAsia="Times New Roman" w:hAnsi="Times New Roman" w:cs="Times New Roman"/>
          <w:i/>
          <w:iCs/>
        </w:rPr>
        <w:t>Ecol. Indic</w:t>
      </w:r>
      <w:r>
        <w:rPr>
          <w:rFonts w:ascii="Times New Roman" w:eastAsia="Times New Roman" w:hAnsi="Times New Roman" w:cs="Times New Roman"/>
        </w:rPr>
        <w:t xml:space="preserve">., 167, 112602. </w:t>
      </w:r>
      <w:hyperlink r:id="rId7">
        <w:r>
          <w:rPr>
            <w:rFonts w:ascii="Times New Roman" w:eastAsia="Times New Roman" w:hAnsi="Times New Roman" w:cs="Times New Roman"/>
            <w:color w:val="1155CC"/>
            <w:u w:val="single"/>
          </w:rPr>
          <w:t>https://doi.org/10.1016/j.ecolind.2024.112602</w:t>
        </w:r>
      </w:hyperlink>
      <w:r>
        <w:rPr>
          <w:rFonts w:ascii="Times New Roman" w:eastAsia="Times New Roman" w:hAnsi="Times New Roman" w:cs="Times New Roman"/>
        </w:rPr>
        <w:t xml:space="preserve">  </w:t>
      </w:r>
    </w:p>
    <w:p w:rsidR="00546024" w:rsidRDefault="00830C00">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ISO 2009. ISO 11277:2009. Soil quality — Determination of particle size distribution in mineral soil material — Method by sieving and sedimentation</w:t>
      </w:r>
    </w:p>
    <w:p w:rsidR="00546024" w:rsidRDefault="00830C00">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 xml:space="preserve">ISO 2023a. ISO guidelines 11268-2:2023 - Soil quality—Effects of pollutants on earthworms—Part </w:t>
      </w:r>
      <w:proofErr w:type="gramStart"/>
      <w:r>
        <w:rPr>
          <w:rFonts w:ascii="Times New Roman" w:eastAsia="Times New Roman" w:hAnsi="Times New Roman" w:cs="Times New Roman"/>
        </w:rPr>
        <w:t>2:Determination</w:t>
      </w:r>
      <w:proofErr w:type="gramEnd"/>
      <w:r>
        <w:rPr>
          <w:rFonts w:ascii="Times New Roman" w:eastAsia="Times New Roman" w:hAnsi="Times New Roman" w:cs="Times New Roman"/>
        </w:rPr>
        <w:t xml:space="preserve"> of effects on reproduction of </w:t>
      </w:r>
      <w:r>
        <w:rPr>
          <w:rFonts w:ascii="Times New Roman" w:eastAsia="Times New Roman" w:hAnsi="Times New Roman" w:cs="Times New Roman"/>
          <w:i/>
          <w:iCs/>
        </w:rPr>
        <w:t xml:space="preserve">Eisenia </w:t>
      </w:r>
      <w:proofErr w:type="spellStart"/>
      <w:r>
        <w:rPr>
          <w:rFonts w:ascii="Times New Roman" w:eastAsia="Times New Roman" w:hAnsi="Times New Roman" w:cs="Times New Roman"/>
          <w:i/>
          <w:iCs/>
        </w:rPr>
        <w:t>fetida</w:t>
      </w:r>
      <w:proofErr w:type="spellEnd"/>
      <w:r>
        <w:rPr>
          <w:rFonts w:ascii="Times New Roman" w:eastAsia="Times New Roman" w:hAnsi="Times New Roman" w:cs="Times New Roman"/>
        </w:rPr>
        <w:t>/</w:t>
      </w:r>
      <w:r>
        <w:rPr>
          <w:rFonts w:ascii="Times New Roman" w:eastAsia="Times New Roman" w:hAnsi="Times New Roman" w:cs="Times New Roman"/>
          <w:i/>
          <w:iCs/>
        </w:rPr>
        <w:t xml:space="preserve">Eisenia </w:t>
      </w:r>
      <w:proofErr w:type="spellStart"/>
      <w:r>
        <w:rPr>
          <w:rFonts w:ascii="Times New Roman" w:eastAsia="Times New Roman" w:hAnsi="Times New Roman" w:cs="Times New Roman"/>
          <w:i/>
          <w:iCs/>
        </w:rPr>
        <w:t>andrei</w:t>
      </w:r>
      <w:proofErr w:type="spellEnd"/>
      <w:r>
        <w:rPr>
          <w:rFonts w:ascii="Times New Roman" w:eastAsia="Times New Roman" w:hAnsi="Times New Roman" w:cs="Times New Roman"/>
        </w:rPr>
        <w:t xml:space="preserve"> and other earthworm species.</w:t>
      </w:r>
    </w:p>
    <w:p w:rsidR="00546024" w:rsidRDefault="00830C00">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ISO 2023b. ISO guidelines 11267:2023. Soil quality - Inh</w:t>
      </w:r>
      <w:r>
        <w:rPr>
          <w:rFonts w:ascii="Times New Roman" w:eastAsia="Times New Roman" w:hAnsi="Times New Roman" w:cs="Times New Roman"/>
        </w:rPr>
        <w:t>ibition of reproduction of Collembola (</w:t>
      </w:r>
      <w:proofErr w:type="spellStart"/>
      <w:r>
        <w:rPr>
          <w:rFonts w:ascii="Times New Roman" w:eastAsia="Times New Roman" w:hAnsi="Times New Roman" w:cs="Times New Roman"/>
          <w:i/>
          <w:iCs/>
        </w:rPr>
        <w:t>Folsomia</w:t>
      </w:r>
      <w:proofErr w:type="spellEnd"/>
      <w:r>
        <w:rPr>
          <w:rFonts w:ascii="Times New Roman" w:eastAsia="Times New Roman" w:hAnsi="Times New Roman" w:cs="Times New Roman"/>
          <w:i/>
          <w:iCs/>
        </w:rPr>
        <w:t xml:space="preserve"> candida</w:t>
      </w:r>
      <w:r>
        <w:rPr>
          <w:rFonts w:ascii="Times New Roman" w:eastAsia="Times New Roman" w:hAnsi="Times New Roman" w:cs="Times New Roman"/>
        </w:rPr>
        <w:t>) by soil contaminants.</w:t>
      </w:r>
    </w:p>
    <w:p w:rsidR="00546024" w:rsidRDefault="00830C00">
      <w:pPr>
        <w:numPr>
          <w:ilvl w:val="0"/>
          <w:numId w:val="1"/>
        </w:numPr>
        <w:spacing w:after="0"/>
        <w:jc w:val="both"/>
        <w:rPr>
          <w:rFonts w:ascii="Times New Roman" w:eastAsia="Times New Roman" w:hAnsi="Times New Roman" w:cs="Times New Roman"/>
        </w:rPr>
      </w:pPr>
      <w:r>
        <w:t xml:space="preserve">ISO 2005. </w:t>
      </w:r>
      <w:proofErr w:type="spellStart"/>
      <w:r>
        <w:rPr>
          <w:rFonts w:ascii="Times New Roman" w:eastAsia="Times New Roman" w:hAnsi="Times New Roman" w:cs="Times New Roman"/>
        </w:rPr>
        <w:t>ISO.guidelines</w:t>
      </w:r>
      <w:proofErr w:type="spellEnd"/>
      <w:r>
        <w:rPr>
          <w:rFonts w:ascii="Times New Roman" w:eastAsia="Times New Roman" w:hAnsi="Times New Roman" w:cs="Times New Roman"/>
        </w:rPr>
        <w:t xml:space="preserve"> 10390: 2005. </w:t>
      </w:r>
      <w:r>
        <w:t>Soil Quality–Determination of pH.</w:t>
      </w:r>
    </w:p>
    <w:p w:rsidR="00546024" w:rsidRDefault="00830C00">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Loureiro, S., Soares, A. M., Nogueira, A. J. 2005. Terrestrial avoidance behaviour tests as screening too</w:t>
      </w:r>
      <w:r>
        <w:rPr>
          <w:rFonts w:ascii="Times New Roman" w:eastAsia="Times New Roman" w:hAnsi="Times New Roman" w:cs="Times New Roman"/>
        </w:rPr>
        <w:t xml:space="preserve">l to assess soil contamination. </w:t>
      </w:r>
      <w:r>
        <w:rPr>
          <w:rFonts w:ascii="Times New Roman" w:eastAsia="Times New Roman" w:hAnsi="Times New Roman" w:cs="Times New Roman"/>
          <w:i/>
          <w:iCs/>
        </w:rPr>
        <w:t xml:space="preserve">Environ. </w:t>
      </w:r>
      <w:proofErr w:type="spellStart"/>
      <w:r>
        <w:rPr>
          <w:rFonts w:ascii="Times New Roman" w:eastAsia="Times New Roman" w:hAnsi="Times New Roman" w:cs="Times New Roman"/>
          <w:i/>
          <w:iCs/>
        </w:rPr>
        <w:t>Pollut</w:t>
      </w:r>
      <w:proofErr w:type="spellEnd"/>
      <w:r>
        <w:rPr>
          <w:rFonts w:ascii="Times New Roman" w:eastAsia="Times New Roman" w:hAnsi="Times New Roman" w:cs="Times New Roman"/>
        </w:rPr>
        <w:t xml:space="preserve">., 138(1), 121-131. </w:t>
      </w:r>
      <w:hyperlink r:id="rId8">
        <w:r>
          <w:rPr>
            <w:rFonts w:ascii="Times New Roman" w:eastAsia="Times New Roman" w:hAnsi="Times New Roman" w:cs="Times New Roman"/>
          </w:rPr>
          <w:t>https://doi.org/10.1016/j.envpol.2005.02.013</w:t>
        </w:r>
      </w:hyperlink>
      <w:r>
        <w:rPr>
          <w:rFonts w:ascii="Times New Roman" w:eastAsia="Times New Roman" w:hAnsi="Times New Roman" w:cs="Times New Roman"/>
        </w:rPr>
        <w:t xml:space="preserve">  </w:t>
      </w:r>
    </w:p>
    <w:p w:rsidR="00546024" w:rsidRDefault="00830C00">
      <w:pPr>
        <w:numPr>
          <w:ilvl w:val="0"/>
          <w:numId w:val="1"/>
        </w:numPr>
        <w:spacing w:after="0"/>
        <w:jc w:val="both"/>
        <w:rPr>
          <w:rFonts w:ascii="Times New Roman" w:eastAsia="Times New Roman" w:hAnsi="Times New Roman" w:cs="Times New Roman"/>
        </w:rPr>
      </w:pPr>
      <w:proofErr w:type="spellStart"/>
      <w:r>
        <w:rPr>
          <w:rFonts w:ascii="Times New Roman" w:eastAsia="Times New Roman" w:hAnsi="Times New Roman" w:cs="Times New Roman"/>
        </w:rPr>
        <w:t>Morgado</w:t>
      </w:r>
      <w:proofErr w:type="spellEnd"/>
      <w:r>
        <w:rPr>
          <w:rFonts w:ascii="Times New Roman" w:eastAsia="Times New Roman" w:hAnsi="Times New Roman" w:cs="Times New Roman"/>
        </w:rPr>
        <w:t>, R., Ferreira, N. G., Cardoso, D. N., Soares, A. M., Loureiro, S. 2015</w:t>
      </w:r>
      <w:r>
        <w:rPr>
          <w:rFonts w:ascii="Times New Roman" w:eastAsia="Times New Roman" w:hAnsi="Times New Roman" w:cs="Times New Roman"/>
        </w:rPr>
        <w:t xml:space="preserve">. Abiotic factors affect the performance of the terrestrial isopod </w:t>
      </w:r>
      <w:proofErr w:type="spellStart"/>
      <w:r>
        <w:rPr>
          <w:rFonts w:ascii="Times New Roman" w:eastAsia="Times New Roman" w:hAnsi="Times New Roman" w:cs="Times New Roman"/>
          <w:i/>
          <w:iCs/>
        </w:rPr>
        <w:t>Porcellionides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pruinosus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Appl. Soil Ecol</w:t>
      </w:r>
      <w:r>
        <w:rPr>
          <w:rFonts w:ascii="Times New Roman" w:eastAsia="Times New Roman" w:hAnsi="Times New Roman" w:cs="Times New Roman"/>
        </w:rPr>
        <w:t xml:space="preserve">., 95, 161-170. </w:t>
      </w:r>
      <w:hyperlink r:id="rId9">
        <w:r>
          <w:rPr>
            <w:rFonts w:ascii="Times New Roman" w:eastAsia="Times New Roman" w:hAnsi="Times New Roman" w:cs="Times New Roman"/>
          </w:rPr>
          <w:t>https://doi.org/10.1016/j.apsoil.2015.06.012</w:t>
        </w:r>
      </w:hyperlink>
      <w:r>
        <w:rPr>
          <w:rFonts w:ascii="Times New Roman" w:eastAsia="Times New Roman" w:hAnsi="Times New Roman" w:cs="Times New Roman"/>
        </w:rPr>
        <w:t xml:space="preserve">  </w:t>
      </w:r>
    </w:p>
    <w:p w:rsidR="00546024" w:rsidRDefault="00830C00">
      <w:pPr>
        <w:numPr>
          <w:ilvl w:val="0"/>
          <w:numId w:val="1"/>
        </w:numPr>
        <w:spacing w:after="0"/>
        <w:jc w:val="both"/>
        <w:rPr>
          <w:rFonts w:ascii="Times New Roman" w:eastAsia="Times New Roman" w:hAnsi="Times New Roman" w:cs="Times New Roman"/>
        </w:rPr>
      </w:pPr>
      <w:r w:rsidRPr="00FE5931">
        <w:rPr>
          <w:rFonts w:ascii="Times New Roman" w:eastAsia="Times New Roman" w:hAnsi="Times New Roman" w:cs="Times New Roman"/>
          <w:lang w:val="it-IT"/>
        </w:rPr>
        <w:t>Parisi, V., Menta, C.</w:t>
      </w:r>
      <w:r w:rsidRPr="00FE5931">
        <w:rPr>
          <w:rFonts w:ascii="Times New Roman" w:eastAsia="Times New Roman" w:hAnsi="Times New Roman" w:cs="Times New Roman"/>
          <w:lang w:val="it-IT"/>
        </w:rPr>
        <w:t xml:space="preserve">, </w:t>
      </w:r>
      <w:proofErr w:type="spellStart"/>
      <w:r w:rsidRPr="00FE5931">
        <w:rPr>
          <w:rFonts w:ascii="Times New Roman" w:eastAsia="Times New Roman" w:hAnsi="Times New Roman" w:cs="Times New Roman"/>
          <w:lang w:val="it-IT"/>
        </w:rPr>
        <w:t>Gardi</w:t>
      </w:r>
      <w:proofErr w:type="spellEnd"/>
      <w:r w:rsidRPr="00FE5931">
        <w:rPr>
          <w:rFonts w:ascii="Times New Roman" w:eastAsia="Times New Roman" w:hAnsi="Times New Roman" w:cs="Times New Roman"/>
          <w:lang w:val="it-IT"/>
        </w:rPr>
        <w:t xml:space="preserve">, C., </w:t>
      </w:r>
      <w:proofErr w:type="spellStart"/>
      <w:r w:rsidRPr="00FE5931">
        <w:rPr>
          <w:rFonts w:ascii="Times New Roman" w:eastAsia="Times New Roman" w:hAnsi="Times New Roman" w:cs="Times New Roman"/>
          <w:lang w:val="it-IT"/>
        </w:rPr>
        <w:t>Jacomini</w:t>
      </w:r>
      <w:proofErr w:type="spellEnd"/>
      <w:r w:rsidRPr="00FE5931">
        <w:rPr>
          <w:rFonts w:ascii="Times New Roman" w:eastAsia="Times New Roman" w:hAnsi="Times New Roman" w:cs="Times New Roman"/>
          <w:lang w:val="it-IT"/>
        </w:rPr>
        <w:t xml:space="preserve">, C., Mozzanica, E. 2005. </w:t>
      </w:r>
      <w:r>
        <w:rPr>
          <w:rFonts w:ascii="Times New Roman" w:eastAsia="Times New Roman" w:hAnsi="Times New Roman" w:cs="Times New Roman"/>
        </w:rPr>
        <w:t xml:space="preserve">Microarthropod communities as a tool to assess soil quality and biodiversity: a new approach in Italy. </w:t>
      </w:r>
      <w:r>
        <w:rPr>
          <w:rFonts w:ascii="Times New Roman" w:eastAsia="Times New Roman" w:hAnsi="Times New Roman" w:cs="Times New Roman"/>
          <w:i/>
          <w:iCs/>
        </w:rPr>
        <w:t xml:space="preserve">Agric. </w:t>
      </w:r>
      <w:proofErr w:type="spellStart"/>
      <w:r>
        <w:rPr>
          <w:rFonts w:ascii="Times New Roman" w:eastAsia="Times New Roman" w:hAnsi="Times New Roman" w:cs="Times New Roman"/>
          <w:i/>
          <w:iCs/>
        </w:rPr>
        <w:t>Ecosyst</w:t>
      </w:r>
      <w:proofErr w:type="spellEnd"/>
      <w:r>
        <w:rPr>
          <w:rFonts w:ascii="Times New Roman" w:eastAsia="Times New Roman" w:hAnsi="Times New Roman" w:cs="Times New Roman"/>
          <w:i/>
          <w:iCs/>
        </w:rPr>
        <w:t>. Environ</w:t>
      </w:r>
      <w:r>
        <w:rPr>
          <w:rFonts w:ascii="Times New Roman" w:eastAsia="Times New Roman" w:hAnsi="Times New Roman" w:cs="Times New Roman"/>
        </w:rPr>
        <w:t xml:space="preserve">., 105(1-2), 323-333. </w:t>
      </w:r>
      <w:hyperlink r:id="rId10">
        <w:r>
          <w:rPr>
            <w:rFonts w:ascii="Times New Roman" w:eastAsia="Times New Roman" w:hAnsi="Times New Roman" w:cs="Times New Roman"/>
          </w:rPr>
          <w:t>https://doi.org/10.1016/j.agee.2004.02.002</w:t>
        </w:r>
      </w:hyperlink>
      <w:r>
        <w:rPr>
          <w:rFonts w:ascii="Times New Roman" w:eastAsia="Times New Roman" w:hAnsi="Times New Roman" w:cs="Times New Roman"/>
        </w:rPr>
        <w:t xml:space="preserve">  </w:t>
      </w:r>
    </w:p>
    <w:sectPr w:rsidR="00546024">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1672C22-FF9E-4BD4-979A-D46987F7AAE7}"/>
    <w:embedBold r:id="rId2" w:fontKey="{B5A77E67-4EC6-40AB-844D-EB311CDCC9AA}"/>
  </w:font>
  <w:font w:name="Georgia">
    <w:panose1 w:val="02040502050405020303"/>
    <w:charset w:val="00"/>
    <w:family w:val="roman"/>
    <w:pitch w:val="variable"/>
    <w:sig w:usb0="00000287" w:usb1="00000000" w:usb2="00000000" w:usb3="00000000" w:csb0="0000009F" w:csb1="00000000"/>
    <w:embedItalic r:id="rId3" w:fontKey="{1A3059B5-5466-492C-AC4D-474B44B4B6E3}"/>
  </w:font>
  <w:font w:name="Cambria Math">
    <w:panose1 w:val="02040503050406030204"/>
    <w:charset w:val="00"/>
    <w:family w:val="roman"/>
    <w:pitch w:val="variable"/>
    <w:sig w:usb0="E00006FF" w:usb1="420024FF" w:usb2="02000000" w:usb3="00000000" w:csb0="0000019F" w:csb1="00000000"/>
    <w:embedRegular r:id="rId4" w:fontKey="{CA7F77E8-81C4-4B8A-AEF7-0EEC9BE4097C}"/>
  </w:font>
  <w:font w:name="Calibri Light">
    <w:panose1 w:val="020F0302020204030204"/>
    <w:charset w:val="00"/>
    <w:family w:val="swiss"/>
    <w:pitch w:val="variable"/>
    <w:sig w:usb0="E4002EFF" w:usb1="C000247B" w:usb2="00000009" w:usb3="00000000" w:csb0="000001FF" w:csb1="00000000"/>
    <w:embedRegular r:id="rId5" w:fontKey="{76E61A17-1946-4347-8B6A-5BCF05766A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7E0C10"/>
    <w:multiLevelType w:val="multilevel"/>
    <w:tmpl w:val="D778B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024"/>
    <w:rsid w:val="00546024"/>
    <w:rsid w:val="00830C00"/>
    <w:rsid w:val="00FE59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29DA"/>
  <w15:docId w15:val="{89CC6759-4BC6-4D84-AD80-72CDF08A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paragraph" w:styleId="Revisione">
    <w:name w:val="Revision"/>
    <w:hidden/>
    <w:uiPriority w:val="99"/>
    <w:semiHidden/>
    <w:rsid w:val="00B2078F"/>
    <w:pPr>
      <w:spacing w:after="0" w:line="240" w:lineRule="auto"/>
    </w:p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016/j.envpol.2005.02.013" TargetMode="External"/><Relationship Id="rId3" Type="http://schemas.openxmlformats.org/officeDocument/2006/relationships/styles" Target="styles.xml"/><Relationship Id="rId7" Type="http://schemas.openxmlformats.org/officeDocument/2006/relationships/hyperlink" Target="https://doi.org/10.1016/j.ecolind.2024.11260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agee.2004.02.002" TargetMode="External"/><Relationship Id="rId4" Type="http://schemas.openxmlformats.org/officeDocument/2006/relationships/settings" Target="settings.xml"/><Relationship Id="rId9" Type="http://schemas.openxmlformats.org/officeDocument/2006/relationships/hyperlink" Target="https://doi.org/10.1016/j.apsoil.2015.06.01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g5/A0IHVtNmdlopmpCmllOsKhQ==">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1950</Words>
  <Characters>11119</Characters>
  <Application>Microsoft Office Word</Application>
  <DocSecurity>0</DocSecurity>
  <Lines>92</Lines>
  <Paragraphs>26</Paragraphs>
  <ScaleCrop>false</ScaleCrop>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l.federico8@campus.unimib.it</dc:creator>
  <cp:lastModifiedBy>l.federico8@campus.unimib.it</cp:lastModifiedBy>
  <cp:revision>3</cp:revision>
  <dcterms:created xsi:type="dcterms:W3CDTF">2025-04-22T12:50:00Z</dcterms:created>
  <dcterms:modified xsi:type="dcterms:W3CDTF">2026-01-07T14:48:00Z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c465c80aa9a80e83ef908e7cdc6664466c75dd39e8885b51d807ac7afd67b0e6</vt:lpwstr>
  </property>
</Properties>
</file>