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 w:eastAsia="宋体"/>
          <w:sz w:val="20"/>
          <w:lang w:val="en-US" w:eastAsia="zh-CN"/>
        </w:rPr>
      </w:pPr>
      <w:r>
        <w:rPr>
          <w:b/>
          <w:sz w:val="20"/>
        </w:rPr>
        <w:t xml:space="preserve">Supplementary Table </w:t>
      </w:r>
      <w:r>
        <w:rPr>
          <w:rFonts w:hint="eastAsia"/>
          <w:b/>
          <w:sz w:val="20"/>
          <w:lang w:val="en-US" w:eastAsia="zh-CN"/>
        </w:rPr>
        <w:t>2</w:t>
      </w:r>
      <w:r>
        <w:rPr>
          <w:rFonts w:hint="eastAsia"/>
          <w:b/>
          <w:sz w:val="20"/>
        </w:rPr>
        <w:t xml:space="preserve"> </w:t>
      </w:r>
      <w:r>
        <w:rPr>
          <w:sz w:val="20"/>
        </w:rPr>
        <w:t>Association between</w:t>
      </w:r>
      <w:r>
        <w:rPr>
          <w:rFonts w:hint="eastAsia"/>
          <w:sz w:val="20"/>
        </w:rPr>
        <w:t xml:space="preserve"> ABSI</w:t>
      </w:r>
      <w:r>
        <w:rPr>
          <w:sz w:val="20"/>
        </w:rPr>
        <w:t xml:space="preserve"> </w:t>
      </w:r>
      <w:r>
        <w:rPr>
          <w:rFonts w:hint="eastAsia"/>
          <w:sz w:val="20"/>
        </w:rPr>
        <w:t>and PCa</w:t>
      </w:r>
      <w:r>
        <w:rPr>
          <w:rFonts w:hint="eastAsia"/>
          <w:sz w:val="20"/>
          <w:lang w:val="en-US" w:eastAsia="zh-CN"/>
        </w:rPr>
        <w:t xml:space="preserve"> after </w:t>
      </w:r>
      <w:r>
        <w:rPr>
          <w:sz w:val="20"/>
        </w:rPr>
        <w:t>excluding participant</w:t>
      </w:r>
      <w:r>
        <w:rPr>
          <w:rFonts w:hint="eastAsia"/>
          <w:sz w:val="20"/>
          <w:lang w:val="en-US" w:eastAsia="zh-CN"/>
        </w:rPr>
        <w:t xml:space="preserve">s from </w:t>
      </w:r>
      <w:r>
        <w:rPr>
          <w:rFonts w:hint="eastAsia"/>
          <w:sz w:val="20"/>
        </w:rPr>
        <w:t>NHANES cycles</w:t>
      </w:r>
      <w:r>
        <w:rPr>
          <w:rFonts w:hint="eastAsia"/>
          <w:sz w:val="20"/>
          <w:lang w:val="en-US" w:eastAsia="zh-CN"/>
        </w:rPr>
        <w:t>.</w:t>
      </w:r>
    </w:p>
    <w:tbl>
      <w:tblPr>
        <w:tblStyle w:val="3"/>
        <w:tblW w:w="9539" w:type="dxa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65"/>
        <w:gridCol w:w="1523"/>
        <w:gridCol w:w="948"/>
        <w:gridCol w:w="1701"/>
        <w:gridCol w:w="851"/>
        <w:gridCol w:w="1701"/>
        <w:gridCol w:w="850"/>
      </w:tblGrid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1965" w:type="dxa"/>
            <w:tcBorders>
              <w:top w:val="single" w:color="auto" w:sz="8" w:space="0"/>
              <w:bottom w:val="nil"/>
            </w:tcBorders>
            <w:noWrap/>
          </w:tcPr>
          <w:p>
            <w:pPr>
              <w:rPr>
                <w:bCs/>
                <w:sz w:val="20"/>
              </w:rPr>
            </w:pPr>
          </w:p>
        </w:tc>
        <w:tc>
          <w:tcPr>
            <w:tcW w:w="2471" w:type="dxa"/>
            <w:gridSpan w:val="2"/>
            <w:tcBorders>
              <w:top w:val="single" w:color="auto" w:sz="8" w:space="0"/>
              <w:bottom w:val="nil"/>
            </w:tcBorders>
            <w:noWrap/>
          </w:tcPr>
          <w:p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Model Ⅰ</w:t>
            </w:r>
            <w:r>
              <w:rPr>
                <w:bCs/>
                <w:sz w:val="20"/>
                <w:vertAlign w:val="superscript"/>
              </w:rPr>
              <w:t>a</w:t>
            </w:r>
          </w:p>
        </w:tc>
        <w:tc>
          <w:tcPr>
            <w:tcW w:w="2552" w:type="dxa"/>
            <w:gridSpan w:val="2"/>
            <w:tcBorders>
              <w:top w:val="single" w:color="auto" w:sz="8" w:space="0"/>
              <w:bottom w:val="nil"/>
            </w:tcBorders>
            <w:noWrap/>
          </w:tcPr>
          <w:p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Model Ⅱ</w:t>
            </w:r>
            <w:r>
              <w:rPr>
                <w:bCs/>
                <w:sz w:val="20"/>
                <w:vertAlign w:val="superscript"/>
              </w:rPr>
              <w:t>b</w:t>
            </w:r>
          </w:p>
        </w:tc>
        <w:tc>
          <w:tcPr>
            <w:tcW w:w="2551" w:type="dxa"/>
            <w:gridSpan w:val="2"/>
            <w:tcBorders>
              <w:top w:val="single" w:color="auto" w:sz="8" w:space="0"/>
              <w:bottom w:val="nil"/>
            </w:tcBorders>
            <w:noWrap/>
          </w:tcPr>
          <w:p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Model Ⅲ</w:t>
            </w:r>
            <w:r>
              <w:rPr>
                <w:bCs/>
                <w:sz w:val="20"/>
                <w:vertAlign w:val="superscript"/>
              </w:rPr>
              <w:t>c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1965" w:type="dxa"/>
            <w:tcBorders>
              <w:top w:val="nil"/>
              <w:bottom w:val="single" w:color="auto" w:sz="8" w:space="0"/>
            </w:tcBorders>
            <w:noWrap/>
          </w:tcPr>
          <w:p>
            <w:pPr>
              <w:rPr>
                <w:bCs/>
                <w:sz w:val="20"/>
              </w:rPr>
            </w:pPr>
          </w:p>
        </w:tc>
        <w:tc>
          <w:tcPr>
            <w:tcW w:w="1523" w:type="dxa"/>
            <w:tcBorders>
              <w:top w:val="nil"/>
              <w:bottom w:val="single" w:color="auto" w:sz="8" w:space="0"/>
            </w:tcBorders>
            <w:noWrap/>
          </w:tcPr>
          <w:p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OR(95%CI)</w:t>
            </w:r>
          </w:p>
        </w:tc>
        <w:tc>
          <w:tcPr>
            <w:tcW w:w="948" w:type="dxa"/>
            <w:tcBorders>
              <w:top w:val="nil"/>
              <w:bottom w:val="single" w:color="auto" w:sz="8" w:space="0"/>
            </w:tcBorders>
            <w:noWrap/>
          </w:tcPr>
          <w:p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P value</w:t>
            </w:r>
          </w:p>
        </w:tc>
        <w:tc>
          <w:tcPr>
            <w:tcW w:w="1701" w:type="dxa"/>
            <w:tcBorders>
              <w:top w:val="nil"/>
              <w:bottom w:val="single" w:color="auto" w:sz="8" w:space="0"/>
            </w:tcBorders>
            <w:noWrap/>
          </w:tcPr>
          <w:p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OR(95%CI)</w:t>
            </w:r>
          </w:p>
        </w:tc>
        <w:tc>
          <w:tcPr>
            <w:tcW w:w="851" w:type="dxa"/>
            <w:tcBorders>
              <w:top w:val="nil"/>
              <w:bottom w:val="single" w:color="auto" w:sz="8" w:space="0"/>
            </w:tcBorders>
            <w:noWrap/>
          </w:tcPr>
          <w:p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P value</w:t>
            </w:r>
          </w:p>
        </w:tc>
        <w:tc>
          <w:tcPr>
            <w:tcW w:w="1701" w:type="dxa"/>
            <w:tcBorders>
              <w:top w:val="nil"/>
              <w:bottom w:val="single" w:color="auto" w:sz="8" w:space="0"/>
            </w:tcBorders>
            <w:noWrap/>
          </w:tcPr>
          <w:p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OR(95%CI)</w:t>
            </w:r>
          </w:p>
        </w:tc>
        <w:tc>
          <w:tcPr>
            <w:tcW w:w="850" w:type="dxa"/>
            <w:tcBorders>
              <w:top w:val="nil"/>
              <w:bottom w:val="single" w:color="auto" w:sz="8" w:space="0"/>
            </w:tcBorders>
            <w:noWrap/>
          </w:tcPr>
          <w:p>
            <w:pPr>
              <w:jc w:val="center"/>
              <w:rPr>
                <w:sz w:val="20"/>
              </w:rPr>
            </w:pPr>
            <w:r>
              <w:rPr>
                <w:sz w:val="20"/>
              </w:rPr>
              <w:t>P value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1965" w:type="dxa"/>
            <w:tcBorders>
              <w:top w:val="single" w:color="auto" w:sz="8" w:space="0"/>
            </w:tcBorders>
            <w:noWrap/>
          </w:tcPr>
          <w:p>
            <w:pPr>
              <w:rPr>
                <w:rFonts w:hint="default" w:eastAsia="宋体"/>
                <w:bCs/>
                <w:sz w:val="20"/>
                <w:lang w:val="en-US" w:eastAsia="zh-CN"/>
              </w:rPr>
            </w:pPr>
            <w:r>
              <w:rPr>
                <w:rFonts w:hint="eastAsia"/>
                <w:bCs/>
                <w:sz w:val="20"/>
                <w:lang w:val="en-US" w:eastAsia="zh-CN"/>
              </w:rPr>
              <w:t>Excluding 2001-2002</w:t>
            </w:r>
          </w:p>
        </w:tc>
        <w:tc>
          <w:tcPr>
            <w:tcW w:w="1523" w:type="dxa"/>
            <w:tcBorders>
              <w:top w:val="single" w:color="auto" w:sz="8" w:space="0"/>
            </w:tcBorders>
            <w:noWrap/>
          </w:tcPr>
          <w:p>
            <w:pPr>
              <w:jc w:val="center"/>
              <w:rPr>
                <w:bCs/>
                <w:sz w:val="20"/>
              </w:rPr>
            </w:pPr>
            <w:r>
              <w:rPr>
                <w:rFonts w:hint="eastAsia"/>
                <w:bCs/>
                <w:sz w:val="20"/>
              </w:rPr>
              <w:t>1.16(1.13,1.19)</w:t>
            </w:r>
          </w:p>
        </w:tc>
        <w:tc>
          <w:tcPr>
            <w:tcW w:w="948" w:type="dxa"/>
            <w:tcBorders>
              <w:top w:val="single" w:color="auto" w:sz="8" w:space="0"/>
            </w:tcBorders>
            <w:noWrap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lang w:val="en-US" w:eastAsia="zh-CN"/>
              </w:rPr>
            </w:pPr>
            <w:r>
              <w:rPr>
                <w:rFonts w:hint="eastAsia"/>
                <w:b/>
                <w:bCs/>
                <w:sz w:val="20"/>
                <w:lang w:val="en-US" w:eastAsia="zh-CN"/>
              </w:rPr>
              <w:t>&lt;0.001</w:t>
            </w:r>
          </w:p>
        </w:tc>
        <w:tc>
          <w:tcPr>
            <w:tcW w:w="1701" w:type="dxa"/>
            <w:tcBorders>
              <w:top w:val="single" w:color="auto" w:sz="8" w:space="0"/>
            </w:tcBorders>
            <w:noWrap/>
          </w:tcPr>
          <w:p>
            <w:pPr>
              <w:jc w:val="center"/>
              <w:rPr>
                <w:bCs/>
                <w:sz w:val="20"/>
              </w:rPr>
            </w:pPr>
            <w:r>
              <w:rPr>
                <w:rFonts w:hint="eastAsia"/>
                <w:bCs/>
                <w:sz w:val="20"/>
              </w:rPr>
              <w:t>1.05(1.02, 1.08)</w:t>
            </w:r>
          </w:p>
        </w:tc>
        <w:tc>
          <w:tcPr>
            <w:tcW w:w="851" w:type="dxa"/>
            <w:tcBorders>
              <w:top w:val="single" w:color="auto" w:sz="8" w:space="0"/>
            </w:tcBorders>
            <w:noWrap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lang w:val="en-US" w:eastAsia="zh-CN"/>
              </w:rPr>
            </w:pPr>
            <w:r>
              <w:rPr>
                <w:b/>
                <w:bCs w:val="0"/>
                <w:sz w:val="20"/>
              </w:rPr>
              <w:t>0.</w:t>
            </w:r>
            <w:r>
              <w:rPr>
                <w:rFonts w:hint="eastAsia"/>
                <w:b/>
                <w:bCs w:val="0"/>
                <w:sz w:val="20"/>
                <w:lang w:val="en-US" w:eastAsia="zh-CN"/>
              </w:rPr>
              <w:t>003</w:t>
            </w:r>
          </w:p>
        </w:tc>
        <w:tc>
          <w:tcPr>
            <w:tcW w:w="1701" w:type="dxa"/>
            <w:tcBorders>
              <w:top w:val="single" w:color="auto" w:sz="8" w:space="0"/>
            </w:tcBorders>
            <w:noWrap/>
          </w:tcPr>
          <w:p>
            <w:pPr>
              <w:jc w:val="center"/>
              <w:rPr>
                <w:bCs/>
                <w:sz w:val="20"/>
              </w:rPr>
            </w:pPr>
            <w:r>
              <w:rPr>
                <w:rFonts w:hint="eastAsia"/>
                <w:bCs/>
                <w:sz w:val="20"/>
              </w:rPr>
              <w:t xml:space="preserve"> 1.04(1.01, 1.08)</w:t>
            </w:r>
          </w:p>
        </w:tc>
        <w:tc>
          <w:tcPr>
            <w:tcW w:w="850" w:type="dxa"/>
            <w:tcBorders>
              <w:top w:val="single" w:color="auto" w:sz="8" w:space="0"/>
            </w:tcBorders>
            <w:noWrap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lang w:val="en-US" w:eastAsia="zh-CN"/>
              </w:rPr>
            </w:pPr>
            <w:r>
              <w:rPr>
                <w:b/>
                <w:bCs w:val="0"/>
                <w:sz w:val="20"/>
              </w:rPr>
              <w:t>0.</w:t>
            </w:r>
            <w:r>
              <w:rPr>
                <w:rFonts w:hint="eastAsia"/>
                <w:b/>
                <w:bCs w:val="0"/>
                <w:sz w:val="20"/>
                <w:lang w:val="en-US" w:eastAsia="zh-CN"/>
              </w:rPr>
              <w:t>007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1965" w:type="dxa"/>
            <w:noWrap/>
          </w:tcPr>
          <w:p>
            <w:pPr>
              <w:rPr>
                <w:rFonts w:hint="default" w:eastAsia="宋体"/>
                <w:bCs/>
                <w:sz w:val="20"/>
                <w:lang w:val="en-US" w:eastAsia="zh-CN"/>
              </w:rPr>
            </w:pPr>
            <w:r>
              <w:rPr>
                <w:rFonts w:hint="eastAsia"/>
                <w:bCs/>
                <w:sz w:val="20"/>
                <w:lang w:val="en-US" w:eastAsia="zh-CN"/>
              </w:rPr>
              <w:t>Excluding</w:t>
            </w:r>
            <w:r>
              <w:rPr>
                <w:rFonts w:hint="eastAsia"/>
                <w:bCs/>
                <w:sz w:val="20"/>
                <w:lang w:val="en-US" w:eastAsia="zh-CN"/>
              </w:rPr>
              <w:t xml:space="preserve"> 2003-2004</w:t>
            </w:r>
          </w:p>
        </w:tc>
        <w:tc>
          <w:tcPr>
            <w:tcW w:w="1523" w:type="dxa"/>
            <w:noWrap/>
          </w:tcPr>
          <w:p>
            <w:pPr>
              <w:jc w:val="center"/>
              <w:rPr>
                <w:bCs/>
                <w:sz w:val="20"/>
              </w:rPr>
            </w:pPr>
            <w:r>
              <w:rPr>
                <w:rFonts w:hint="eastAsia"/>
                <w:bCs/>
                <w:sz w:val="20"/>
              </w:rPr>
              <w:t>1.16(1.13,1.19)</w:t>
            </w:r>
          </w:p>
        </w:tc>
        <w:tc>
          <w:tcPr>
            <w:tcW w:w="948" w:type="dxa"/>
            <w:noWrap/>
          </w:tcPr>
          <w:p>
            <w:pPr>
              <w:jc w:val="center"/>
              <w:rPr>
                <w:b/>
                <w:bCs/>
                <w:sz w:val="20"/>
              </w:rPr>
            </w:pPr>
            <w:r>
              <w:rPr>
                <w:rFonts w:hint="eastAsia"/>
                <w:b/>
                <w:bCs/>
                <w:sz w:val="20"/>
                <w:lang w:val="en-US" w:eastAsia="zh-CN"/>
              </w:rPr>
              <w:t>&lt;0.001</w:t>
            </w:r>
          </w:p>
        </w:tc>
        <w:tc>
          <w:tcPr>
            <w:tcW w:w="1701" w:type="dxa"/>
            <w:noWrap/>
          </w:tcPr>
          <w:p>
            <w:pPr>
              <w:jc w:val="center"/>
              <w:rPr>
                <w:bCs/>
                <w:sz w:val="20"/>
              </w:rPr>
            </w:pPr>
            <w:r>
              <w:rPr>
                <w:rFonts w:hint="eastAsia"/>
                <w:bCs/>
                <w:sz w:val="20"/>
              </w:rPr>
              <w:t>1.05(1.02, 1.08)</w:t>
            </w:r>
          </w:p>
        </w:tc>
        <w:tc>
          <w:tcPr>
            <w:tcW w:w="851" w:type="dxa"/>
            <w:noWrap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lang w:val="en-US" w:eastAsia="zh-CN"/>
              </w:rPr>
              <w:t>0.002</w:t>
            </w:r>
          </w:p>
        </w:tc>
        <w:tc>
          <w:tcPr>
            <w:tcW w:w="1701" w:type="dxa"/>
            <w:noWrap/>
          </w:tcPr>
          <w:p>
            <w:pPr>
              <w:jc w:val="center"/>
              <w:rPr>
                <w:bCs/>
                <w:sz w:val="20"/>
              </w:rPr>
            </w:pPr>
            <w:r>
              <w:rPr>
                <w:rFonts w:hint="eastAsia"/>
                <w:bCs/>
                <w:sz w:val="20"/>
              </w:rPr>
              <w:t xml:space="preserve"> 1.05(1.01, 1.08)</w:t>
            </w:r>
          </w:p>
        </w:tc>
        <w:tc>
          <w:tcPr>
            <w:tcW w:w="850" w:type="dxa"/>
            <w:noWrap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lang w:val="en-US" w:eastAsia="zh-CN"/>
              </w:rPr>
              <w:t>0.007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1965" w:type="dxa"/>
            <w:noWrap/>
          </w:tcPr>
          <w:p>
            <w:pPr>
              <w:rPr>
                <w:rFonts w:hint="default"/>
                <w:bCs/>
                <w:sz w:val="20"/>
                <w:lang w:val="en-US"/>
              </w:rPr>
            </w:pPr>
            <w:r>
              <w:rPr>
                <w:rFonts w:hint="eastAsia"/>
                <w:bCs/>
                <w:sz w:val="20"/>
                <w:lang w:val="en-US" w:eastAsia="zh-CN"/>
              </w:rPr>
              <w:t>Excluding 2005-2006</w:t>
            </w:r>
          </w:p>
        </w:tc>
        <w:tc>
          <w:tcPr>
            <w:tcW w:w="1523" w:type="dxa"/>
            <w:noWrap/>
          </w:tcPr>
          <w:p>
            <w:pPr>
              <w:jc w:val="center"/>
              <w:rPr>
                <w:bCs/>
                <w:sz w:val="20"/>
              </w:rPr>
            </w:pPr>
            <w:r>
              <w:rPr>
                <w:rFonts w:hint="eastAsia"/>
                <w:bCs/>
                <w:sz w:val="20"/>
              </w:rPr>
              <w:t>1.17(1.14,1.20)</w:t>
            </w:r>
          </w:p>
        </w:tc>
        <w:tc>
          <w:tcPr>
            <w:tcW w:w="948" w:type="dxa"/>
            <w:noWrap/>
          </w:tcPr>
          <w:p>
            <w:pPr>
              <w:jc w:val="center"/>
              <w:rPr>
                <w:b/>
                <w:bCs/>
                <w:sz w:val="20"/>
              </w:rPr>
            </w:pPr>
            <w:r>
              <w:rPr>
                <w:rFonts w:hint="eastAsia"/>
                <w:b/>
                <w:bCs/>
                <w:sz w:val="20"/>
                <w:lang w:val="en-US" w:eastAsia="zh-CN"/>
              </w:rPr>
              <w:t>&lt;0.001</w:t>
            </w:r>
          </w:p>
        </w:tc>
        <w:tc>
          <w:tcPr>
            <w:tcW w:w="1701" w:type="dxa"/>
            <w:noWrap/>
          </w:tcPr>
          <w:p>
            <w:pPr>
              <w:jc w:val="center"/>
              <w:rPr>
                <w:bCs/>
                <w:sz w:val="20"/>
              </w:rPr>
            </w:pPr>
            <w:r>
              <w:rPr>
                <w:rFonts w:hint="eastAsia"/>
                <w:bCs/>
                <w:sz w:val="20"/>
              </w:rPr>
              <w:t>1.05(1.02, 1.08)</w:t>
            </w:r>
          </w:p>
        </w:tc>
        <w:tc>
          <w:tcPr>
            <w:tcW w:w="851" w:type="dxa"/>
            <w:noWrap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lang w:val="en-US" w:eastAsia="zh-CN"/>
              </w:rPr>
            </w:pPr>
            <w:r>
              <w:rPr>
                <w:b/>
                <w:bCs w:val="0"/>
                <w:sz w:val="20"/>
              </w:rPr>
              <w:t>0.</w:t>
            </w:r>
            <w:r>
              <w:rPr>
                <w:rFonts w:hint="eastAsia"/>
                <w:b/>
                <w:bCs w:val="0"/>
                <w:sz w:val="20"/>
                <w:lang w:val="en-US" w:eastAsia="zh-CN"/>
              </w:rPr>
              <w:t>002</w:t>
            </w:r>
          </w:p>
        </w:tc>
        <w:tc>
          <w:tcPr>
            <w:tcW w:w="1701" w:type="dxa"/>
            <w:noWrap/>
          </w:tcPr>
          <w:p>
            <w:pPr>
              <w:jc w:val="center"/>
              <w:rPr>
                <w:bCs/>
                <w:sz w:val="20"/>
              </w:rPr>
            </w:pPr>
            <w:r>
              <w:rPr>
                <w:rFonts w:hint="eastAsia"/>
                <w:bCs/>
                <w:sz w:val="20"/>
                <w:lang w:val="en-US" w:eastAsia="zh-CN"/>
              </w:rPr>
              <w:t xml:space="preserve"> </w:t>
            </w:r>
            <w:r>
              <w:rPr>
                <w:rFonts w:hint="eastAsia"/>
                <w:bCs/>
                <w:sz w:val="20"/>
              </w:rPr>
              <w:t>1.05(1.01, 1.08)</w:t>
            </w:r>
          </w:p>
        </w:tc>
        <w:tc>
          <w:tcPr>
            <w:tcW w:w="850" w:type="dxa"/>
            <w:noWrap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lang w:val="en-US" w:eastAsia="zh-CN"/>
              </w:rPr>
            </w:pPr>
            <w:r>
              <w:rPr>
                <w:b/>
                <w:bCs w:val="0"/>
                <w:sz w:val="20"/>
              </w:rPr>
              <w:t>0.</w:t>
            </w:r>
            <w:r>
              <w:rPr>
                <w:rFonts w:hint="eastAsia"/>
                <w:b/>
                <w:bCs w:val="0"/>
                <w:sz w:val="20"/>
                <w:lang w:val="en-US" w:eastAsia="zh-CN"/>
              </w:rPr>
              <w:t>005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1965" w:type="dxa"/>
            <w:noWrap/>
          </w:tcPr>
          <w:p>
            <w:pPr>
              <w:rPr>
                <w:rFonts w:hint="default"/>
                <w:bCs/>
                <w:sz w:val="20"/>
                <w:lang w:val="en-US"/>
              </w:rPr>
            </w:pPr>
            <w:r>
              <w:rPr>
                <w:rFonts w:hint="eastAsia"/>
                <w:bCs/>
                <w:sz w:val="20"/>
                <w:lang w:val="en-US" w:eastAsia="zh-CN"/>
              </w:rPr>
              <w:t>Excluding 2007-2008</w:t>
            </w:r>
          </w:p>
        </w:tc>
        <w:tc>
          <w:tcPr>
            <w:tcW w:w="1523" w:type="dxa"/>
            <w:noWrap/>
          </w:tcPr>
          <w:p>
            <w:pPr>
              <w:jc w:val="center"/>
              <w:rPr>
                <w:bCs/>
                <w:sz w:val="20"/>
              </w:rPr>
            </w:pPr>
            <w:r>
              <w:rPr>
                <w:rFonts w:hint="eastAsia"/>
                <w:bCs/>
                <w:sz w:val="20"/>
              </w:rPr>
              <w:t>1.16(1.13,1.19)</w:t>
            </w:r>
          </w:p>
        </w:tc>
        <w:tc>
          <w:tcPr>
            <w:tcW w:w="948" w:type="dxa"/>
            <w:noWrap/>
          </w:tcPr>
          <w:p>
            <w:pPr>
              <w:jc w:val="center"/>
              <w:rPr>
                <w:b/>
                <w:bCs/>
                <w:sz w:val="20"/>
              </w:rPr>
            </w:pPr>
            <w:r>
              <w:rPr>
                <w:rFonts w:hint="eastAsia"/>
                <w:b/>
                <w:bCs/>
                <w:sz w:val="20"/>
                <w:lang w:val="en-US" w:eastAsia="zh-CN"/>
              </w:rPr>
              <w:t>&lt;0.001</w:t>
            </w:r>
          </w:p>
        </w:tc>
        <w:tc>
          <w:tcPr>
            <w:tcW w:w="1701" w:type="dxa"/>
            <w:noWrap/>
          </w:tcPr>
          <w:p>
            <w:pPr>
              <w:jc w:val="center"/>
              <w:rPr>
                <w:bCs/>
                <w:sz w:val="20"/>
              </w:rPr>
            </w:pPr>
            <w:r>
              <w:rPr>
                <w:rFonts w:hint="eastAsia"/>
                <w:bCs/>
                <w:sz w:val="20"/>
              </w:rPr>
              <w:t>1.04(1.01, 1.08)</w:t>
            </w:r>
          </w:p>
        </w:tc>
        <w:tc>
          <w:tcPr>
            <w:tcW w:w="851" w:type="dxa"/>
            <w:noWrap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lang w:val="en-US" w:eastAsia="zh-CN"/>
              </w:rPr>
              <w:t>0.008</w:t>
            </w:r>
          </w:p>
        </w:tc>
        <w:tc>
          <w:tcPr>
            <w:tcW w:w="1701" w:type="dxa"/>
            <w:noWrap/>
          </w:tcPr>
          <w:p>
            <w:pPr>
              <w:jc w:val="center"/>
              <w:rPr>
                <w:bCs/>
                <w:sz w:val="20"/>
              </w:rPr>
            </w:pPr>
            <w:r>
              <w:rPr>
                <w:rFonts w:hint="eastAsia"/>
                <w:bCs/>
                <w:sz w:val="20"/>
              </w:rPr>
              <w:t xml:space="preserve"> 1.04(1.01, 1.08)</w:t>
            </w:r>
          </w:p>
        </w:tc>
        <w:tc>
          <w:tcPr>
            <w:tcW w:w="850" w:type="dxa"/>
            <w:noWrap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lang w:val="en-US" w:eastAsia="zh-CN"/>
              </w:rPr>
              <w:t>0.016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1965" w:type="dxa"/>
            <w:noWrap/>
          </w:tcPr>
          <w:p>
            <w:pPr>
              <w:rPr>
                <w:rFonts w:hint="default"/>
                <w:bCs/>
                <w:sz w:val="20"/>
                <w:lang w:val="en-US"/>
              </w:rPr>
            </w:pPr>
            <w:r>
              <w:rPr>
                <w:rFonts w:hint="eastAsia"/>
                <w:bCs/>
                <w:sz w:val="20"/>
                <w:lang w:val="en-US" w:eastAsia="zh-CN"/>
              </w:rPr>
              <w:t>Excluding 2009-2010</w:t>
            </w:r>
          </w:p>
        </w:tc>
        <w:tc>
          <w:tcPr>
            <w:tcW w:w="1523" w:type="dxa"/>
            <w:noWrap/>
          </w:tcPr>
          <w:p>
            <w:pPr>
              <w:jc w:val="center"/>
              <w:rPr>
                <w:bCs/>
                <w:sz w:val="20"/>
              </w:rPr>
            </w:pPr>
            <w:r>
              <w:rPr>
                <w:rFonts w:hint="eastAsia"/>
                <w:bCs/>
                <w:sz w:val="20"/>
              </w:rPr>
              <w:t>1.16(1.13,1.19)</w:t>
            </w:r>
          </w:p>
        </w:tc>
        <w:tc>
          <w:tcPr>
            <w:tcW w:w="948" w:type="dxa"/>
            <w:noWrap/>
          </w:tcPr>
          <w:p>
            <w:pPr>
              <w:jc w:val="center"/>
              <w:rPr>
                <w:b/>
                <w:bCs/>
                <w:sz w:val="20"/>
              </w:rPr>
            </w:pPr>
            <w:r>
              <w:rPr>
                <w:rFonts w:hint="eastAsia"/>
                <w:b/>
                <w:bCs/>
                <w:sz w:val="20"/>
                <w:lang w:val="en-US" w:eastAsia="zh-CN"/>
              </w:rPr>
              <w:t>&lt;0.001</w:t>
            </w:r>
          </w:p>
        </w:tc>
        <w:tc>
          <w:tcPr>
            <w:tcW w:w="1701" w:type="dxa"/>
            <w:noWrap/>
          </w:tcPr>
          <w:p>
            <w:pPr>
              <w:jc w:val="center"/>
              <w:rPr>
                <w:bCs/>
                <w:sz w:val="20"/>
              </w:rPr>
            </w:pPr>
            <w:r>
              <w:rPr>
                <w:rFonts w:hint="eastAsia"/>
                <w:bCs/>
                <w:sz w:val="20"/>
              </w:rPr>
              <w:t>1.05(1.01, 1.08)</w:t>
            </w:r>
          </w:p>
        </w:tc>
        <w:tc>
          <w:tcPr>
            <w:tcW w:w="851" w:type="dxa"/>
            <w:noWrap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lang w:val="en-US" w:eastAsia="zh-CN"/>
              </w:rPr>
            </w:pPr>
            <w:r>
              <w:rPr>
                <w:b/>
                <w:bCs w:val="0"/>
                <w:sz w:val="20"/>
              </w:rPr>
              <w:t>0.</w:t>
            </w:r>
            <w:r>
              <w:rPr>
                <w:rFonts w:hint="eastAsia"/>
                <w:b/>
                <w:bCs w:val="0"/>
                <w:sz w:val="20"/>
                <w:lang w:val="en-US" w:eastAsia="zh-CN"/>
              </w:rPr>
              <w:t>005</w:t>
            </w:r>
          </w:p>
        </w:tc>
        <w:tc>
          <w:tcPr>
            <w:tcW w:w="1701" w:type="dxa"/>
            <w:noWrap/>
          </w:tcPr>
          <w:p>
            <w:pPr>
              <w:jc w:val="center"/>
              <w:rPr>
                <w:bCs/>
                <w:sz w:val="20"/>
              </w:rPr>
            </w:pPr>
            <w:r>
              <w:rPr>
                <w:rFonts w:hint="eastAsia"/>
                <w:bCs/>
                <w:sz w:val="20"/>
              </w:rPr>
              <w:t xml:space="preserve"> 1.04(1.01, 1.08)</w:t>
            </w:r>
          </w:p>
        </w:tc>
        <w:tc>
          <w:tcPr>
            <w:tcW w:w="850" w:type="dxa"/>
            <w:noWrap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lang w:val="en-US" w:eastAsia="zh-CN"/>
              </w:rPr>
            </w:pPr>
            <w:r>
              <w:rPr>
                <w:b/>
                <w:bCs w:val="0"/>
                <w:sz w:val="20"/>
              </w:rPr>
              <w:t>0.</w:t>
            </w:r>
            <w:r>
              <w:rPr>
                <w:rFonts w:hint="eastAsia"/>
                <w:b/>
                <w:bCs w:val="0"/>
                <w:sz w:val="20"/>
                <w:lang w:val="en-US" w:eastAsia="zh-CN"/>
              </w:rPr>
              <w:t>012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1965" w:type="dxa"/>
            <w:tcBorders>
              <w:bottom w:val="nil"/>
            </w:tcBorders>
            <w:noWrap/>
          </w:tcPr>
          <w:p>
            <w:pPr>
              <w:rPr>
                <w:rFonts w:hint="default"/>
                <w:bCs/>
                <w:sz w:val="20"/>
                <w:lang w:val="en-US"/>
              </w:rPr>
            </w:pPr>
            <w:r>
              <w:rPr>
                <w:rFonts w:hint="eastAsia"/>
                <w:bCs/>
                <w:sz w:val="20"/>
                <w:lang w:val="en-US" w:eastAsia="zh-CN"/>
              </w:rPr>
              <w:t>Excluding 2011-2012</w:t>
            </w:r>
          </w:p>
        </w:tc>
        <w:tc>
          <w:tcPr>
            <w:tcW w:w="1523" w:type="dxa"/>
            <w:tcBorders>
              <w:bottom w:val="nil"/>
            </w:tcBorders>
            <w:noWrap/>
          </w:tcPr>
          <w:p>
            <w:pPr>
              <w:jc w:val="center"/>
              <w:rPr>
                <w:bCs/>
                <w:sz w:val="20"/>
              </w:rPr>
            </w:pPr>
            <w:r>
              <w:rPr>
                <w:rFonts w:hint="eastAsia"/>
                <w:bCs/>
                <w:sz w:val="20"/>
              </w:rPr>
              <w:t>1.17(1.14,1.20)</w:t>
            </w:r>
          </w:p>
        </w:tc>
        <w:tc>
          <w:tcPr>
            <w:tcW w:w="948" w:type="dxa"/>
            <w:tcBorders>
              <w:bottom w:val="nil"/>
            </w:tcBorders>
            <w:noWrap/>
          </w:tcPr>
          <w:p>
            <w:pPr>
              <w:jc w:val="center"/>
              <w:rPr>
                <w:b/>
                <w:bCs/>
                <w:sz w:val="20"/>
              </w:rPr>
            </w:pPr>
            <w:r>
              <w:rPr>
                <w:rFonts w:hint="eastAsia"/>
                <w:b/>
                <w:bCs/>
                <w:sz w:val="20"/>
                <w:lang w:val="en-US" w:eastAsia="zh-CN"/>
              </w:rPr>
              <w:t>&lt;0.001</w:t>
            </w:r>
          </w:p>
        </w:tc>
        <w:tc>
          <w:tcPr>
            <w:tcW w:w="1701" w:type="dxa"/>
            <w:tcBorders>
              <w:bottom w:val="nil"/>
            </w:tcBorders>
            <w:noWrap/>
          </w:tcPr>
          <w:p>
            <w:pPr>
              <w:jc w:val="center"/>
              <w:rPr>
                <w:bCs/>
                <w:sz w:val="20"/>
              </w:rPr>
            </w:pPr>
            <w:r>
              <w:rPr>
                <w:rFonts w:hint="eastAsia"/>
                <w:bCs/>
                <w:sz w:val="20"/>
              </w:rPr>
              <w:t>1.06(1.03, 1.09)</w:t>
            </w:r>
          </w:p>
        </w:tc>
        <w:tc>
          <w:tcPr>
            <w:tcW w:w="851" w:type="dxa"/>
            <w:tcBorders>
              <w:bottom w:val="nil"/>
            </w:tcBorders>
            <w:noWrap/>
          </w:tcPr>
          <w:p>
            <w:pPr>
              <w:jc w:val="center"/>
              <w:rPr>
                <w:b/>
                <w:bCs w:val="0"/>
                <w:sz w:val="20"/>
              </w:rPr>
            </w:pPr>
            <w:r>
              <w:rPr>
                <w:rFonts w:hint="eastAsia"/>
                <w:b/>
                <w:bCs w:val="0"/>
                <w:sz w:val="20"/>
                <w:lang w:val="en-US" w:eastAsia="zh-CN"/>
              </w:rPr>
              <w:t>&lt;0.001</w:t>
            </w:r>
          </w:p>
        </w:tc>
        <w:tc>
          <w:tcPr>
            <w:tcW w:w="1701" w:type="dxa"/>
            <w:tcBorders>
              <w:bottom w:val="nil"/>
            </w:tcBorders>
            <w:noWrap/>
          </w:tcPr>
          <w:p>
            <w:pPr>
              <w:jc w:val="center"/>
              <w:rPr>
                <w:bCs/>
                <w:sz w:val="20"/>
              </w:rPr>
            </w:pPr>
            <w:r>
              <w:rPr>
                <w:rFonts w:hint="eastAsia"/>
                <w:bCs/>
                <w:sz w:val="20"/>
              </w:rPr>
              <w:t xml:space="preserve"> 1.05(1.02, 1.08)</w:t>
            </w:r>
          </w:p>
        </w:tc>
        <w:tc>
          <w:tcPr>
            <w:tcW w:w="850" w:type="dxa"/>
            <w:tcBorders>
              <w:bottom w:val="nil"/>
            </w:tcBorders>
            <w:noWrap/>
          </w:tcPr>
          <w:p>
            <w:pPr>
              <w:jc w:val="center"/>
              <w:rPr>
                <w:b/>
                <w:bCs w:val="0"/>
                <w:sz w:val="20"/>
              </w:rPr>
            </w:pPr>
            <w:r>
              <w:rPr>
                <w:rFonts w:hint="eastAsia"/>
                <w:b/>
                <w:bCs w:val="0"/>
                <w:sz w:val="20"/>
                <w:lang w:val="en-US" w:eastAsia="zh-CN"/>
              </w:rPr>
              <w:t>&lt;0.001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1965" w:type="dxa"/>
            <w:tcBorders>
              <w:bottom w:val="nil"/>
            </w:tcBorders>
            <w:noWrap/>
          </w:tcPr>
          <w:p>
            <w:pPr>
              <w:rPr>
                <w:rFonts w:hint="default"/>
                <w:bCs/>
                <w:sz w:val="20"/>
                <w:lang w:val="en-US"/>
              </w:rPr>
            </w:pPr>
            <w:r>
              <w:rPr>
                <w:rFonts w:hint="eastAsia"/>
                <w:bCs/>
                <w:sz w:val="20"/>
                <w:lang w:val="en-US" w:eastAsia="zh-CN"/>
              </w:rPr>
              <w:t>Excluding 2013-2014</w:t>
            </w:r>
          </w:p>
        </w:tc>
        <w:tc>
          <w:tcPr>
            <w:tcW w:w="1523" w:type="dxa"/>
            <w:tcBorders>
              <w:bottom w:val="nil"/>
            </w:tcBorders>
            <w:noWrap/>
          </w:tcPr>
          <w:p>
            <w:pPr>
              <w:jc w:val="center"/>
              <w:rPr>
                <w:bCs/>
                <w:sz w:val="20"/>
              </w:rPr>
            </w:pPr>
            <w:r>
              <w:rPr>
                <w:rFonts w:hint="eastAsia"/>
                <w:bCs/>
                <w:sz w:val="20"/>
              </w:rPr>
              <w:t>1.17(1.14,1.21)</w:t>
            </w:r>
          </w:p>
        </w:tc>
        <w:tc>
          <w:tcPr>
            <w:tcW w:w="948" w:type="dxa"/>
            <w:tcBorders>
              <w:bottom w:val="nil"/>
            </w:tcBorders>
            <w:noWrap/>
          </w:tcPr>
          <w:p>
            <w:pPr>
              <w:jc w:val="center"/>
              <w:rPr>
                <w:b/>
                <w:bCs/>
                <w:sz w:val="20"/>
              </w:rPr>
            </w:pPr>
            <w:r>
              <w:rPr>
                <w:rFonts w:hint="eastAsia"/>
                <w:b/>
                <w:bCs/>
                <w:sz w:val="20"/>
                <w:lang w:val="en-US" w:eastAsia="zh-CN"/>
              </w:rPr>
              <w:t>&lt;0.001</w:t>
            </w:r>
          </w:p>
        </w:tc>
        <w:tc>
          <w:tcPr>
            <w:tcW w:w="1701" w:type="dxa"/>
            <w:tcBorders>
              <w:bottom w:val="nil"/>
            </w:tcBorders>
            <w:noWrap/>
          </w:tcPr>
          <w:p>
            <w:pPr>
              <w:jc w:val="center"/>
              <w:rPr>
                <w:bCs/>
                <w:sz w:val="20"/>
              </w:rPr>
            </w:pPr>
            <w:r>
              <w:rPr>
                <w:rFonts w:hint="eastAsia"/>
                <w:bCs/>
                <w:sz w:val="20"/>
              </w:rPr>
              <w:t>1.05(1.01, 1.08)</w:t>
            </w:r>
          </w:p>
        </w:tc>
        <w:tc>
          <w:tcPr>
            <w:tcW w:w="851" w:type="dxa"/>
            <w:tcBorders>
              <w:bottom w:val="nil"/>
            </w:tcBorders>
            <w:noWrap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lang w:val="en-US" w:eastAsia="zh-CN"/>
              </w:rPr>
              <w:t>0.005</w:t>
            </w:r>
          </w:p>
        </w:tc>
        <w:tc>
          <w:tcPr>
            <w:tcW w:w="1701" w:type="dxa"/>
            <w:tcBorders>
              <w:bottom w:val="nil"/>
            </w:tcBorders>
            <w:noWrap/>
          </w:tcPr>
          <w:p>
            <w:pPr>
              <w:jc w:val="center"/>
              <w:rPr>
                <w:bCs/>
                <w:sz w:val="20"/>
              </w:rPr>
            </w:pPr>
            <w:r>
              <w:rPr>
                <w:rFonts w:hint="eastAsia"/>
                <w:bCs/>
                <w:sz w:val="20"/>
              </w:rPr>
              <w:t xml:space="preserve"> 1.05(1.01, 1.08)</w:t>
            </w:r>
          </w:p>
        </w:tc>
        <w:tc>
          <w:tcPr>
            <w:tcW w:w="850" w:type="dxa"/>
            <w:tcBorders>
              <w:bottom w:val="nil"/>
            </w:tcBorders>
            <w:noWrap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lang w:val="en-US" w:eastAsia="zh-CN"/>
              </w:rPr>
              <w:t>0.007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1965" w:type="dxa"/>
            <w:tcBorders>
              <w:bottom w:val="nil"/>
            </w:tcBorders>
            <w:noWrap/>
          </w:tcPr>
          <w:p>
            <w:pPr>
              <w:rPr>
                <w:rFonts w:hint="default"/>
                <w:bCs/>
                <w:sz w:val="20"/>
                <w:lang w:val="en-US"/>
              </w:rPr>
            </w:pPr>
            <w:r>
              <w:rPr>
                <w:rFonts w:hint="eastAsia"/>
                <w:bCs/>
                <w:sz w:val="20"/>
                <w:lang w:val="en-US" w:eastAsia="zh-CN"/>
              </w:rPr>
              <w:t>Excluding 2015-2016</w:t>
            </w:r>
          </w:p>
        </w:tc>
        <w:tc>
          <w:tcPr>
            <w:tcW w:w="1523" w:type="dxa"/>
            <w:tcBorders>
              <w:bottom w:val="nil"/>
            </w:tcBorders>
            <w:noWrap/>
          </w:tcPr>
          <w:p>
            <w:pPr>
              <w:jc w:val="center"/>
              <w:rPr>
                <w:bCs/>
                <w:sz w:val="20"/>
              </w:rPr>
            </w:pPr>
            <w:r>
              <w:rPr>
                <w:rFonts w:hint="eastAsia"/>
                <w:bCs/>
                <w:sz w:val="20"/>
              </w:rPr>
              <w:t>1.16(1.13,1.19)</w:t>
            </w:r>
          </w:p>
        </w:tc>
        <w:tc>
          <w:tcPr>
            <w:tcW w:w="948" w:type="dxa"/>
            <w:tcBorders>
              <w:bottom w:val="nil"/>
            </w:tcBorders>
            <w:noWrap/>
          </w:tcPr>
          <w:p>
            <w:pPr>
              <w:jc w:val="center"/>
              <w:rPr>
                <w:b/>
                <w:bCs/>
                <w:sz w:val="20"/>
              </w:rPr>
            </w:pPr>
            <w:r>
              <w:rPr>
                <w:rFonts w:hint="eastAsia"/>
                <w:b/>
                <w:bCs/>
                <w:sz w:val="20"/>
                <w:lang w:val="en-US" w:eastAsia="zh-CN"/>
              </w:rPr>
              <w:t>&lt;0.001</w:t>
            </w:r>
          </w:p>
        </w:tc>
        <w:tc>
          <w:tcPr>
            <w:tcW w:w="1701" w:type="dxa"/>
            <w:tcBorders>
              <w:bottom w:val="nil"/>
            </w:tcBorders>
            <w:noWrap/>
          </w:tcPr>
          <w:p>
            <w:pPr>
              <w:jc w:val="center"/>
              <w:rPr>
                <w:bCs/>
                <w:sz w:val="20"/>
              </w:rPr>
            </w:pPr>
            <w:r>
              <w:rPr>
                <w:rFonts w:hint="eastAsia"/>
                <w:bCs/>
                <w:sz w:val="20"/>
              </w:rPr>
              <w:t>1.04(1.01, 1.07)</w:t>
            </w:r>
          </w:p>
        </w:tc>
        <w:tc>
          <w:tcPr>
            <w:tcW w:w="851" w:type="dxa"/>
            <w:tcBorders>
              <w:bottom w:val="nil"/>
            </w:tcBorders>
            <w:noWrap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lang w:val="en-US" w:eastAsia="zh-CN"/>
              </w:rPr>
              <w:t>0.019</w:t>
            </w:r>
          </w:p>
        </w:tc>
        <w:tc>
          <w:tcPr>
            <w:tcW w:w="1701" w:type="dxa"/>
            <w:tcBorders>
              <w:bottom w:val="nil"/>
            </w:tcBorders>
            <w:noWrap/>
          </w:tcPr>
          <w:p>
            <w:pPr>
              <w:jc w:val="center"/>
              <w:rPr>
                <w:bCs/>
                <w:sz w:val="20"/>
              </w:rPr>
            </w:pPr>
            <w:r>
              <w:rPr>
                <w:rFonts w:hint="eastAsia"/>
                <w:bCs/>
                <w:sz w:val="20"/>
                <w:lang w:val="en-US" w:eastAsia="zh-CN"/>
              </w:rPr>
              <w:t xml:space="preserve"> </w:t>
            </w:r>
            <w:r>
              <w:rPr>
                <w:rFonts w:hint="eastAsia"/>
                <w:bCs/>
                <w:sz w:val="20"/>
              </w:rPr>
              <w:t>1.04(1.00, 1.07)</w:t>
            </w:r>
          </w:p>
        </w:tc>
        <w:tc>
          <w:tcPr>
            <w:tcW w:w="850" w:type="dxa"/>
            <w:tcBorders>
              <w:bottom w:val="nil"/>
            </w:tcBorders>
            <w:noWrap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lang w:val="en-US" w:eastAsia="zh-CN"/>
              </w:rPr>
              <w:t>0.027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1965" w:type="dxa"/>
            <w:tcBorders>
              <w:bottom w:val="single" w:color="auto" w:sz="8" w:space="0"/>
            </w:tcBorders>
            <w:noWrap/>
          </w:tcPr>
          <w:p>
            <w:pPr>
              <w:rPr>
                <w:rFonts w:hint="default"/>
                <w:bCs/>
                <w:sz w:val="20"/>
                <w:lang w:val="en-US"/>
              </w:rPr>
            </w:pPr>
            <w:r>
              <w:rPr>
                <w:rFonts w:hint="eastAsia"/>
                <w:bCs/>
                <w:sz w:val="20"/>
                <w:lang w:val="en-US" w:eastAsia="zh-CN"/>
              </w:rPr>
              <w:t xml:space="preserve">Excluding </w:t>
            </w:r>
            <w:bookmarkStart w:id="0" w:name="_GoBack"/>
            <w:bookmarkEnd w:id="0"/>
            <w:r>
              <w:rPr>
                <w:rFonts w:hint="eastAsia"/>
                <w:bCs/>
                <w:sz w:val="20"/>
                <w:lang w:val="en-US" w:eastAsia="zh-CN"/>
              </w:rPr>
              <w:t>2017-2018</w:t>
            </w:r>
          </w:p>
        </w:tc>
        <w:tc>
          <w:tcPr>
            <w:tcW w:w="1523" w:type="dxa"/>
            <w:tcBorders>
              <w:bottom w:val="single" w:color="auto" w:sz="8" w:space="0"/>
            </w:tcBorders>
            <w:noWrap/>
          </w:tcPr>
          <w:p>
            <w:pPr>
              <w:jc w:val="center"/>
              <w:rPr>
                <w:bCs/>
                <w:sz w:val="20"/>
              </w:rPr>
            </w:pPr>
            <w:r>
              <w:rPr>
                <w:rFonts w:hint="eastAsia"/>
                <w:bCs/>
                <w:sz w:val="20"/>
              </w:rPr>
              <w:t>1.17(1.14,1.21)</w:t>
            </w:r>
          </w:p>
        </w:tc>
        <w:tc>
          <w:tcPr>
            <w:tcW w:w="948" w:type="dxa"/>
            <w:tcBorders>
              <w:bottom w:val="single" w:color="auto" w:sz="8" w:space="0"/>
            </w:tcBorders>
            <w:noWrap/>
          </w:tcPr>
          <w:p>
            <w:pPr>
              <w:jc w:val="center"/>
              <w:rPr>
                <w:b/>
                <w:bCs/>
                <w:sz w:val="20"/>
              </w:rPr>
            </w:pPr>
            <w:r>
              <w:rPr>
                <w:rFonts w:hint="eastAsia"/>
                <w:b/>
                <w:bCs/>
                <w:sz w:val="20"/>
                <w:lang w:val="en-US" w:eastAsia="zh-CN"/>
              </w:rPr>
              <w:t>&lt;0.001</w:t>
            </w:r>
          </w:p>
        </w:tc>
        <w:tc>
          <w:tcPr>
            <w:tcW w:w="1701" w:type="dxa"/>
            <w:tcBorders>
              <w:bottom w:val="single" w:color="auto" w:sz="8" w:space="0"/>
            </w:tcBorders>
            <w:noWrap/>
          </w:tcPr>
          <w:p>
            <w:pPr>
              <w:jc w:val="center"/>
              <w:rPr>
                <w:bCs/>
                <w:sz w:val="20"/>
              </w:rPr>
            </w:pPr>
            <w:r>
              <w:rPr>
                <w:rFonts w:hint="eastAsia"/>
                <w:bCs/>
                <w:sz w:val="20"/>
              </w:rPr>
              <w:t>1.07(1.04, 1.10)</w:t>
            </w:r>
          </w:p>
        </w:tc>
        <w:tc>
          <w:tcPr>
            <w:tcW w:w="851" w:type="dxa"/>
            <w:tcBorders>
              <w:bottom w:val="single" w:color="auto" w:sz="8" w:space="0"/>
            </w:tcBorders>
            <w:noWrap/>
          </w:tcPr>
          <w:p>
            <w:pPr>
              <w:jc w:val="center"/>
              <w:rPr>
                <w:b/>
                <w:bCs w:val="0"/>
                <w:sz w:val="20"/>
              </w:rPr>
            </w:pPr>
            <w:r>
              <w:rPr>
                <w:rFonts w:hint="eastAsia"/>
                <w:b/>
                <w:bCs w:val="0"/>
                <w:sz w:val="20"/>
                <w:lang w:val="en-US" w:eastAsia="zh-CN"/>
              </w:rPr>
              <w:t>&lt;0.001</w:t>
            </w:r>
          </w:p>
        </w:tc>
        <w:tc>
          <w:tcPr>
            <w:tcW w:w="1701" w:type="dxa"/>
            <w:tcBorders>
              <w:bottom w:val="single" w:color="auto" w:sz="8" w:space="0"/>
            </w:tcBorders>
            <w:noWrap/>
          </w:tcPr>
          <w:p>
            <w:pPr>
              <w:jc w:val="center"/>
              <w:rPr>
                <w:bCs/>
                <w:sz w:val="20"/>
              </w:rPr>
            </w:pPr>
            <w:r>
              <w:rPr>
                <w:rFonts w:hint="eastAsia"/>
                <w:bCs/>
                <w:sz w:val="20"/>
              </w:rPr>
              <w:t xml:space="preserve"> 1.07(1.04, 1.10)</w:t>
            </w:r>
          </w:p>
        </w:tc>
        <w:tc>
          <w:tcPr>
            <w:tcW w:w="850" w:type="dxa"/>
            <w:tcBorders>
              <w:bottom w:val="single" w:color="auto" w:sz="8" w:space="0"/>
            </w:tcBorders>
            <w:noWrap/>
          </w:tcPr>
          <w:p>
            <w:pPr>
              <w:jc w:val="center"/>
              <w:rPr>
                <w:b/>
                <w:bCs w:val="0"/>
                <w:sz w:val="20"/>
              </w:rPr>
            </w:pPr>
            <w:r>
              <w:rPr>
                <w:rFonts w:hint="eastAsia"/>
                <w:b/>
                <w:bCs w:val="0"/>
                <w:sz w:val="20"/>
                <w:lang w:val="en-US" w:eastAsia="zh-CN"/>
              </w:rPr>
              <w:t>&lt;0.001</w:t>
            </w:r>
          </w:p>
        </w:tc>
      </w:tr>
    </w:tbl>
    <w:p>
      <w:pPr>
        <w:rPr>
          <w:sz w:val="20"/>
        </w:rPr>
      </w:pPr>
      <w:r>
        <w:rPr>
          <w:bCs/>
          <w:sz w:val="20"/>
          <w:vertAlign w:val="superscript"/>
        </w:rPr>
        <w:t>a</w:t>
      </w:r>
      <w:r>
        <w:rPr>
          <w:bCs/>
          <w:sz w:val="20"/>
        </w:rPr>
        <w:t>Model Ⅰ</w:t>
      </w:r>
      <w:r>
        <w:rPr>
          <w:sz w:val="20"/>
        </w:rPr>
        <w:t xml:space="preserve"> was</w:t>
      </w:r>
      <w:r>
        <w:rPr>
          <w:rFonts w:hint="eastAsia"/>
          <w:sz w:val="20"/>
        </w:rPr>
        <w:t xml:space="preserve"> </w:t>
      </w:r>
      <w:r>
        <w:rPr>
          <w:sz w:val="20"/>
        </w:rPr>
        <w:t>adjusted for no covariates</w:t>
      </w:r>
      <w:r>
        <w:rPr>
          <w:rFonts w:hint="eastAsia"/>
          <w:sz w:val="20"/>
        </w:rPr>
        <w:t>.</w:t>
      </w:r>
    </w:p>
    <w:p>
      <w:pPr>
        <w:rPr>
          <w:sz w:val="20"/>
        </w:rPr>
      </w:pPr>
      <w:r>
        <w:rPr>
          <w:bCs/>
          <w:sz w:val="20"/>
          <w:vertAlign w:val="superscript"/>
        </w:rPr>
        <w:t>b</w:t>
      </w:r>
      <w:r>
        <w:rPr>
          <w:bCs/>
          <w:sz w:val="20"/>
        </w:rPr>
        <w:t>Model Ⅱ</w:t>
      </w:r>
      <w:r>
        <w:rPr>
          <w:rFonts w:hint="eastAsia"/>
          <w:bCs/>
          <w:sz w:val="20"/>
        </w:rPr>
        <w:t xml:space="preserve"> </w:t>
      </w:r>
      <w:r>
        <w:rPr>
          <w:sz w:val="20"/>
        </w:rPr>
        <w:t>was</w:t>
      </w:r>
      <w:r>
        <w:rPr>
          <w:rFonts w:hint="eastAsia"/>
          <w:sz w:val="20"/>
        </w:rPr>
        <w:t xml:space="preserve"> </w:t>
      </w:r>
      <w:r>
        <w:rPr>
          <w:sz w:val="20"/>
        </w:rPr>
        <w:t xml:space="preserve">adjusted for </w:t>
      </w:r>
      <w:r>
        <w:rPr>
          <w:bCs/>
          <w:sz w:val="20"/>
        </w:rPr>
        <w:t xml:space="preserve">age, race, </w:t>
      </w:r>
      <w:r>
        <w:rPr>
          <w:rFonts w:hint="eastAsia"/>
          <w:bCs/>
          <w:sz w:val="20"/>
        </w:rPr>
        <w:t>e</w:t>
      </w:r>
      <w:r>
        <w:rPr>
          <w:bCs/>
          <w:sz w:val="20"/>
        </w:rPr>
        <w:t xml:space="preserve">ducation level, family income level, </w:t>
      </w:r>
      <w:r>
        <w:rPr>
          <w:rFonts w:hint="eastAsia"/>
          <w:bCs/>
          <w:sz w:val="20"/>
        </w:rPr>
        <w:t>and l</w:t>
      </w:r>
      <w:r>
        <w:rPr>
          <w:bCs/>
          <w:sz w:val="20"/>
        </w:rPr>
        <w:t>iving status</w:t>
      </w:r>
      <w:r>
        <w:rPr>
          <w:rFonts w:hint="eastAsia"/>
          <w:bCs/>
          <w:sz w:val="20"/>
        </w:rPr>
        <w:t>.</w:t>
      </w:r>
    </w:p>
    <w:p>
      <w:pPr>
        <w:rPr>
          <w:sz w:val="20"/>
        </w:rPr>
      </w:pPr>
      <w:r>
        <w:rPr>
          <w:bCs/>
          <w:sz w:val="20"/>
          <w:vertAlign w:val="superscript"/>
        </w:rPr>
        <w:t>c</w:t>
      </w:r>
      <w:r>
        <w:rPr>
          <w:bCs/>
          <w:sz w:val="20"/>
        </w:rPr>
        <w:t>Model Ⅲ</w:t>
      </w:r>
      <w:r>
        <w:rPr>
          <w:rFonts w:hint="eastAsia"/>
          <w:bCs/>
          <w:sz w:val="20"/>
        </w:rPr>
        <w:t xml:space="preserve"> </w:t>
      </w:r>
      <w:r>
        <w:rPr>
          <w:sz w:val="20"/>
        </w:rPr>
        <w:t>was</w:t>
      </w:r>
      <w:r>
        <w:rPr>
          <w:rFonts w:hint="eastAsia"/>
          <w:sz w:val="20"/>
        </w:rPr>
        <w:t xml:space="preserve"> </w:t>
      </w:r>
      <w:r>
        <w:rPr>
          <w:sz w:val="20"/>
        </w:rPr>
        <w:t>adjusted for</w:t>
      </w:r>
      <w:r>
        <w:rPr>
          <w:bCs/>
          <w:sz w:val="20"/>
        </w:rPr>
        <w:t xml:space="preserve"> age, race, </w:t>
      </w:r>
      <w:r>
        <w:rPr>
          <w:rFonts w:hint="eastAsia"/>
          <w:bCs/>
          <w:sz w:val="20"/>
        </w:rPr>
        <w:t>e</w:t>
      </w:r>
      <w:r>
        <w:rPr>
          <w:bCs/>
          <w:sz w:val="20"/>
        </w:rPr>
        <w:t xml:space="preserve">ducation level, family income level, </w:t>
      </w:r>
      <w:r>
        <w:rPr>
          <w:rFonts w:hint="eastAsia"/>
          <w:bCs/>
          <w:sz w:val="20"/>
        </w:rPr>
        <w:t>l</w:t>
      </w:r>
      <w:r>
        <w:rPr>
          <w:bCs/>
          <w:sz w:val="20"/>
        </w:rPr>
        <w:t>iving status</w:t>
      </w:r>
      <w:r>
        <w:rPr>
          <w:rFonts w:hint="eastAsia"/>
          <w:bCs/>
          <w:sz w:val="20"/>
        </w:rPr>
        <w:t>,</w:t>
      </w:r>
      <w:r>
        <w:rPr>
          <w:bCs/>
          <w:sz w:val="20"/>
        </w:rPr>
        <w:t xml:space="preserve"> drinking status, smoking status, hypertension, and diabetes</w:t>
      </w:r>
      <w:r>
        <w:rPr>
          <w:rFonts w:hint="eastAsia"/>
          <w:bCs/>
          <w:sz w:val="20"/>
        </w:rPr>
        <w:t>.</w:t>
      </w:r>
    </w:p>
    <w:p>
      <w:pPr>
        <w:rPr>
          <w:rFonts w:hint="eastAsia" w:eastAsiaTheme="minorEastAsia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Palatino Linotype">
    <w:panose1 w:val="02040502050505030304"/>
    <w:charset w:val="00"/>
    <w:family w:val="roman"/>
    <w:pitch w:val="default"/>
    <w:sig w:usb0="E0000287" w:usb1="40000013" w:usb2="00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JmYzI0YWE0YTk5ZjQ5YTRlYzFkNzViYzE0YTQ2YTkifQ=="/>
  </w:docVars>
  <w:rsids>
    <w:rsidRoot w:val="00000000"/>
    <w:rsid w:val="051516FC"/>
    <w:rsid w:val="093F0D49"/>
    <w:rsid w:val="20DE6C42"/>
    <w:rsid w:val="3AC87304"/>
    <w:rsid w:val="3E0E070F"/>
    <w:rsid w:val="52503B00"/>
    <w:rsid w:val="76E71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2023-12-05T10:16:00Z</dcterms:created>
  <dc:creator>HUAWEI</dc:creator>
  <cp:lastModifiedBy>杨家十二</cp:lastModifiedBy>
  <dcterms:modified xsi:type="dcterms:W3CDTF">2023-12-05T11:57:50Z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D5BA756881DE4C759EAA2A3DCAA96EB4_13</vt:lpwstr>
  </property>
</Properties>
</file>