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4B21E" w14:textId="77777777" w:rsidR="00BD4B7D" w:rsidRPr="00CD6F8D" w:rsidRDefault="00BD4B7D" w:rsidP="00BD4B7D">
      <w:pPr>
        <w:rPr>
          <w:rFonts w:ascii="Times" w:hAnsi="Times" w:cs="Arial"/>
          <w:b/>
          <w:bCs/>
          <w:color w:val="000000" w:themeColor="text1"/>
          <w:sz w:val="30"/>
          <w:szCs w:val="30"/>
          <w:lang w:val="en-GB"/>
        </w:rPr>
      </w:pPr>
      <w:r w:rsidRPr="00CD6F8D">
        <w:rPr>
          <w:rFonts w:ascii="Times" w:hAnsi="Times" w:cs="Arial"/>
          <w:b/>
          <w:bCs/>
          <w:color w:val="000000" w:themeColor="text1"/>
          <w:sz w:val="30"/>
          <w:szCs w:val="30"/>
          <w:lang w:val="en-GB"/>
        </w:rPr>
        <w:t>The dilemma of chronic kidney disease and end-stage kidney disease following pre-eclampsia: a literature review and meta-analysis</w:t>
      </w:r>
    </w:p>
    <w:p w14:paraId="22322DAC" w14:textId="77777777" w:rsidR="00BD4B7D" w:rsidRPr="00CD6F8D" w:rsidRDefault="00BD4B7D" w:rsidP="00BD4B7D">
      <w:pPr>
        <w:rPr>
          <w:rFonts w:ascii="Times" w:hAnsi="Times" w:cs="Arial"/>
          <w:b/>
          <w:bCs/>
          <w:color w:val="000000" w:themeColor="text1"/>
          <w:sz w:val="30"/>
          <w:szCs w:val="30"/>
          <w:lang w:val="en-GB"/>
        </w:rPr>
      </w:pPr>
    </w:p>
    <w:p w14:paraId="7A0EF43A" w14:textId="77777777" w:rsidR="00BD4B7D" w:rsidRPr="00CD6F8D" w:rsidRDefault="00BD4B7D" w:rsidP="00BD4B7D">
      <w:pPr>
        <w:rPr>
          <w:rFonts w:ascii="Times" w:hAnsi="Times" w:cs="Arial"/>
          <w:color w:val="000000" w:themeColor="text1"/>
          <w:sz w:val="20"/>
          <w:szCs w:val="20"/>
          <w:vertAlign w:val="superscript"/>
          <w:lang w:val="it-IT"/>
        </w:rPr>
      </w:pPr>
      <w:r w:rsidRPr="00CD6F8D">
        <w:rPr>
          <w:rFonts w:ascii="Times" w:hAnsi="Times" w:cs="Arial"/>
          <w:color w:val="000000" w:themeColor="text1"/>
          <w:sz w:val="20"/>
          <w:szCs w:val="20"/>
          <w:lang w:val="it-IT"/>
        </w:rPr>
        <w:t xml:space="preserve">Gaia Bianchi </w:t>
      </w:r>
      <w:r w:rsidRPr="00CD6F8D">
        <w:rPr>
          <w:rFonts w:ascii="Times" w:hAnsi="Times" w:cs="Arial"/>
          <w:color w:val="000000" w:themeColor="text1"/>
          <w:sz w:val="20"/>
          <w:szCs w:val="20"/>
          <w:vertAlign w:val="superscript"/>
          <w:lang w:val="it-IT"/>
        </w:rPr>
        <w:t>a</w:t>
      </w:r>
      <w:r w:rsidRPr="00CD6F8D">
        <w:rPr>
          <w:rFonts w:ascii="Times" w:hAnsi="Times" w:cs="Arial"/>
          <w:color w:val="000000" w:themeColor="text1"/>
          <w:sz w:val="20"/>
          <w:szCs w:val="20"/>
          <w:lang w:val="it-IT"/>
        </w:rPr>
        <w:t xml:space="preserve">, Bruno Vogt </w:t>
      </w:r>
      <w:r w:rsidRPr="00CD6F8D">
        <w:rPr>
          <w:rFonts w:ascii="Times" w:hAnsi="Times" w:cs="Arial"/>
          <w:color w:val="000000" w:themeColor="text1"/>
          <w:sz w:val="20"/>
          <w:szCs w:val="20"/>
          <w:vertAlign w:val="superscript"/>
          <w:lang w:val="it-IT"/>
        </w:rPr>
        <w:t>b</w:t>
      </w:r>
      <w:r w:rsidRPr="00CD6F8D">
        <w:rPr>
          <w:rFonts w:ascii="Times" w:hAnsi="Times" w:cs="Arial"/>
          <w:color w:val="000000" w:themeColor="text1"/>
          <w:sz w:val="20"/>
          <w:szCs w:val="20"/>
          <w:lang w:val="it-IT"/>
        </w:rPr>
        <w:t xml:space="preserve">, Matteo Bargagli </w:t>
      </w:r>
      <w:r w:rsidRPr="00CD6F8D">
        <w:rPr>
          <w:rFonts w:ascii="Times" w:hAnsi="Times" w:cs="Arial"/>
          <w:color w:val="000000" w:themeColor="text1"/>
          <w:sz w:val="20"/>
          <w:szCs w:val="20"/>
          <w:vertAlign w:val="superscript"/>
          <w:lang w:val="it-IT"/>
        </w:rPr>
        <w:t>b</w:t>
      </w:r>
      <w:r w:rsidRPr="00CD6F8D">
        <w:rPr>
          <w:rFonts w:ascii="Times" w:hAnsi="Times" w:cs="Arial"/>
          <w:color w:val="000000" w:themeColor="text1"/>
          <w:sz w:val="20"/>
          <w:szCs w:val="20"/>
          <w:lang w:val="it-IT"/>
        </w:rPr>
        <w:t xml:space="preserve">, Claudia Ferrier </w:t>
      </w:r>
      <w:r w:rsidRPr="00CD6F8D">
        <w:rPr>
          <w:rFonts w:ascii="Times" w:hAnsi="Times" w:cs="Arial"/>
          <w:color w:val="000000" w:themeColor="text1"/>
          <w:sz w:val="20"/>
          <w:szCs w:val="20"/>
          <w:vertAlign w:val="superscript"/>
          <w:lang w:val="it-IT"/>
        </w:rPr>
        <w:t>b, c</w:t>
      </w:r>
    </w:p>
    <w:p w14:paraId="2ABC3F9F" w14:textId="77777777" w:rsidR="00BD4B7D" w:rsidRPr="00CD6F8D" w:rsidRDefault="00BD4B7D" w:rsidP="00BD4B7D">
      <w:pPr>
        <w:rPr>
          <w:rFonts w:ascii="Times" w:hAnsi="Times" w:cs="Arial"/>
          <w:color w:val="000000" w:themeColor="text1"/>
          <w:sz w:val="20"/>
          <w:szCs w:val="20"/>
          <w:lang w:val="it-IT"/>
        </w:rPr>
      </w:pPr>
    </w:p>
    <w:p w14:paraId="12E175A1" w14:textId="77777777" w:rsidR="00BD4B7D" w:rsidRPr="00CD6F8D" w:rsidRDefault="00BD4B7D" w:rsidP="00BD4B7D">
      <w:pPr>
        <w:rPr>
          <w:rFonts w:ascii="Times" w:hAnsi="Times" w:cs="Arial"/>
          <w:color w:val="000000" w:themeColor="text1"/>
          <w:sz w:val="20"/>
          <w:szCs w:val="20"/>
          <w:lang w:val="en-GB"/>
        </w:rPr>
      </w:pPr>
      <w:r w:rsidRPr="00CD6F8D">
        <w:rPr>
          <w:rFonts w:ascii="Times" w:hAnsi="Times" w:cs="Arial"/>
          <w:color w:val="000000" w:themeColor="text1"/>
          <w:sz w:val="20"/>
          <w:szCs w:val="20"/>
          <w:vertAlign w:val="superscript"/>
          <w:lang w:val="en-GB"/>
        </w:rPr>
        <w:t>a</w:t>
      </w:r>
      <w:r w:rsidRPr="00CD6F8D">
        <w:rPr>
          <w:rFonts w:ascii="Times" w:hAnsi="Times" w:cs="Arial"/>
          <w:color w:val="000000" w:themeColor="text1"/>
          <w:sz w:val="20"/>
          <w:szCs w:val="20"/>
          <w:lang w:val="en-GB"/>
        </w:rPr>
        <w:t xml:space="preserve"> Faculty of Medicine, University of Berne, Switzerland</w:t>
      </w:r>
    </w:p>
    <w:p w14:paraId="6E6A642C" w14:textId="77777777" w:rsidR="00BD4B7D" w:rsidRPr="00CD6F8D" w:rsidRDefault="00BD4B7D" w:rsidP="00BD4B7D">
      <w:pPr>
        <w:rPr>
          <w:rFonts w:ascii="Times" w:hAnsi="Times" w:cs="Arial"/>
          <w:color w:val="000000" w:themeColor="text1"/>
          <w:sz w:val="20"/>
          <w:szCs w:val="20"/>
          <w:lang w:val="en-GB"/>
        </w:rPr>
      </w:pPr>
      <w:r w:rsidRPr="00CD6F8D">
        <w:rPr>
          <w:rFonts w:ascii="Times" w:hAnsi="Times" w:cs="Arial"/>
          <w:color w:val="000000" w:themeColor="text1"/>
          <w:sz w:val="20"/>
          <w:szCs w:val="20"/>
          <w:vertAlign w:val="superscript"/>
          <w:lang w:val="en-GB"/>
        </w:rPr>
        <w:t xml:space="preserve">b </w:t>
      </w:r>
      <w:r w:rsidRPr="00CD6F8D">
        <w:rPr>
          <w:rFonts w:ascii="Times" w:hAnsi="Times" w:cs="Arial"/>
          <w:color w:val="000000" w:themeColor="text1"/>
          <w:sz w:val="20"/>
          <w:szCs w:val="20"/>
          <w:lang w:val="en-GB"/>
        </w:rPr>
        <w:t xml:space="preserve">University Clinic of Nephrology and Hypertension, </w:t>
      </w:r>
      <w:proofErr w:type="spellStart"/>
      <w:r w:rsidRPr="00CD6F8D">
        <w:rPr>
          <w:rFonts w:ascii="Times" w:hAnsi="Times" w:cs="Arial"/>
          <w:color w:val="000000" w:themeColor="text1"/>
          <w:sz w:val="20"/>
          <w:szCs w:val="20"/>
          <w:lang w:val="en-GB"/>
        </w:rPr>
        <w:t>Inselspital</w:t>
      </w:r>
      <w:proofErr w:type="spellEnd"/>
      <w:r w:rsidRPr="00CD6F8D">
        <w:rPr>
          <w:rFonts w:ascii="Times" w:hAnsi="Times" w:cs="Arial"/>
          <w:color w:val="000000" w:themeColor="text1"/>
          <w:sz w:val="20"/>
          <w:szCs w:val="20"/>
          <w:lang w:val="en-GB"/>
        </w:rPr>
        <w:t xml:space="preserve"> Berne, Switzerland</w:t>
      </w:r>
    </w:p>
    <w:p w14:paraId="0291DF27" w14:textId="77777777" w:rsidR="00BD4B7D" w:rsidRPr="00CD6F8D" w:rsidRDefault="00BD4B7D" w:rsidP="00BD4B7D">
      <w:pPr>
        <w:rPr>
          <w:rFonts w:ascii="Times" w:hAnsi="Times" w:cs="Arial"/>
          <w:color w:val="000000" w:themeColor="text1"/>
          <w:sz w:val="20"/>
          <w:szCs w:val="20"/>
        </w:rPr>
      </w:pPr>
      <w:r w:rsidRPr="00CD6F8D">
        <w:rPr>
          <w:rFonts w:ascii="Times" w:hAnsi="Times" w:cs="Arial"/>
          <w:color w:val="000000" w:themeColor="text1"/>
          <w:sz w:val="20"/>
          <w:szCs w:val="20"/>
          <w:vertAlign w:val="superscript"/>
        </w:rPr>
        <w:t xml:space="preserve">c </w:t>
      </w:r>
      <w:r w:rsidRPr="00CD6F8D">
        <w:rPr>
          <w:rFonts w:ascii="Times" w:hAnsi="Times" w:cs="Arial"/>
          <w:color w:val="000000" w:themeColor="text1"/>
          <w:sz w:val="20"/>
          <w:szCs w:val="20"/>
        </w:rPr>
        <w:t>Nefrocentro Ticino, Lugano, Switzerland</w:t>
      </w:r>
    </w:p>
    <w:p w14:paraId="14BB31FC" w14:textId="77777777" w:rsidR="00E6062B" w:rsidRPr="00CD6F8D" w:rsidRDefault="00E6062B" w:rsidP="00E6062B">
      <w:pPr>
        <w:pStyle w:val="Heading3"/>
        <w:rPr>
          <w:rFonts w:ascii="Times" w:hAnsi="Times" w:cs="Arial"/>
          <w:color w:val="000000" w:themeColor="text1"/>
          <w:lang w:val="en-US"/>
        </w:rPr>
      </w:pPr>
    </w:p>
    <w:p w14:paraId="0C70B3BE" w14:textId="0D61EDE3" w:rsidR="00E6062B" w:rsidRPr="00CD6F8D" w:rsidRDefault="00E6062B" w:rsidP="00BD4B7D">
      <w:pPr>
        <w:rPr>
          <w:rFonts w:ascii="Times" w:hAnsi="Times" w:cs="Arial"/>
          <w:color w:val="000000" w:themeColor="text1"/>
          <w:sz w:val="16"/>
          <w:szCs w:val="16"/>
          <w:lang w:val="en-GB"/>
        </w:rPr>
      </w:pPr>
      <w:r w:rsidRPr="00CD6F8D">
        <w:rPr>
          <w:rFonts w:ascii="Times" w:hAnsi="Times" w:cs="Arial"/>
          <w:b/>
          <w:bCs/>
          <w:color w:val="000000" w:themeColor="text1"/>
          <w:sz w:val="16"/>
          <w:szCs w:val="16"/>
          <w:lang w:val="en-GB"/>
        </w:rPr>
        <w:t xml:space="preserve">Correspondence: </w:t>
      </w:r>
      <w:r w:rsidRPr="00CD6F8D">
        <w:rPr>
          <w:rFonts w:ascii="Times" w:hAnsi="Times" w:cs="Arial"/>
          <w:color w:val="000000" w:themeColor="text1"/>
          <w:sz w:val="16"/>
          <w:szCs w:val="16"/>
          <w:lang w:val="en-GB"/>
        </w:rPr>
        <w:t xml:space="preserve">Gaia Bianchi, University of Berne, </w:t>
      </w:r>
      <w:hyperlink r:id="rId4" w:history="1">
        <w:r w:rsidR="00BD4B7D" w:rsidRPr="00CD6F8D">
          <w:rPr>
            <w:rStyle w:val="Hyperlink"/>
            <w:rFonts w:ascii="Times" w:hAnsi="Times" w:cs="Arial"/>
            <w:color w:val="000000" w:themeColor="text1"/>
            <w:sz w:val="16"/>
            <w:szCs w:val="16"/>
            <w:lang w:val="en-GB"/>
          </w:rPr>
          <w:t>bianchi.gaia96@gmail.com</w:t>
        </w:r>
      </w:hyperlink>
    </w:p>
    <w:p w14:paraId="672659FA" w14:textId="77777777" w:rsidR="00BD4B7D" w:rsidRPr="00CD6F8D" w:rsidRDefault="00BD4B7D" w:rsidP="00BD4B7D">
      <w:pPr>
        <w:rPr>
          <w:rFonts w:ascii="Times" w:hAnsi="Times" w:cs="Arial"/>
          <w:b/>
          <w:bCs/>
          <w:color w:val="000000" w:themeColor="text1"/>
          <w:sz w:val="16"/>
          <w:szCs w:val="16"/>
          <w:lang w:val="en-GB"/>
        </w:rPr>
      </w:pPr>
    </w:p>
    <w:p w14:paraId="48FE9DAC" w14:textId="775B87A9" w:rsidR="00F94F5F" w:rsidRPr="00CD6F8D" w:rsidRDefault="00F94F5F" w:rsidP="00F94F5F">
      <w:pPr>
        <w:pStyle w:val="Heading3"/>
        <w:rPr>
          <w:rFonts w:ascii="Times" w:hAnsi="Times" w:cs="Arial"/>
          <w:color w:val="000000" w:themeColor="text1"/>
          <w:sz w:val="20"/>
          <w:szCs w:val="20"/>
          <w:lang w:val="en-GB"/>
        </w:rPr>
      </w:pPr>
      <w:r w:rsidRPr="00CD6F8D">
        <w:rPr>
          <w:rFonts w:ascii="Times" w:hAnsi="Times" w:cs="Arial"/>
          <w:color w:val="000000" w:themeColor="text1"/>
          <w:lang w:val="en-GB"/>
        </w:rPr>
        <w:t xml:space="preserve">Supplement material </w:t>
      </w:r>
      <w:r w:rsidR="003B3870" w:rsidRPr="00CD6F8D">
        <w:rPr>
          <w:rFonts w:ascii="Times" w:hAnsi="Times" w:cs="Arial"/>
          <w:color w:val="000000" w:themeColor="text1"/>
          <w:lang w:val="en-GB"/>
        </w:rPr>
        <w:t>3</w:t>
      </w:r>
      <w:r w:rsidRPr="00CD6F8D">
        <w:rPr>
          <w:rFonts w:ascii="Times" w:hAnsi="Times" w:cs="Arial"/>
          <w:color w:val="000000" w:themeColor="text1"/>
          <w:lang w:val="en-GB"/>
        </w:rPr>
        <w:t>: Biases assessment</w:t>
      </w:r>
    </w:p>
    <w:tbl>
      <w:tblPr>
        <w:tblW w:w="0" w:type="auto"/>
        <w:tblCellMar>
          <w:left w:w="70" w:type="dxa"/>
          <w:right w:w="70" w:type="dxa"/>
        </w:tblCellMar>
        <w:tblLook w:val="04A0" w:firstRow="1" w:lastRow="0" w:firstColumn="1" w:lastColumn="0" w:noHBand="0" w:noVBand="1"/>
      </w:tblPr>
      <w:tblGrid>
        <w:gridCol w:w="1858"/>
        <w:gridCol w:w="176"/>
        <w:gridCol w:w="958"/>
        <w:gridCol w:w="1475"/>
        <w:gridCol w:w="874"/>
        <w:gridCol w:w="1196"/>
        <w:gridCol w:w="974"/>
        <w:gridCol w:w="829"/>
      </w:tblGrid>
      <w:tr w:rsidR="00CD6F8D" w:rsidRPr="00CD6F8D" w14:paraId="5629A480" w14:textId="77777777" w:rsidTr="00CA4C6A">
        <w:trPr>
          <w:trHeight w:val="320"/>
        </w:trPr>
        <w:tc>
          <w:tcPr>
            <w:tcW w:w="0" w:type="auto"/>
            <w:gridSpan w:val="2"/>
            <w:tcBorders>
              <w:top w:val="single" w:sz="4" w:space="0" w:color="000000"/>
              <w:left w:val="single" w:sz="4" w:space="0" w:color="000000"/>
              <w:bottom w:val="nil"/>
              <w:right w:val="single" w:sz="4" w:space="0" w:color="000000"/>
            </w:tcBorders>
            <w:shd w:val="clear" w:color="auto" w:fill="auto"/>
            <w:noWrap/>
            <w:vAlign w:val="bottom"/>
            <w:hideMark/>
          </w:tcPr>
          <w:p w14:paraId="6AF3BCF4" w14:textId="77777777" w:rsidR="00F94F5F" w:rsidRPr="00CD6F8D" w:rsidRDefault="00F94F5F" w:rsidP="009039FF">
            <w:pPr>
              <w:rPr>
                <w:rFonts w:ascii="Times" w:hAnsi="Times" w:cs="Arial"/>
                <w:b/>
                <w:bCs/>
                <w:color w:val="000000" w:themeColor="text1"/>
                <w:sz w:val="20"/>
                <w:szCs w:val="20"/>
              </w:rPr>
            </w:pPr>
            <w:r w:rsidRPr="00CD6F8D">
              <w:rPr>
                <w:rFonts w:ascii="Times" w:hAnsi="Times" w:cs="Arial"/>
                <w:b/>
                <w:bCs/>
                <w:color w:val="000000" w:themeColor="text1"/>
                <w:sz w:val="20"/>
                <w:szCs w:val="20"/>
              </w:rPr>
              <w:t>Author, year</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23A4C4F1"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Selection </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03242566"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Exposure </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1CBB7759"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Outcome</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5EDE5B23"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Confounding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5B3B57" w14:textId="77777777" w:rsidR="00F94F5F" w:rsidRPr="00CD6F8D" w:rsidRDefault="00F94F5F" w:rsidP="00CA4C6A">
            <w:pPr>
              <w:rPr>
                <w:rFonts w:ascii="Times" w:hAnsi="Times" w:cs="Arial"/>
                <w:color w:val="000000" w:themeColor="text1"/>
                <w:sz w:val="20"/>
                <w:szCs w:val="20"/>
              </w:rPr>
            </w:pPr>
            <w:r w:rsidRPr="00CD6F8D">
              <w:rPr>
                <w:rFonts w:ascii="Times" w:hAnsi="Times" w:cs="Arial"/>
                <w:color w:val="000000" w:themeColor="text1"/>
                <w:sz w:val="20"/>
                <w:szCs w:val="20"/>
                <w:lang w:val="en-US"/>
              </w:rPr>
              <w:t>Analytical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00221E"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lang w:val="en-US"/>
              </w:rPr>
              <w:t>Attrition</w:t>
            </w:r>
          </w:p>
        </w:tc>
      </w:tr>
      <w:tr w:rsidR="00CD6F8D" w:rsidRPr="00CD6F8D" w14:paraId="356DE035" w14:textId="77777777" w:rsidTr="009039FF">
        <w:trPr>
          <w:trHeight w:val="320"/>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1698A6E8" w14:textId="6BC449AD"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Barrett 2020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{"citationID":"a2j2u5g33rv","properties":{"formattedCitation":"[26]","plainCitation":"[26]","noteIndex":0},"citationItems":[{"id":40,"uris":["http://zotero.org/users/local/0aHQVswh/items/78DAMF9Q"],"itemData":{"id":40,"type":"article-journal","abstract":"BACKGROUND: Hypertensive disorders of pregnancy (HDP) (preeclampsia, gestational hypertension) are associated with an increased risk of end-stage kidney disease (ESKD). Evidence for associations between HDP and chronic kidney disease (CKD) is more limited and inconsistent. The underlying causes of CKD are wide-ranging, and HDP may have differential associations with various aetiologies of CKD. We aimed to measure associations between HDP and maternal CKD in women who have had at least one live birth and to identify whether the risk differs by CKD aetiology.\nMETHODS AND FINDINGS: Using data from the Swedish Medical Birth Register (MBR), singleton live births from 1973 to 2012 were identified and linked to data from the Swedish Renal Register (SRR) and National Patient Register (NPR; up to 2013). Preeclampsia was the main exposure of interest and was treated as a time-dependent variable. Gestational hypertension was also investigated as a secondary exposure. The primary outcome was maternal CKD, and this was classified into 5 subtypes: hypertensive, diabetic, glomerular/proteinuric, tubulointerstitial, and other/nonspecific CKD. Cox proportional hazard regression models were used, adjusting for maternal age, country of origin, education level, antenatal BMI, smoking during pregnancy, gestational diabetes, and parity. Women with pre-pregnancy comorbidities were excluded. The final sample consisted of 1,924,409 women who had 3,726,554 singleton live births. The mean (±SD) age of women at first delivery was 27.0 (±5.1) years. Median follow-up was 20.7 (interquartile range [IQR] 9.9-30.0) years. A total of 90,917 women (4.7%) were diagnosed with preeclampsia, 43,964 (2.3%) had gestational hypertension, and 18,477 (0.9%) developed CKD. Preeclampsia was associated with a higher risk of developing CKD during follow-up (adjusted hazard ratio [aHR] 1.92, 95% CI 1.83-2.03, p &lt; 0.001). This risk differed by CKD subtype and was higher for hypertensive CKD (aHR 3.72, 95% CI 3.05-4.53, p &lt; 0.001), diabetic CKD (aHR 3.94, 95% CI 3.38-4.60, p &lt; 0.001), and glomerular/proteinuric CKD (aHR 2.06, 95% CI 1.88-2.26, p &lt; 0.001). More modest associations were observed between preeclampsia and tubulointerstitial CKD (aHR 1.44, 95% CI 1.24-1.68, p &lt; 0.001) or other/nonspecific CKD (aHR 1.51, 95% CI 1.38-1.65, p &lt; 0.001). The risk of CKD was increased after preterm preeclampsia, recurrent preeclampsia, or preeclampsia complicated by pre-pregnancy obesity. Women who had gestational hypertension also had increased risk of developing CKD (aHR 1.49, 95% CI 1.38-1.61, p &lt; 0.001). This association was strongest for hypertensive CKD (aHR 3.13, 95% CI 2.47-3.97, p &lt; 0.001). Limitations of the study are the possibility that cases of CKD were underdiagnosed in the national registers, and some women may have been too young to have developed symptomatic CKD despite the long follow-up time. Underreporting of postpartum hypertension is also possible.\nCONCLUSIONS: In this study, we found that HDP are associated with increased risk of maternal CKD, particularly hypertensive or diabetic forms of CKD. The risk is higher after preterm preeclampsia, recurrent preeclampsia, or preeclampsia complicated by pre-pregnancy obesity. Women who experience HDP may benefit from future systematic renal monitoring.","container-title":"PLoS medicine","DOI":"10.1371/journal.pmed.1003255","ISSN":"1549-1676","issue":"8","journalAbbreviation":"PLoS Med","language":"eng","note":"PMID: 32797043\nPMCID: PMC7428061","page":"e1003255","source":"PubMed","title":"Hypertensive disorders of pregnancy and the risk of chronic kidney disease: A Swedish registry-based cohort study","title-short":"Hypertensive disorders of pregnancy and the risk of chronic kidney disease","volume":"17","author":[{"family":"Barrett","given":"Peter M."},{"family":"McCarthy","given":"Fergus P."},{"family":"Evans","given":"Marie"},{"family":"Kublickas","given":"Marius"},{"family":"Perry","given":"Ivan J."},{"family":"Stenvinkel","given":"Peter"},{"family":"Khashan","given":"Ali S."},{"family":"Kublickiene","given":"Karolina"}],"issued":{"date-parts":[["2020",8]]}}}],"schema":"https://github.com/citation-style-language/schema/raw/master/csl-citation.json"}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w:t>
            </w:r>
            <w:r w:rsidR="008731AA" w:rsidRPr="00CD6F8D">
              <w:rPr>
                <w:rFonts w:ascii="Times" w:hAnsi="Times" w:cs="Arial"/>
                <w:color w:val="000000" w:themeColor="text1"/>
                <w:sz w:val="20"/>
                <w:lang w:val="it-IT"/>
              </w:rPr>
              <w:t>17</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7947D50A"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C4DAC4"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096E0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CF517E"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764322"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FA7300"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14:paraId="4C1AA662"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6DA4A0D6" w14:textId="77777777" w:rsidTr="009039FF">
        <w:trPr>
          <w:trHeight w:val="3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3F2C97" w14:textId="644B63F6"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Behboudi, 2020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{"citationID":"a2f8qo5dgee","properties":{"formattedCitation":"[19]","plainCitation":"[19]","noteIndex":0},"citationItems":[{"id":43,"uris":["http://zotero.org/users/local/0aHQVswh/items/THZE2Q23"],"itemData":{"id":43,"type":"article-journal","abstract":"BACKGROUND: Although preeclampsia (PE), as an endothelial disorder can lead to renal dysfunction during pregnancy, results of studies focusing on the potential long-term potential effects of PE on renal function are insufficient and those available are controversial. This study investigated the incidence rate and risk of chronic kidney disease (CKD) among women with prior history of PE compared with healthy controls in a long-term population-based study.\nMETHODS: This was a prospective population-based cohort study. Subjects were 1,851 eligible women, aged 20-50 years, with at least 1 pregnancy (177 women with prior-PE and 1,674 non-PE controls) selected from among the Tehran-Lipid and Glucose-Study-participants. A pooled-logistic-regression-model and Cox's-proportional-hazards-models were utilized to estimate the risk of CKD in women of both PE and without PE groups, after further adjustment for confounders.\nRESULTS: Median and interquartile ranges for follow-up durations of the PE and non-PE groups were 7.78 (5.19-10.40) and 7.32 (4.73-11.00) years, respectively. Total cumulative incidence rates of CKD at the median follow-up time of each group were 35/100,000 (95% CI 25/100,000-50/100,000) and 36/100,000 (95% CI 32/100,000-39/100,000) in PE and non-PE women, respectively (p value = 0.90). Based on pooled-logistic-regression-analysis, OR of CKD progression (adjusted for age, body mass index [BMI], systolic blood pressure [SBP], and diastolic blood pressure [DBP]) for the PE group did not differ, compared to their non-PE counterparts (OR 1.04; p value = 0.80; 95% CI 0.77-1.40). Compared to non-PE women, women with prior PE did not have higher hazard ratios (HRs) of developing CKD in the unadjusted model (unadjusted HR 1.1, 95% CI 0.83-1.69, p = 0.35), results which remained unchanged after adjustment for age, BMI, baseline SBP, and DBP.\nCONCLUSION: PE was not found to be a risk factor for CKD. More studies using a prospective cohort design with long-term follow-ups are needed to investigate the relationship between preeclamsia and CKD.","container-title":"Cardiorenal Medicine","DOI":"10.1159/000506469","ISSN":"1664-5502","issue":"3","journalAbbreviation":"Cardiorenal Med","language":"eng","note":"PMID: 32299082","page":"188-197","source":"PubMed","title":"Preeclampsia and the Ten-Year Risk of Incident Chronic Kidney Disease","volume":"10","author":[{"family":"Behboudi-Gandevani","given":"Samira"},{"family":"Amiri","given":"Mina"},{"family":"Rahmati","given":"Maryam"},{"family":"Amanollahi Soudmand","given":"Saber"},{"family":"Azizi","given":"Fereidoun"},{"family":"Ramezani Tehrani","given":"Fahimeh"}],"issued":{"date-parts":[["2020"]]}}}],"schema":"https://github.com/citation-style-language/schema/raw/master/csl-citation.json"}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[9]</w:t>
            </w:r>
            <w:r w:rsidRPr="00CD6F8D">
              <w:rPr>
                <w:rFonts w:ascii="Times" w:hAnsi="Times" w:cs="Arial"/>
                <w:color w:val="000000" w:themeColor="text1"/>
                <w:sz w:val="20"/>
                <w:szCs w:val="20"/>
              </w:rPr>
              <w:fldChar w:fldCharType="end"/>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9E86CE"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A66089"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 to 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D21720"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CDF8AC"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C9B45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18C0AE"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r>
      <w:tr w:rsidR="00CD6F8D" w:rsidRPr="00CD6F8D" w14:paraId="091200B6" w14:textId="77777777" w:rsidTr="009039FF">
        <w:trPr>
          <w:trHeight w:val="3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BB1279" w14:textId="021DCD26"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Kristensen, 2019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{"citationID":"a2j1d6nu4q2","properties":{"formattedCitation":"[27]","plainCitation":"[27]","noteIndex":0},"citationItems":[{"id":45,"uris":["http://zotero.org/users/local/0aHQVswh/items/FKH6X4I9"],"itemData":{"id":45,"type":"article-journal","abstract":"OBJECTIVE: To investigate associations between pre-eclampsia and later risk of kidney disease.\nDESIGN: Nationwide register based cohort study.\nSETTING: Denmark.\nPOPULATION: All women with at least one pregnancy lasting at least 20 weeks between 1978 and 2015.\nMAIN OUTCOME MEASURE: Hazard ratios comparing rates of kidney disease between women with and without a history of pre-eclampsia, stratified by gestational age at delivery and estimated using Cox regression.\nRESULTS: The cohort consisted of 1</w:instrText>
            </w:r>
            <w:r w:rsidRPr="00CD6F8D">
              <w:rPr>
                <w:color w:val="000000" w:themeColor="text1"/>
                <w:sz w:val="20"/>
                <w:szCs w:val="20"/>
              </w:rPr>
              <w:instrText> </w:instrText>
            </w:r>
            <w:r w:rsidRPr="00CD6F8D">
              <w:rPr>
                <w:rFonts w:ascii="Times" w:hAnsi="Times" w:cs="Arial"/>
                <w:color w:val="000000" w:themeColor="text1"/>
                <w:sz w:val="20"/>
                <w:szCs w:val="20"/>
              </w:rPr>
              <w:instrText>072</w:instrText>
            </w:r>
            <w:r w:rsidRPr="00CD6F8D">
              <w:rPr>
                <w:color w:val="000000" w:themeColor="text1"/>
                <w:sz w:val="20"/>
                <w:szCs w:val="20"/>
              </w:rPr>
              <w:instrText> </w:instrText>
            </w:r>
            <w:r w:rsidRPr="00CD6F8D">
              <w:rPr>
                <w:rFonts w:ascii="Times" w:hAnsi="Times" w:cs="Arial"/>
                <w:color w:val="000000" w:themeColor="text1"/>
                <w:sz w:val="20"/>
                <w:szCs w:val="20"/>
              </w:rPr>
              <w:instrText>330 women followed for 19</w:instrText>
            </w:r>
            <w:r w:rsidRPr="00CD6F8D">
              <w:rPr>
                <w:color w:val="000000" w:themeColor="text1"/>
                <w:sz w:val="20"/>
                <w:szCs w:val="20"/>
              </w:rPr>
              <w:instrText> </w:instrText>
            </w:r>
            <w:r w:rsidRPr="00CD6F8D">
              <w:rPr>
                <w:rFonts w:ascii="Times" w:hAnsi="Times" w:cs="Arial"/>
                <w:color w:val="000000" w:themeColor="text1"/>
                <w:sz w:val="20"/>
                <w:szCs w:val="20"/>
              </w:rPr>
              <w:instrText>994</w:instrText>
            </w:r>
            <w:r w:rsidRPr="00CD6F8D">
              <w:rPr>
                <w:color w:val="000000" w:themeColor="text1"/>
                <w:sz w:val="20"/>
                <w:szCs w:val="20"/>
              </w:rPr>
              <w:instrText> </w:instrText>
            </w:r>
            <w:r w:rsidRPr="00CD6F8D">
              <w:rPr>
                <w:rFonts w:ascii="Times" w:hAnsi="Times" w:cs="Arial"/>
                <w:color w:val="000000" w:themeColor="text1"/>
                <w:sz w:val="20"/>
                <w:szCs w:val="20"/>
              </w:rPr>
              <w:instrText xml:space="preserve">470 person years (average 18.6 years/woman). Compared with women with no previous pre-eclampsia, those with a history of pre-eclampsia were more likely to develop chronic renal conditions: hazard ratio 3.93 (95% confidence interval 2.90 to 5.33, for early preterm pre-eclampsia (delivery &lt;34 weeks); 2.81 (2.13 to 3.71) for late preterm pre-eclampsia (delivery 34-36 weeks); 2.27 (2.02 to 2.55) for term pre-eclampsia (delivery ≥37 weeks). In particular, strong associations were observed for chronic kidney disease, hypertensive kidney disease, and glomerular/proteinuric disease. Adjustment for cardiovascular disease and hypertension only partially attenuated the observed associations. Stratifying the analyses on time since pregnancy showed that associations between pre-eclampsia and chronic kidney disease and glomerular/proteinuric disease were much stronger within five years of the latest pregnancy (hazard ratio 6.11 (3.84 to 9.72) and 4.77 (3.88 to 5.86), respectively) than five years or longer after the latest pregnancy (2.06 (1.69 to 2.50) and 1.50 (1.19 to 1.88). By contrast, associations between pre-eclampsia and acute renal conditions were modest.\nCONCLUSION: s Pre-eclampsia, particularly early preterm pre-eclampsia, was strongly associated with several chronic renal disorders later in life. More research is needed to determine which women are most likely to develop kidney disease after pre-eclampsia, what mechanisms underlie the association, and what clinical follow-up and interventions (and in what timeframe post-pregnancy) would be most appropriate and effective.","container-title":"BMJ (Clinical research ed.)","DOI":"10.1136/bmj.l1516","ISSN":"1756-1833","journalAbbreviation":"BMJ","language":"eng","note":"PMID: 31036557\nPMCID: PMC6487675","page":"l1516","source":"PubMed","title":"Pre-eclampsia and risk of later kidney disease: nationwide cohort study","title-short":"Pre-eclampsia and risk of later kidney disease","volume":"365","author":[{"family":"Kristensen","given":"Jonas H."},{"family":"Basit","given":"Saima"},{"family":"Wohlfahrt","given":"Jan"},{"family":"Damholt","given":"Mette Brimnes"},{"family":"Boyd","given":"Heather A."}],"issued":{"date-parts":[["2019",4,29]]}}}],"schema":"https://github.com/citation-style-language/schema/raw/master/csl-citation.json"}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w:t>
            </w:r>
            <w:r w:rsidR="008731AA" w:rsidRPr="00CD6F8D">
              <w:rPr>
                <w:rFonts w:ascii="Times" w:hAnsi="Times" w:cs="Arial"/>
                <w:color w:val="000000" w:themeColor="text1"/>
                <w:sz w:val="20"/>
                <w:lang w:val="it-IT"/>
              </w:rPr>
              <w:t>18</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C098FB"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B993AC"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631A0D"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EB6C7F"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ADFCB6"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C48AE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30E385CD" w14:textId="77777777" w:rsidTr="009039FF">
        <w:trPr>
          <w:trHeight w:val="3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B20775" w14:textId="4D86D9D4"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Ayansina, 2016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{"citationID":"amu96da9v7","properties":{"formattedCitation":"[25]","plainCitation":"[25]","noteIndex":0},"citationItems":[{"id":48,"uris":["http://zotero.org/users/local/0aHQVswh/items/R8LTZGUS"],"itemData":{"id":48,"type":"article-journal","abstract":"OBJECTIVE: To assess the long term effects of hypertensive disorders of pregnancy on renal function.\nDESIGN: Cohort study where exposure was gestational hypertension or preeclampsia in the first pregnancy. Normotensive women formed the comparison group.\nSETTING: Aberdeen, Scotland.\nPARTICIPANTS: All women with date of birth on or before 30th June 1969 and at least their first singleton delivery recorded in the Aberdeen Maternity and Neonatal Databank.\nMETHODS: Participants were linked to the Renal Biochemistry Register, Scottish Morbidity Records, Scottish Renal Registry and National Register for deaths.\nMAIN OUTCOME MEASURES: Occurrence of chronic kidney disease (CKD) as identified from renal function tests in later life, hospital admissions or death from kidney disease or recorded as receiving renal replacement therapy.\nRESULTS: CKD was diagnosed in 7.5% and 5.2% of women who previously had GH and PE respectively compared to 3.9% in normotensive women. The unadjusted odds ratio (95% confidence interval) of having CKD in PE was 2.04 (1.53, 2.71) and that for GH was 1.37 (1.15, 1.65), while the adjusted odds ratio (95% confidence interval) of CKD was 1.93 (1.44, 2.57) and 1.36 (1.13, 1.63) in women with PE and GH respectively. Kaplan-Meier curves of survival time to development of chronic kidney disease revealed that women with preeclampsia were susceptible to kidney function impairment earliest, followed by those with gestational hypertension.\nCONCLUSIONS: There was an increased subsequent risk of CKD associated with hypertensive disorders of pregnancy. Women with GH and PE were also found to have CKD earlier than normotensive women.","container-title":"Pregnancy Hypertension","DOI":"10.1016/j.preghy.2016.08.231","ISSN":"2210-7797","issue":"4","journalAbbreviation":"Pregnancy Hypertens","language":"eng","note":"PMID: 27939480\nPMCID: PMC5161246","page":"344-349","source":"PubMed","title":"Long term effects of gestational hypertension and pre-eclampsia on kidney function: Record linkage study","title-short":"Long term effects of gestational hypertension and pre-eclampsia on kidney function","volume":"6","author":[{"family":"Ayansina","given":"D."},{"family":"Black","given":"C."},{"family":"Hall","given":"S. J."},{"family":"Marks","given":"A."},{"family":"Millar","given":"C."},{"family":"Prescott","given":"G. J."},{"family":"Wilde","given":"K."},{"family":"Bhattacharya","given":"S."}],"issued":{"date-parts":[["2016",10]]}}}],"schema":"https://github.com/citation-style-language/schema/raw/master/csl-citation.json"}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w:t>
            </w:r>
            <w:r w:rsidR="008731AA" w:rsidRPr="00CD6F8D">
              <w:rPr>
                <w:rFonts w:ascii="Times" w:hAnsi="Times" w:cs="Arial"/>
                <w:color w:val="000000" w:themeColor="text1"/>
                <w:sz w:val="20"/>
                <w:lang w:val="it-IT"/>
              </w:rPr>
              <w:t>16</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D4D5F7"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2142FD"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13D114"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48DF0F"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A2006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F6C4A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0A0A7860" w14:textId="77777777" w:rsidTr="009039FF">
        <w:trPr>
          <w:trHeight w:val="3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90CD5C" w14:textId="721B0C59"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Srialluri, 2023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{"citationID":"a266608vcd2","properties":{"formattedCitation":"[30]","plainCitation":"[30]","noteIndex":0},"citationItems":[{"id":51,"uris":["http://zotero.org/users/local/0aHQVswh/items/3XF9JW5V"],"itemData":{"id":51,"type":"article-journal","abstract":"RATIONALE &amp; OBJECTIVE: Preeclampsia is a pregnancy-related complication characterized by acute hypertension and end-organ dysfunction. We evaluated the long-term association between preeclampsia and the risk of developing chronic hypertension and kidney disease.\nSTUDY DESIGN: Observational cohort study.\nSETTING &amp; PARTICIPANTS: 27,800 adults with deliveries in the Geisinger Health System between 1996 and 2019.\nEXPOSURE: Preeclampsia.\nOUTCOME: Hypertension, reduced estimated glomerular filtration rate (eGFR)&lt;60mL/min/1.73m2), and albuminuria&gt;300mg/g.\nANALYTICAL APPROACH: Propensity-score matching and Cox proportional hazards models to evaluate the association between preeclampsia and incident hypertension, reduced eGFR, and albuminuria.\nRESULTS: Of 27,800 adults with pregnancies during the study period (mean age, 28 years; 3% Black race), 2,977 (10.7%) had at least 1 pregnancy complicated by preeclampsia. After matching for multiple characteristics, individuals with preeclampsia had a higher risk of developing chronic hypertension (HR, 1.77 [95% CI, 1.45-2.16]), eGFR&lt;60mL/min/1.73m2 (HR, 3.23 [95% CI, 1.64-6.36]), albuminuria (HR, 3.60 [95% CI, 2.38-5.44]), and a subsequent episode of preeclampsia (HR, 24.76 [95% CI, 12.47-48.36]), compared with matched controls without preeclampsia. Overall, postpartum follow-up testing was low. In the first 6 months after delivery, 31% versus 14% of individuals with and without preeclampsia had serum creatinine tests, respectively, and testing for urine protein was the same in both groups, with only 26% having follow-up testing.\nLIMITATIONS: Primarily White study population, observational study, reliance on ICD codes for medical diagnosis.\nCONCLUSIONS: Individuals with a pregnancy complicated by preeclampsia had a higher risk of hypertension, reduced eGFR, and albuminuria compared with individuals without preeclampsia.\nPLAIN-LANGUAGE SUMMARY: Preeclampsia is a significant contributor to perinatal and maternal morbidity and is marked by new-onset hypertension and end-organ damage, including acute kidney injury or proteinuria. To gain insight into the long-term kidney effects of the disease, we compared adults with deliveries complicated by preeclampsia with those without preeclampsia in the Geisinger Health System, while also assessing postpartum testing rates. Our results demonstrate that pregnant individuals with preeclampsia are at a heightened risk for future hypertension, reduced eGFR, and albuminuria, with overall low rates of postpartum testing among both individuals with and without preeclampsia. These findings underscore the need to consider preeclampsia as an important risk factor for the development of chronic kidney disease. Further studies are required to determine optimal postpreeclampsia monitoring strategies.","container-title":"American Journal of Kidney Diseases: The Official Journal of the National Kidney Foundation","DOI":"10.1053/j.ajkd.2023.04.010","ISSN":"1523-6838","journalAbbreviation":"Am J Kidney Dis","language":"eng","note":"PMID: 37516302","page":"S0272-6386(23)00732-1","source":"PubMed","title":"Preeclampsia and Long-term Kidney Outcomes: An Observational Cohort Study","title-short":"Preeclampsia and Long-term Kidney Outcomes","author":[{"family":"Srialluri","given":"Nityasree"},{"family":"Surapaneni","given":"Aditya"},{"family":"Chang","given":"Alexander"},{"family":"Mackeen","given":"A. Dhanya"},{"family":"Paglia","given":"Michael J."},{"family":"Grams","given":"Morgan E."}],"issued":{"date-parts":[["2023",7,27]]}}}],"schema":"https://github.com/citation-style-language/schema/raw/master/csl-citation.json"}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w:t>
            </w:r>
            <w:r w:rsidR="008731AA" w:rsidRPr="00CD6F8D">
              <w:rPr>
                <w:rFonts w:ascii="Times" w:hAnsi="Times" w:cs="Arial"/>
                <w:color w:val="000000" w:themeColor="text1"/>
                <w:sz w:val="20"/>
                <w:lang w:val="it-IT"/>
              </w:rPr>
              <w:t>21</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230BA1"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81E4B9"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3060C1"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FC93E4"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C2927B"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7A4DE0"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01D19B34" w14:textId="77777777" w:rsidTr="009039FF">
        <w:trPr>
          <w:trHeight w:val="320"/>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4EB8A0DD" w14:textId="1B395414"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Wang, 2013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{"citationID":"a26t7dn7plb","properties":{"formattedCitation":"[24]","plainCitation":"[24]","noteIndex":0},"citationItems":[{"id":53,"uris":["http://zotero.org/users/local/0aHQVswh/items/98RWE3VG"],"itemData":{"id":53,"type":"article-journal","abstract":"BACKGROUND: Studies into the association between hypertensive disorders during pregnancy and end-stage renal disease are limited. We investigated the risk of end-stage renal disease after delivery among women with hypertensive disorders during pregnancy.\nMETHODS: We used insurance claims data from 1998 to 2009 to identify 26,651 women aged 19-40 years old who experienced hypertensive disorders during pregnancy; these women had no history of hypertension, diabetes, kidney disease or lupus. We also randomly selected 213,397 women without hypertensive disorders during pregnancy as a comparison cohort; the frequency was matched by age and index year of pregnancy. We compared the incidence of end-stage renal disease in the 2 cohorts. We calculated hazard ratios (HRs) and 95% confidence intervals (CIs) after controlling for demographic and clinical factors.\nRESULTS: Women with hypertensive disorders during pregnancy had a greater risk of chronic kidney disease and end-stage renal disease, with adjusted HRs of 9.38 (95% CI 7.09-12.4) and 12.4 (95% CI 8.54-18.0), respectively, after controlling for urban status, coronary artery disease, congestive heart failure, hyperlipidemia and abruption. The HR for end-stage renal disease was 2.72 (95% CI 1.76-4.22) after we also controlled for hypertension and diabetes. Women with preeclampsia or eclampsia had a higher risk of end-stage renal disease (adjusted HR 14.0, 95% CI 9.43-20.7) than women who had gestational hypertension only (adjusted HR 9.03, 95% CI 5.20-15.7).\nINTERPRETATION: Women with hypertensive disorders during pregnancy were at a high risk of end-stage renal disease. The risk was much greater for women who had preeclampsia or eclampsia than those who had gestational hypertension only.","container-title":"CMAJ: Canadian Medical Association journal = journal de l'Association medicale canadienne","DOI":"10.1503/cmaj.120230","ISSN":"1488-2329","issue":"3","journalAbbreviation":"CMAJ","language":"eng","note":"PMID: 23339156\nPMCID: PMC3576438","page":"207-213","source":"PubMed","title":"Association between hypertensive disorders during pregnancy and end-stage renal disease: a population-based study","title-short":"Association between hypertensive disorders during pregnancy and end-stage renal disease","volume":"185","author":[{"family":"Wang","given":"I.-Kuan"},{"family":"Muo","given":"Chih-Hsin"},{"family":"Chang","given":"Yi-Chih"},{"family":"Liang","given":"Chih-Chia"},{"family":"Chang","given":"Chiz-Tzung"},{"family":"Lin","given":"Shih-Yi"},{"family":"Yen","given":"Tzung-Hai"},{"family":"Chuang","given":"Feng-Rong"},{"family":"Chen","given":"Pei-Chun"},{"family":"Huang","given":"Chiu-Ching"},{"family":"Wen","given":"Chi-Pang"},{"family":"Sung","given":"Fung-Chang"},{"family":"Morisky","given":"Donald E."}],"issued":{"date-parts":[["2013",2,19]]}}}],"schema":"https://github.com/citation-style-language/schema/raw/master/csl-citation.json"}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w:t>
            </w:r>
            <w:r w:rsidR="008731AA" w:rsidRPr="00CD6F8D">
              <w:rPr>
                <w:rFonts w:ascii="Times" w:hAnsi="Times" w:cs="Arial"/>
                <w:color w:val="000000" w:themeColor="text1"/>
                <w:sz w:val="20"/>
                <w:lang w:val="it-IT"/>
              </w:rPr>
              <w:t>15</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1C001BA6"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316F38"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848EDC"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696DC1"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A46B2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B01362"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E46A60"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49CBF21B" w14:textId="77777777" w:rsidTr="009039FF">
        <w:trPr>
          <w:trHeight w:val="320"/>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613BC173" w14:textId="4A700261"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Vikse, 2008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{"citationID":"akts9v6drk","properties":{"formattedCitation":"[23]","plainCitation":"[23]","noteIndex":0},"citationItems":[{"id":56,"uris":["http://zotero.org/users/local/0aHQVswh/items/VHS9YMLC"],"itemData":{"id":56,"type":"article-journal","abstract":"BACKGROUND: It is unknown whether preeclampsia is a risk marker for subsequent end-stage renal disease (ESRD).\nMETHODS: We linked data from the Medical Birth Registry of Norway, which contains data on all births in Norway since 1967, with data from the Norwegian Renal Registry, which contains data on all patients receiving a diagnosis of end-stage renal disease (ESRD) since 1980, to assess the association between preeclampsia in one or more pregnancies and the subsequent development of ESRD. The study population consisted of women who had had a first singleton birth between 1967 and 1991; we included data from up to three pregnancies.\nRESULTS: ESRD developed in 477 of 570,433 women a mean (+/-SD) of 17+/-9 years after the first pregnancy (overall rate, 3.7 per 100,000 women per year). Among women who had been pregnant one or more times, preeclampsia during the first pregnancy was associated with a relative risk of ESRD of 4.7 (95% confidence interval [CI], 3.6 to 6.1). Among women who had been pregnant two or more times, preeclampsia during the first pregnancy was associated with a relative risk of ESRD of 3.2 (95% CI, 2.2 to 4.9), preeclampsia during the second pregnancy with a relative risk of 6.7 (95% CI, 4.3 to 10.6), and preeclampsia during both pregnancies with a relative risk of 6.4 (95% CI, 3.0 to 13.5). Among women who had been pregnant three or more times, preeclampsia during one pregnancy was associated with a relative risk of ESRD of 6.3 (95% CI, 4.1 to 9.9), and preeclampsia during two or three pregnancies was associated with a relative risk of 15.5 (95% CI, 7.8 to 30.8). Having a low-birth-weight or preterm infant increased the relative risk of ESRD. The results were similar after adjustment for possible confounders and after exclusion of women who had kidney disease, rheumatic disease, essential hypertension, or diabetes mellitus before pregnancy.\nCONCLUSIONS: Although the absolute risk of ESRD in women who have had preeclampsia is low, preeclampsia is a marker for an increased risk of subsequent ESRD.","container-title":"The New England Journal of Medicine","DOI":"10.1056/NEJMoa0706790","ISSN":"1533-4406","issue":"8","journalAbbreviation":"N Engl J Med","language":"eng","note":"PMID: 18716297","page":"800-809","source":"PubMed","title":"Preeclampsia and the risk of end-stage renal disease","volume":"359","author":[{"family":"Vikse","given":"Bjørn Egil"},{"family":"Irgens","given":"Lorentz M."},{"family":"Leivestad","given":"Torbjørn"},{"family":"Skjaerven","given":"Rolv"},{"family":"Iversen","given":"Bjarne M."}],"issued":{"date-parts":[["2008",8,21]]}}}],"schema":"https://github.com/citation-style-language/schema/raw/master/csl-citation.json"}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w:t>
            </w:r>
            <w:r w:rsidR="008731AA" w:rsidRPr="00CD6F8D">
              <w:rPr>
                <w:rFonts w:ascii="Times" w:hAnsi="Times" w:cs="Arial"/>
                <w:color w:val="000000" w:themeColor="text1"/>
                <w:sz w:val="20"/>
                <w:lang w:val="it-IT"/>
              </w:rPr>
              <w:t>14</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4C795563"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CD8410"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50567F"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130334"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6EBD27"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5B6426"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1DDD9F"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7DF1878B" w14:textId="77777777" w:rsidTr="009039FF">
        <w:trPr>
          <w:trHeight w:val="3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13CB61" w14:textId="472BB46C"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Khashan, 2019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{"citationID":"arl02l4ada","properties":{"formattedCitation":"[28]","plainCitation":"[28]","noteIndex":0},"citationItems":[{"id":59,"uris":["http://zotero.org/users/local/0aHQVswh/items/35WRY8JJ"],"itemData":{"id":59,"type":"article-journal","abstract":"BACKGROUND: Preeclampsia has been suggested to increase the risk of end-stage kidney disease (ESKD); however, most studies were unable to adjust for potential confounders including pre-existing comorbidities such as renal disease and cardiovascular disease (CVD). We aimed to examine the association between preeclampsia and the risk of ESKD in healthy women, while taking into account pre-existing comorbidity and potential confounders.\nMETHODS AND FINDINGS: Using data from the Swedish Medical Birth Register (MBR), women who had singleton live births in Sweden between 1982 and 2012, including those who had preeclampsia, were identified. Women with a diagnosis of chronic kidney disease (CKD), CVD, hypertension, or diabetes prior to the first pregnancy were excluded. The outcome was a diagnosis of ESKD, identified from the Swedish Renal Registry (SRR) from January 1, 1991, onwards along with the specified cause of renal disease. We conducted Cox proportional hazards regression analysis to examine the association between preeclampsia and ESKD adjusting for several potential confounders: maternal age, body mass index (BMI), education, native country, and smoking. This analysis accounts for differential follow-up among women because women had different lengths of follow-up time. We performed subgroup analyses according to preterm preeclampsia, small for gestational age (SGA), and women who had 2 pregnancies with preeclampsia in both. The cohort consisted of 1,366,441 healthy women who had 2,665,320 singleton live births in Sweden between 1982 and 2012. At the first pregnancy, women's mean (SD) age and BMI were 27.8 (5.13) and 23.4 (4.03), respectively, 15.2% were smokers, and 80.7% were native Swedish. The overall median (interquartile range [IQR]) follow-up was 7.4 years (3.2-17.4) and 16.4 years (10.3-22.0) among women with ESKD diagnosis. During the study period, 67,273 (4.9%) women having 74,648 (2.8% of all pregnancies) singleton live births had preeclampsia, and 410 women developed ESKD with an incidence rate of 1.85 per 100,000 person-years. There was an association between preeclampsia and ESKD in the unadjusted analysis (hazard ratio [HR] = 4.99, 95% confidence interval [CI] 3.93-6.33; p &lt; 0.001), which remained in the extensively adjusted (HR = 4.96, 95% CI 3.89-6.32, p &lt; 0.001) models. Women who had preterm preeclampsia (adjusted HR = 9.19; 95% CI 5.16-15.61, p &lt; 0.001) and women who had preeclampsia in 2 pregnancies (adjusted HR = 7.13, 95% CI 3.12-16.31, p &lt; 0.001) had the highest risk of ESKD compared with women with no preeclampsia. Considering this was an observational cohort study, and although we accounted for several potential confounders, residual confounding cannot be ruled out.\nCONCLUSIONS: The present findings suggest that women with preeclampsia and no major comorbidities before their first pregnancy are at a 5-fold increased risk of ESKD compared with parous women with no preeclampsia; however, the absolute risk of ESKD among women with preeclampsia remains small. Preeclampsia should be considered as an important risk factor for subsequent ESKD. Whether screening and/or preventive strategies will reduce the risk of ESKD in women with adverse pregnancy outcomes is worthy of further investigation.","container-title":"PLoS medicine","DOI":"10.1371/journal.pmed.1002875","ISSN":"1549-1676","issue":"7","journalAbbreviation":"PLoS Med","language":"eng","note":"PMID: 31361741\nPMCID: PMC6667103","page":"e1002875","source":"PubMed","title":"Preeclampsia and risk of end stage kidney disease: A Swedish nationwide cohort study","title-short":"Preeclampsia and risk of end stage kidney disease","volume":"16","author":[{"family":"Khashan","given":"Ali S."},{"family":"Evans","given":"Marie"},{"family":"Kublickas","given":"Marius"},{"family":"McCarthy","given":"Fergus P."},{"family":"Kenny","given":"Louise C."},{"family":"Stenvinkel","given":"Peter"},{"family":"Fitzgerald","given":"Tony"},{"family":"Kublickiene","given":"Karolina"}],"issued":{"date-parts":[["2019",7]]}}}],"schema":"https://github.com/citation-style-language/schema/raw/master/csl-citation.json"}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w:t>
            </w:r>
            <w:r w:rsidR="008731AA" w:rsidRPr="00CD6F8D">
              <w:rPr>
                <w:rFonts w:ascii="Times" w:hAnsi="Times" w:cs="Arial"/>
                <w:color w:val="000000" w:themeColor="text1"/>
                <w:sz w:val="20"/>
                <w:lang w:val="it-IT"/>
              </w:rPr>
              <w:t>19</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6E0C5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DC9071"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9E1E49"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FCC231"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B2AC64"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8C42F4"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0C59F586" w14:textId="77777777" w:rsidTr="009039FF">
        <w:trPr>
          <w:trHeight w:val="320"/>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35E9D7E8" w14:textId="4300BEBE"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 xml:space="preserve">Wu, 2014 </w:t>
            </w:r>
            <w:r w:rsidRPr="00CD6F8D">
              <w:rPr>
                <w:rFonts w:ascii="Times" w:hAnsi="Times" w:cs="Arial"/>
                <w:color w:val="000000" w:themeColor="text1"/>
                <w:sz w:val="20"/>
                <w:szCs w:val="20"/>
              </w:rPr>
              <w:fldChar w:fldCharType="begin"/>
            </w:r>
            <w:r w:rsidRPr="00CD6F8D">
              <w:rPr>
                <w:rFonts w:ascii="Times" w:hAnsi="Times" w:cs="Arial"/>
                <w:color w:val="000000" w:themeColor="text1"/>
                <w:sz w:val="20"/>
                <w:szCs w:val="20"/>
              </w:rPr>
              <w:instrText xml:space="preserve"> ADDIN ZOTERO_ITEM CSL_CITATION {"citationID":"a21gtjqshrs","properties":{"formattedCitation":"[29]","plainCitation":"[29]","noteIndex":0},"citationItems":[{"id":64,"uris":["http://zotero.org/users/local/0aHQVswh/items/2EEYA9ZR"],"itemData":{"id":64,"type":"article-journal","abstract":"OBJECTIVE: The purpose of this study was to determine the long-term postpartum risk of end-stage renal disease in women with hypertensive disorders in pregnancy. Although most women with hypertensive disorders in pregnancy recover after delivery, some may experience acute renal failure.\nSTUDY DESIGN: We searched Taiwan's National Health Insurance Research Database to identify women with hypertensive disorders in pregnancies and deliveries between 1998 and 2002. All cases were followed for a maximum of 11 years (median, 9 years; interquartile range, 7.79-10.02 years) to estimate the incidence of end-stage renal disease; Cox regression analysis that was adjusted for potential confounding was used to determine the relative risk.\nRESULTS: Of the 13,633 women with hypertensive disorders in pregnancy, 46 experienced end-stage renal disease. Women with hypertensive disorders in pregnancy had a risk of end-stage renal disease that was 10.64 times greater than did women without them (95% confidence interval [CI], 7.53-15.05). The risk was highest in women with a history of preeclampsia superimposed on chronic hypertension (hazard ratio, 44.72; 95% CI, 22.59-88.51). Women with gestational hypertension had a higher risk of end-stage renal disease than did women without hypertensive disorders in pregnancy (hazard ratio, 5.82; 95% CI, 2.15-15.77).\nCONCLUSION: Women with hypertensive disorders in pregnancy have a higher risk of postpartum end-stage renal disease, regardless of which type of hypertensive disorder they have. Women with a history of hypertensive disorders in pregnancy are encouraged to have regular postpartum checkups, especially of renal function.","container-title":"American Journal of Obstetrics and Gynecology","DOI":"10.1016/j.ajog.2013.09.027","ISSN":"1097-6868","issue":"2","journalAbbreviation":"Am J Obstet Gynecol","language":"eng","note":"PMID: 24060448","page":"147.e1-8","source":"PubMed","title":"End-stage renal disease after hypertensive disorders in pregnancy","volume":"210","author":[{"family":"Wu","given":"Chia-Chun"},{"family":"Chen","given":"Sheng-Hsien"},{"family":"Ho","given":"Chung-Han"},{"family":"Liang","given":"Fu-Wen"},{"family":"Chu","given":"Chin-Chen"},{"family":"Wang","given":"Hsien-Yi"},{"family":"Lu","given":"Yi-Hua"}],"issued":{"date-parts":[["2014",2]]}}}],"schema":"https://github.com/citation-style-language/schema/raw/master/csl-citation.json"} </w:instrText>
            </w:r>
            <w:r w:rsidRPr="00CD6F8D">
              <w:rPr>
                <w:rFonts w:ascii="Times" w:hAnsi="Times" w:cs="Arial"/>
                <w:color w:val="000000" w:themeColor="text1"/>
                <w:sz w:val="20"/>
                <w:szCs w:val="20"/>
              </w:rPr>
              <w:fldChar w:fldCharType="separate"/>
            </w:r>
            <w:r w:rsidRPr="00CD6F8D">
              <w:rPr>
                <w:rFonts w:ascii="Times" w:hAnsi="Times" w:cs="Arial"/>
                <w:color w:val="000000" w:themeColor="text1"/>
                <w:sz w:val="20"/>
                <w:lang w:val="it-IT"/>
              </w:rPr>
              <w:t>[2</w:t>
            </w:r>
            <w:r w:rsidR="008731AA" w:rsidRPr="00CD6F8D">
              <w:rPr>
                <w:rFonts w:ascii="Times" w:hAnsi="Times" w:cs="Arial"/>
                <w:color w:val="000000" w:themeColor="text1"/>
                <w:sz w:val="20"/>
                <w:lang w:val="it-IT"/>
              </w:rPr>
              <w:t>0</w:t>
            </w:r>
            <w:r w:rsidRPr="00CD6F8D">
              <w:rPr>
                <w:rFonts w:ascii="Times" w:hAnsi="Times" w:cs="Arial"/>
                <w:color w:val="000000" w:themeColor="text1"/>
                <w:sz w:val="20"/>
                <w:lang w:val="it-IT"/>
              </w:rPr>
              <w:t>]</w:t>
            </w:r>
            <w:r w:rsidRPr="00CD6F8D">
              <w:rPr>
                <w:rFonts w:ascii="Times" w:hAnsi="Times" w:cs="Arial"/>
                <w:color w:val="000000" w:themeColor="text1"/>
                <w:sz w:val="20"/>
                <w:szCs w:val="20"/>
              </w:rPr>
              <w:fldChar w:fldCharType="end"/>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14:paraId="670CB539"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9132A8"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5146E5"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19C6BD"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EA0AC4"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low</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ABCD56"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minimal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F0FE55"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rPr>
              <w:t>NR</w:t>
            </w:r>
          </w:p>
        </w:tc>
      </w:tr>
      <w:tr w:rsidR="00CD6F8D" w:rsidRPr="00CD6F8D" w14:paraId="6C25BC07" w14:textId="77777777" w:rsidTr="009039FF">
        <w:trPr>
          <w:trHeight w:val="320"/>
        </w:trPr>
        <w:tc>
          <w:tcPr>
            <w:tcW w:w="0" w:type="auto"/>
            <w:tcBorders>
              <w:top w:val="single" w:sz="4" w:space="0" w:color="000000"/>
              <w:left w:val="nil"/>
              <w:bottom w:val="nil"/>
              <w:right w:val="nil"/>
            </w:tcBorders>
            <w:shd w:val="clear" w:color="auto" w:fill="auto"/>
            <w:noWrap/>
            <w:vAlign w:val="bottom"/>
            <w:hideMark/>
          </w:tcPr>
          <w:p w14:paraId="722CC5B5"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nil"/>
              <w:bottom w:val="nil"/>
              <w:right w:val="nil"/>
            </w:tcBorders>
            <w:shd w:val="clear" w:color="auto" w:fill="auto"/>
            <w:noWrap/>
            <w:vAlign w:val="bottom"/>
            <w:hideMark/>
          </w:tcPr>
          <w:p w14:paraId="3AA99B27"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nil"/>
              <w:bottom w:val="nil"/>
              <w:right w:val="nil"/>
            </w:tcBorders>
            <w:shd w:val="clear" w:color="auto" w:fill="auto"/>
            <w:noWrap/>
            <w:vAlign w:val="bottom"/>
            <w:hideMark/>
          </w:tcPr>
          <w:p w14:paraId="17B1FE50"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nil"/>
              <w:bottom w:val="nil"/>
              <w:right w:val="nil"/>
            </w:tcBorders>
            <w:shd w:val="clear" w:color="auto" w:fill="auto"/>
            <w:noWrap/>
            <w:vAlign w:val="bottom"/>
            <w:hideMark/>
          </w:tcPr>
          <w:p w14:paraId="2276000E"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nil"/>
              <w:bottom w:val="nil"/>
              <w:right w:val="nil"/>
            </w:tcBorders>
            <w:shd w:val="clear" w:color="auto" w:fill="auto"/>
            <w:noWrap/>
            <w:vAlign w:val="bottom"/>
            <w:hideMark/>
          </w:tcPr>
          <w:p w14:paraId="23ECED62"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nil"/>
              <w:bottom w:val="nil"/>
              <w:right w:val="nil"/>
            </w:tcBorders>
            <w:shd w:val="clear" w:color="auto" w:fill="auto"/>
            <w:noWrap/>
            <w:vAlign w:val="bottom"/>
            <w:hideMark/>
          </w:tcPr>
          <w:p w14:paraId="535B8957"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nil"/>
              <w:bottom w:val="nil"/>
              <w:right w:val="nil"/>
            </w:tcBorders>
            <w:shd w:val="clear" w:color="auto" w:fill="auto"/>
            <w:noWrap/>
            <w:vAlign w:val="bottom"/>
            <w:hideMark/>
          </w:tcPr>
          <w:p w14:paraId="79B0A60B" w14:textId="77777777" w:rsidR="00F94F5F" w:rsidRPr="00CD6F8D" w:rsidRDefault="00F94F5F" w:rsidP="009039FF">
            <w:pPr>
              <w:rPr>
                <w:rFonts w:ascii="Times" w:hAnsi="Times" w:cs="Arial"/>
                <w:color w:val="000000" w:themeColor="text1"/>
                <w:sz w:val="20"/>
                <w:szCs w:val="20"/>
              </w:rPr>
            </w:pPr>
          </w:p>
        </w:tc>
        <w:tc>
          <w:tcPr>
            <w:tcW w:w="0" w:type="auto"/>
            <w:tcBorders>
              <w:top w:val="single" w:sz="4" w:space="0" w:color="000000"/>
              <w:left w:val="nil"/>
              <w:bottom w:val="nil"/>
              <w:right w:val="nil"/>
            </w:tcBorders>
            <w:shd w:val="clear" w:color="auto" w:fill="auto"/>
            <w:noWrap/>
            <w:vAlign w:val="bottom"/>
            <w:hideMark/>
          </w:tcPr>
          <w:p w14:paraId="08DEF33A" w14:textId="77777777" w:rsidR="00F94F5F" w:rsidRPr="00CD6F8D" w:rsidRDefault="00F94F5F" w:rsidP="009039FF">
            <w:pPr>
              <w:rPr>
                <w:rFonts w:ascii="Times" w:hAnsi="Times" w:cs="Arial"/>
                <w:color w:val="000000" w:themeColor="text1"/>
                <w:sz w:val="20"/>
                <w:szCs w:val="20"/>
              </w:rPr>
            </w:pPr>
          </w:p>
        </w:tc>
      </w:tr>
      <w:tr w:rsidR="00CD6F8D" w:rsidRPr="00CD6F8D" w14:paraId="5D01A9EA" w14:textId="77777777" w:rsidTr="009039FF">
        <w:trPr>
          <w:trHeight w:val="320"/>
        </w:trPr>
        <w:tc>
          <w:tcPr>
            <w:tcW w:w="0" w:type="auto"/>
            <w:gridSpan w:val="4"/>
            <w:tcBorders>
              <w:top w:val="nil"/>
              <w:left w:val="nil"/>
              <w:bottom w:val="nil"/>
              <w:right w:val="nil"/>
            </w:tcBorders>
            <w:shd w:val="clear" w:color="auto" w:fill="auto"/>
            <w:noWrap/>
            <w:vAlign w:val="center"/>
            <w:hideMark/>
          </w:tcPr>
          <w:p w14:paraId="7EAB4F13" w14:textId="77777777" w:rsidR="00F94F5F" w:rsidRPr="00CD6F8D" w:rsidRDefault="00F94F5F" w:rsidP="009039FF">
            <w:pPr>
              <w:rPr>
                <w:rFonts w:ascii="Times" w:hAnsi="Times" w:cs="Arial"/>
                <w:color w:val="000000" w:themeColor="text1"/>
                <w:sz w:val="20"/>
                <w:szCs w:val="20"/>
                <w:lang w:val="en-US"/>
              </w:rPr>
            </w:pPr>
            <w:r w:rsidRPr="00CD6F8D">
              <w:rPr>
                <w:rFonts w:ascii="Times" w:hAnsi="Times" w:cs="Arial"/>
                <w:color w:val="000000" w:themeColor="text1"/>
                <w:sz w:val="20"/>
                <w:szCs w:val="20"/>
                <w:lang w:val="en-GB"/>
              </w:rPr>
              <w:t>Type of answers: NR, Minimal, Low, Moderate, High</w:t>
            </w:r>
          </w:p>
        </w:tc>
        <w:tc>
          <w:tcPr>
            <w:tcW w:w="0" w:type="auto"/>
            <w:tcBorders>
              <w:top w:val="nil"/>
              <w:left w:val="nil"/>
              <w:bottom w:val="nil"/>
              <w:right w:val="nil"/>
            </w:tcBorders>
            <w:shd w:val="clear" w:color="auto" w:fill="auto"/>
            <w:noWrap/>
            <w:vAlign w:val="bottom"/>
            <w:hideMark/>
          </w:tcPr>
          <w:p w14:paraId="0D0599E5" w14:textId="77777777" w:rsidR="00F94F5F" w:rsidRPr="00CD6F8D" w:rsidRDefault="00F94F5F" w:rsidP="009039FF">
            <w:pPr>
              <w:rPr>
                <w:rFonts w:ascii="Times" w:hAnsi="Times" w:cs="Arial"/>
                <w:color w:val="000000" w:themeColor="text1"/>
                <w:sz w:val="20"/>
                <w:szCs w:val="20"/>
                <w:lang w:val="en-US"/>
              </w:rPr>
            </w:pPr>
          </w:p>
        </w:tc>
        <w:tc>
          <w:tcPr>
            <w:tcW w:w="0" w:type="auto"/>
            <w:tcBorders>
              <w:top w:val="nil"/>
              <w:left w:val="nil"/>
              <w:bottom w:val="nil"/>
              <w:right w:val="nil"/>
            </w:tcBorders>
            <w:shd w:val="clear" w:color="auto" w:fill="auto"/>
            <w:noWrap/>
            <w:vAlign w:val="bottom"/>
            <w:hideMark/>
          </w:tcPr>
          <w:p w14:paraId="2AEDA1C3" w14:textId="77777777" w:rsidR="00F94F5F" w:rsidRPr="00CD6F8D" w:rsidRDefault="00F94F5F" w:rsidP="009039FF">
            <w:pPr>
              <w:rPr>
                <w:rFonts w:ascii="Times" w:hAnsi="Times" w:cs="Arial"/>
                <w:color w:val="000000" w:themeColor="text1"/>
                <w:sz w:val="20"/>
                <w:szCs w:val="20"/>
                <w:lang w:val="en-US"/>
              </w:rPr>
            </w:pPr>
          </w:p>
        </w:tc>
        <w:tc>
          <w:tcPr>
            <w:tcW w:w="0" w:type="auto"/>
            <w:tcBorders>
              <w:top w:val="nil"/>
              <w:left w:val="nil"/>
              <w:bottom w:val="nil"/>
              <w:right w:val="nil"/>
            </w:tcBorders>
            <w:shd w:val="clear" w:color="auto" w:fill="auto"/>
            <w:noWrap/>
            <w:vAlign w:val="bottom"/>
            <w:hideMark/>
          </w:tcPr>
          <w:p w14:paraId="796378D3" w14:textId="77777777" w:rsidR="00F94F5F" w:rsidRPr="00CD6F8D" w:rsidRDefault="00F94F5F" w:rsidP="009039FF">
            <w:pPr>
              <w:rPr>
                <w:rFonts w:ascii="Times" w:hAnsi="Times" w:cs="Arial"/>
                <w:color w:val="000000" w:themeColor="text1"/>
                <w:sz w:val="20"/>
                <w:szCs w:val="20"/>
                <w:lang w:val="en-US"/>
              </w:rPr>
            </w:pPr>
          </w:p>
        </w:tc>
        <w:tc>
          <w:tcPr>
            <w:tcW w:w="0" w:type="auto"/>
            <w:tcBorders>
              <w:top w:val="nil"/>
              <w:left w:val="nil"/>
              <w:bottom w:val="nil"/>
              <w:right w:val="nil"/>
            </w:tcBorders>
            <w:shd w:val="clear" w:color="auto" w:fill="auto"/>
            <w:noWrap/>
            <w:vAlign w:val="bottom"/>
            <w:hideMark/>
          </w:tcPr>
          <w:p w14:paraId="781F1F53" w14:textId="77777777" w:rsidR="00F94F5F" w:rsidRPr="00CD6F8D" w:rsidRDefault="00F94F5F" w:rsidP="009039FF">
            <w:pPr>
              <w:rPr>
                <w:rFonts w:ascii="Times" w:hAnsi="Times" w:cs="Arial"/>
                <w:color w:val="000000" w:themeColor="text1"/>
                <w:sz w:val="20"/>
                <w:szCs w:val="20"/>
                <w:lang w:val="en-US"/>
              </w:rPr>
            </w:pPr>
          </w:p>
        </w:tc>
      </w:tr>
      <w:tr w:rsidR="00F94F5F" w:rsidRPr="00CD6F8D" w14:paraId="0F0BC26C" w14:textId="77777777" w:rsidTr="009039FF">
        <w:trPr>
          <w:trHeight w:val="320"/>
        </w:trPr>
        <w:tc>
          <w:tcPr>
            <w:tcW w:w="0" w:type="auto"/>
            <w:gridSpan w:val="2"/>
            <w:tcBorders>
              <w:top w:val="nil"/>
              <w:left w:val="nil"/>
              <w:bottom w:val="nil"/>
              <w:right w:val="nil"/>
            </w:tcBorders>
            <w:shd w:val="clear" w:color="auto" w:fill="auto"/>
            <w:noWrap/>
            <w:vAlign w:val="bottom"/>
            <w:hideMark/>
          </w:tcPr>
          <w:p w14:paraId="23E04C1A" w14:textId="77777777" w:rsidR="00F94F5F" w:rsidRPr="00CD6F8D" w:rsidRDefault="00F94F5F" w:rsidP="009039FF">
            <w:pPr>
              <w:rPr>
                <w:rFonts w:ascii="Times" w:hAnsi="Times" w:cs="Arial"/>
                <w:color w:val="000000" w:themeColor="text1"/>
                <w:sz w:val="20"/>
                <w:szCs w:val="20"/>
              </w:rPr>
            </w:pPr>
            <w:r w:rsidRPr="00CD6F8D">
              <w:rPr>
                <w:rFonts w:ascii="Times" w:hAnsi="Times" w:cs="Arial"/>
                <w:color w:val="000000" w:themeColor="text1"/>
                <w:sz w:val="20"/>
                <w:szCs w:val="20"/>
                <w:lang w:val="en-GB"/>
              </w:rPr>
              <w:t>NR = not reported</w:t>
            </w:r>
          </w:p>
        </w:tc>
        <w:tc>
          <w:tcPr>
            <w:tcW w:w="0" w:type="auto"/>
            <w:tcBorders>
              <w:top w:val="nil"/>
              <w:left w:val="nil"/>
              <w:bottom w:val="nil"/>
              <w:right w:val="nil"/>
            </w:tcBorders>
            <w:shd w:val="clear" w:color="auto" w:fill="auto"/>
            <w:noWrap/>
            <w:vAlign w:val="bottom"/>
            <w:hideMark/>
          </w:tcPr>
          <w:p w14:paraId="6ED44FF8" w14:textId="77777777" w:rsidR="00F94F5F" w:rsidRPr="00CD6F8D" w:rsidRDefault="00F94F5F" w:rsidP="009039FF">
            <w:pPr>
              <w:rPr>
                <w:rFonts w:ascii="Times" w:hAnsi="Times" w:cs="Arial"/>
                <w:color w:val="000000" w:themeColor="text1"/>
                <w:sz w:val="20"/>
                <w:szCs w:val="20"/>
              </w:rPr>
            </w:pPr>
          </w:p>
        </w:tc>
        <w:tc>
          <w:tcPr>
            <w:tcW w:w="0" w:type="auto"/>
            <w:tcBorders>
              <w:top w:val="nil"/>
              <w:left w:val="nil"/>
              <w:bottom w:val="nil"/>
              <w:right w:val="nil"/>
            </w:tcBorders>
            <w:shd w:val="clear" w:color="auto" w:fill="auto"/>
            <w:noWrap/>
            <w:vAlign w:val="bottom"/>
            <w:hideMark/>
          </w:tcPr>
          <w:p w14:paraId="620CC4B8" w14:textId="77777777" w:rsidR="00F94F5F" w:rsidRPr="00CD6F8D" w:rsidRDefault="00F94F5F" w:rsidP="009039FF">
            <w:pPr>
              <w:rPr>
                <w:rFonts w:ascii="Times" w:hAnsi="Times" w:cs="Arial"/>
                <w:color w:val="000000" w:themeColor="text1"/>
                <w:sz w:val="20"/>
                <w:szCs w:val="20"/>
              </w:rPr>
            </w:pPr>
          </w:p>
        </w:tc>
        <w:tc>
          <w:tcPr>
            <w:tcW w:w="0" w:type="auto"/>
            <w:tcBorders>
              <w:top w:val="nil"/>
              <w:left w:val="nil"/>
              <w:bottom w:val="nil"/>
              <w:right w:val="nil"/>
            </w:tcBorders>
            <w:shd w:val="clear" w:color="auto" w:fill="auto"/>
            <w:noWrap/>
            <w:vAlign w:val="bottom"/>
            <w:hideMark/>
          </w:tcPr>
          <w:p w14:paraId="1EE3A8C7" w14:textId="77777777" w:rsidR="00F94F5F" w:rsidRPr="00CD6F8D" w:rsidRDefault="00F94F5F" w:rsidP="009039FF">
            <w:pPr>
              <w:rPr>
                <w:rFonts w:ascii="Times" w:hAnsi="Times" w:cs="Arial"/>
                <w:color w:val="000000" w:themeColor="text1"/>
                <w:sz w:val="20"/>
                <w:szCs w:val="20"/>
              </w:rPr>
            </w:pPr>
          </w:p>
        </w:tc>
        <w:tc>
          <w:tcPr>
            <w:tcW w:w="0" w:type="auto"/>
            <w:tcBorders>
              <w:top w:val="nil"/>
              <w:left w:val="nil"/>
              <w:bottom w:val="nil"/>
              <w:right w:val="nil"/>
            </w:tcBorders>
            <w:shd w:val="clear" w:color="auto" w:fill="auto"/>
            <w:noWrap/>
            <w:vAlign w:val="bottom"/>
            <w:hideMark/>
          </w:tcPr>
          <w:p w14:paraId="1ECE9D48" w14:textId="77777777" w:rsidR="00F94F5F" w:rsidRPr="00CD6F8D" w:rsidRDefault="00F94F5F" w:rsidP="009039FF">
            <w:pPr>
              <w:rPr>
                <w:rFonts w:ascii="Times" w:hAnsi="Times" w:cs="Arial"/>
                <w:color w:val="000000" w:themeColor="text1"/>
                <w:sz w:val="20"/>
                <w:szCs w:val="20"/>
              </w:rPr>
            </w:pPr>
          </w:p>
        </w:tc>
        <w:tc>
          <w:tcPr>
            <w:tcW w:w="0" w:type="auto"/>
            <w:tcBorders>
              <w:top w:val="nil"/>
              <w:left w:val="nil"/>
              <w:bottom w:val="nil"/>
              <w:right w:val="nil"/>
            </w:tcBorders>
            <w:shd w:val="clear" w:color="auto" w:fill="auto"/>
            <w:noWrap/>
            <w:vAlign w:val="bottom"/>
            <w:hideMark/>
          </w:tcPr>
          <w:p w14:paraId="77749577" w14:textId="77777777" w:rsidR="00F94F5F" w:rsidRPr="00CD6F8D" w:rsidRDefault="00F94F5F" w:rsidP="009039FF">
            <w:pPr>
              <w:rPr>
                <w:rFonts w:ascii="Times" w:hAnsi="Times" w:cs="Arial"/>
                <w:color w:val="000000" w:themeColor="text1"/>
                <w:sz w:val="20"/>
                <w:szCs w:val="20"/>
              </w:rPr>
            </w:pPr>
          </w:p>
        </w:tc>
        <w:tc>
          <w:tcPr>
            <w:tcW w:w="0" w:type="auto"/>
            <w:tcBorders>
              <w:top w:val="nil"/>
              <w:left w:val="nil"/>
              <w:bottom w:val="nil"/>
              <w:right w:val="nil"/>
            </w:tcBorders>
            <w:shd w:val="clear" w:color="auto" w:fill="auto"/>
            <w:noWrap/>
            <w:vAlign w:val="bottom"/>
            <w:hideMark/>
          </w:tcPr>
          <w:p w14:paraId="4E96ECEB" w14:textId="77777777" w:rsidR="00F94F5F" w:rsidRPr="00CD6F8D" w:rsidRDefault="00F94F5F" w:rsidP="009039FF">
            <w:pPr>
              <w:rPr>
                <w:rFonts w:ascii="Times" w:hAnsi="Times" w:cs="Arial"/>
                <w:color w:val="000000" w:themeColor="text1"/>
                <w:sz w:val="20"/>
                <w:szCs w:val="20"/>
              </w:rPr>
            </w:pPr>
          </w:p>
        </w:tc>
      </w:tr>
    </w:tbl>
    <w:p w14:paraId="3FF3C542" w14:textId="77777777" w:rsidR="00F94F5F" w:rsidRPr="00CD6F8D" w:rsidRDefault="00F94F5F">
      <w:pPr>
        <w:rPr>
          <w:rFonts w:ascii="Times" w:hAnsi="Times"/>
          <w:color w:val="000000" w:themeColor="text1"/>
        </w:rPr>
      </w:pPr>
      <w:bookmarkStart w:id="0" w:name="_GoBack"/>
      <w:bookmarkEnd w:id="0"/>
    </w:p>
    <w:sectPr w:rsidR="00F94F5F" w:rsidRPr="00CD6F8D" w:rsidSect="00CD6F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5F"/>
    <w:rsid w:val="003B3870"/>
    <w:rsid w:val="008731AA"/>
    <w:rsid w:val="008C3746"/>
    <w:rsid w:val="00BD4B7D"/>
    <w:rsid w:val="00CA4C6A"/>
    <w:rsid w:val="00CD6F8D"/>
    <w:rsid w:val="00E6062B"/>
    <w:rsid w:val="00F94F5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1E61"/>
  <w15:chartTrackingRefBased/>
  <w15:docId w15:val="{EBA3FDE5-4601-1B49-A0FD-BD9E1092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F5F"/>
    <w:rPr>
      <w:rFonts w:ascii="Times New Roman" w:eastAsia="Times New Roman" w:hAnsi="Times New Roman" w:cs="Times New Roman"/>
      <w:kern w:val="0"/>
      <w:lang w:eastAsia="it-IT"/>
      <w14:ligatures w14:val="none"/>
    </w:rPr>
  </w:style>
  <w:style w:type="paragraph" w:styleId="Heading3">
    <w:name w:val="heading 3"/>
    <w:basedOn w:val="Normal"/>
    <w:next w:val="Normal"/>
    <w:link w:val="Heading3Char"/>
    <w:uiPriority w:val="9"/>
    <w:unhideWhenUsed/>
    <w:qFormat/>
    <w:rsid w:val="00F94F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4F5F"/>
    <w:rPr>
      <w:rFonts w:asciiTheme="majorHAnsi" w:eastAsiaTheme="majorEastAsia" w:hAnsiTheme="majorHAnsi" w:cstheme="majorBidi"/>
      <w:color w:val="1F3763" w:themeColor="accent1" w:themeShade="7F"/>
      <w:kern w:val="0"/>
      <w:lang w:eastAsia="it-IT"/>
      <w14:ligatures w14:val="none"/>
    </w:rPr>
  </w:style>
  <w:style w:type="character" w:styleId="Hyperlink">
    <w:name w:val="Hyperlink"/>
    <w:basedOn w:val="DefaultParagraphFont"/>
    <w:uiPriority w:val="99"/>
    <w:unhideWhenUsed/>
    <w:rsid w:val="00BD4B7D"/>
    <w:rPr>
      <w:color w:val="0563C1" w:themeColor="hyperlink"/>
      <w:u w:val="single"/>
    </w:rPr>
  </w:style>
  <w:style w:type="character" w:customStyle="1" w:styleId="UnresolvedMention">
    <w:name w:val="Unresolved Mention"/>
    <w:basedOn w:val="DefaultParagraphFont"/>
    <w:uiPriority w:val="99"/>
    <w:semiHidden/>
    <w:unhideWhenUsed/>
    <w:rsid w:val="00BD4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ianchi.gaia96@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4795</Words>
  <Characters>27334</Characters>
  <Application>Microsoft Office Word</Application>
  <DocSecurity>0</DocSecurity>
  <Lines>227</Lines>
  <Paragraphs>64</Paragraphs>
  <ScaleCrop>false</ScaleCrop>
  <Company/>
  <LinksUpToDate>false</LinksUpToDate>
  <CharactersWithSpaces>32065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bianchi</dc:creator>
  <cp:keywords/>
  <dc:description/>
  <cp:lastModifiedBy>Priyanka  Ravichandran</cp:lastModifiedBy>
  <cp:revision>8</cp:revision>
  <dcterms:created xsi:type="dcterms:W3CDTF">2025-03-08T08:52:00Z</dcterms:created>
  <dcterms:modified xsi:type="dcterms:W3CDTF">2025-05-29T13:38:00Z</dcterms:modified>
</cp:coreProperties>
</file>