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6EBCB6" w14:textId="77777777" w:rsidR="0034033B" w:rsidRPr="001F0562" w:rsidRDefault="0034033B" w:rsidP="0034033B">
      <w:pPr>
        <w:rPr>
          <w:rFonts w:ascii="Times" w:hAnsi="Times" w:cs="Arial"/>
          <w:b/>
          <w:bCs/>
          <w:color w:val="000000" w:themeColor="text1"/>
          <w:sz w:val="30"/>
          <w:szCs w:val="30"/>
          <w:lang w:val="en-GB"/>
        </w:rPr>
      </w:pPr>
      <w:r w:rsidRPr="001F0562">
        <w:rPr>
          <w:rFonts w:ascii="Times" w:hAnsi="Times" w:cs="Arial"/>
          <w:b/>
          <w:bCs/>
          <w:color w:val="000000" w:themeColor="text1"/>
          <w:sz w:val="30"/>
          <w:szCs w:val="30"/>
          <w:lang w:val="en-GB"/>
        </w:rPr>
        <w:t>The dilemma of chronic kidney disease and end-stage kidney disease following pre-eclampsia: a literature review and meta-analysis</w:t>
      </w:r>
    </w:p>
    <w:p w14:paraId="254A612B" w14:textId="77777777" w:rsidR="0034033B" w:rsidRPr="001F0562" w:rsidRDefault="0034033B" w:rsidP="0034033B">
      <w:pPr>
        <w:rPr>
          <w:rFonts w:ascii="Times" w:hAnsi="Times" w:cs="Arial"/>
          <w:b/>
          <w:bCs/>
          <w:color w:val="000000" w:themeColor="text1"/>
          <w:sz w:val="30"/>
          <w:szCs w:val="30"/>
          <w:lang w:val="en-GB"/>
        </w:rPr>
      </w:pPr>
    </w:p>
    <w:p w14:paraId="317E7A4D" w14:textId="77777777" w:rsidR="0034033B" w:rsidRPr="001F0562" w:rsidRDefault="0034033B" w:rsidP="0034033B">
      <w:pPr>
        <w:rPr>
          <w:rFonts w:ascii="Times" w:hAnsi="Times" w:cs="Arial"/>
          <w:color w:val="000000" w:themeColor="text1"/>
          <w:sz w:val="20"/>
          <w:szCs w:val="20"/>
          <w:vertAlign w:val="superscript"/>
          <w:lang w:val="it-IT"/>
        </w:rPr>
      </w:pPr>
      <w:r w:rsidRPr="001F0562">
        <w:rPr>
          <w:rFonts w:ascii="Times" w:hAnsi="Times" w:cs="Arial"/>
          <w:color w:val="000000" w:themeColor="text1"/>
          <w:sz w:val="20"/>
          <w:szCs w:val="20"/>
          <w:lang w:val="it-IT"/>
        </w:rPr>
        <w:t xml:space="preserve">Gaia Bianchi </w:t>
      </w:r>
      <w:r w:rsidRPr="001F0562">
        <w:rPr>
          <w:rFonts w:ascii="Times" w:hAnsi="Times" w:cs="Arial"/>
          <w:color w:val="000000" w:themeColor="text1"/>
          <w:sz w:val="20"/>
          <w:szCs w:val="20"/>
          <w:vertAlign w:val="superscript"/>
          <w:lang w:val="it-IT"/>
        </w:rPr>
        <w:t>a</w:t>
      </w:r>
      <w:r w:rsidRPr="001F0562">
        <w:rPr>
          <w:rFonts w:ascii="Times" w:hAnsi="Times" w:cs="Arial"/>
          <w:color w:val="000000" w:themeColor="text1"/>
          <w:sz w:val="20"/>
          <w:szCs w:val="20"/>
          <w:lang w:val="it-IT"/>
        </w:rPr>
        <w:t xml:space="preserve">, Bruno Vogt </w:t>
      </w:r>
      <w:r w:rsidRPr="001F0562">
        <w:rPr>
          <w:rFonts w:ascii="Times" w:hAnsi="Times" w:cs="Arial"/>
          <w:color w:val="000000" w:themeColor="text1"/>
          <w:sz w:val="20"/>
          <w:szCs w:val="20"/>
          <w:vertAlign w:val="superscript"/>
          <w:lang w:val="it-IT"/>
        </w:rPr>
        <w:t>b</w:t>
      </w:r>
      <w:r w:rsidRPr="001F0562">
        <w:rPr>
          <w:rFonts w:ascii="Times" w:hAnsi="Times" w:cs="Arial"/>
          <w:color w:val="000000" w:themeColor="text1"/>
          <w:sz w:val="20"/>
          <w:szCs w:val="20"/>
          <w:lang w:val="it-IT"/>
        </w:rPr>
        <w:t xml:space="preserve">, Matteo Bargagli </w:t>
      </w:r>
      <w:r w:rsidRPr="001F0562">
        <w:rPr>
          <w:rFonts w:ascii="Times" w:hAnsi="Times" w:cs="Arial"/>
          <w:color w:val="000000" w:themeColor="text1"/>
          <w:sz w:val="20"/>
          <w:szCs w:val="20"/>
          <w:vertAlign w:val="superscript"/>
          <w:lang w:val="it-IT"/>
        </w:rPr>
        <w:t>b</w:t>
      </w:r>
      <w:r w:rsidRPr="001F0562">
        <w:rPr>
          <w:rFonts w:ascii="Times" w:hAnsi="Times" w:cs="Arial"/>
          <w:color w:val="000000" w:themeColor="text1"/>
          <w:sz w:val="20"/>
          <w:szCs w:val="20"/>
          <w:lang w:val="it-IT"/>
        </w:rPr>
        <w:t xml:space="preserve">, Claudia Ferrier </w:t>
      </w:r>
      <w:r w:rsidRPr="001F0562">
        <w:rPr>
          <w:rFonts w:ascii="Times" w:hAnsi="Times" w:cs="Arial"/>
          <w:color w:val="000000" w:themeColor="text1"/>
          <w:sz w:val="20"/>
          <w:szCs w:val="20"/>
          <w:vertAlign w:val="superscript"/>
          <w:lang w:val="it-IT"/>
        </w:rPr>
        <w:t>b, c</w:t>
      </w:r>
    </w:p>
    <w:p w14:paraId="5C26A0FB" w14:textId="77777777" w:rsidR="0034033B" w:rsidRPr="001F0562" w:rsidRDefault="0034033B" w:rsidP="0034033B">
      <w:pPr>
        <w:rPr>
          <w:rFonts w:ascii="Times" w:hAnsi="Times" w:cs="Arial"/>
          <w:color w:val="000000" w:themeColor="text1"/>
          <w:sz w:val="20"/>
          <w:szCs w:val="20"/>
          <w:lang w:val="it-IT"/>
        </w:rPr>
      </w:pPr>
    </w:p>
    <w:p w14:paraId="50FAA230" w14:textId="77777777" w:rsidR="0034033B" w:rsidRPr="001F0562" w:rsidRDefault="0034033B" w:rsidP="0034033B">
      <w:pPr>
        <w:rPr>
          <w:rFonts w:ascii="Times" w:hAnsi="Times" w:cs="Arial"/>
          <w:color w:val="000000" w:themeColor="text1"/>
          <w:sz w:val="20"/>
          <w:szCs w:val="20"/>
          <w:lang w:val="en-GB"/>
        </w:rPr>
      </w:pPr>
      <w:r w:rsidRPr="001F0562">
        <w:rPr>
          <w:rFonts w:ascii="Times" w:hAnsi="Times" w:cs="Arial"/>
          <w:color w:val="000000" w:themeColor="text1"/>
          <w:sz w:val="20"/>
          <w:szCs w:val="20"/>
          <w:vertAlign w:val="superscript"/>
          <w:lang w:val="en-GB"/>
        </w:rPr>
        <w:t>a</w:t>
      </w:r>
      <w:r w:rsidRPr="001F0562">
        <w:rPr>
          <w:rFonts w:ascii="Times" w:hAnsi="Times" w:cs="Arial"/>
          <w:color w:val="000000" w:themeColor="text1"/>
          <w:sz w:val="20"/>
          <w:szCs w:val="20"/>
          <w:lang w:val="en-GB"/>
        </w:rPr>
        <w:t xml:space="preserve"> Faculty of Medicine, University of Berne, Switzerland</w:t>
      </w:r>
    </w:p>
    <w:p w14:paraId="3A2CDF95" w14:textId="77777777" w:rsidR="0034033B" w:rsidRPr="001F0562" w:rsidRDefault="0034033B" w:rsidP="0034033B">
      <w:pPr>
        <w:rPr>
          <w:rFonts w:ascii="Times" w:hAnsi="Times" w:cs="Arial"/>
          <w:color w:val="000000" w:themeColor="text1"/>
          <w:sz w:val="20"/>
          <w:szCs w:val="20"/>
          <w:lang w:val="en-GB"/>
        </w:rPr>
      </w:pPr>
      <w:r w:rsidRPr="001F0562">
        <w:rPr>
          <w:rFonts w:ascii="Times" w:hAnsi="Times" w:cs="Arial"/>
          <w:color w:val="000000" w:themeColor="text1"/>
          <w:sz w:val="20"/>
          <w:szCs w:val="20"/>
          <w:vertAlign w:val="superscript"/>
          <w:lang w:val="en-GB"/>
        </w:rPr>
        <w:t xml:space="preserve">b </w:t>
      </w:r>
      <w:r w:rsidRPr="001F0562">
        <w:rPr>
          <w:rFonts w:ascii="Times" w:hAnsi="Times" w:cs="Arial"/>
          <w:color w:val="000000" w:themeColor="text1"/>
          <w:sz w:val="20"/>
          <w:szCs w:val="20"/>
          <w:lang w:val="en-GB"/>
        </w:rPr>
        <w:t>University Clinic of Nephrology and Hypertension, Inselspital Berne, Switzerland</w:t>
      </w:r>
    </w:p>
    <w:p w14:paraId="668A304B" w14:textId="77777777" w:rsidR="0034033B" w:rsidRPr="001F0562" w:rsidRDefault="0034033B" w:rsidP="0034033B">
      <w:pPr>
        <w:rPr>
          <w:rFonts w:ascii="Times" w:hAnsi="Times" w:cs="Arial"/>
          <w:color w:val="000000" w:themeColor="text1"/>
          <w:sz w:val="20"/>
          <w:szCs w:val="20"/>
        </w:rPr>
      </w:pPr>
      <w:r w:rsidRPr="001F0562">
        <w:rPr>
          <w:rFonts w:ascii="Times" w:hAnsi="Times" w:cs="Arial"/>
          <w:color w:val="000000" w:themeColor="text1"/>
          <w:sz w:val="20"/>
          <w:szCs w:val="20"/>
          <w:vertAlign w:val="superscript"/>
        </w:rPr>
        <w:t xml:space="preserve">c </w:t>
      </w:r>
      <w:r w:rsidRPr="001F0562">
        <w:rPr>
          <w:rFonts w:ascii="Times" w:hAnsi="Times" w:cs="Arial"/>
          <w:color w:val="000000" w:themeColor="text1"/>
          <w:sz w:val="20"/>
          <w:szCs w:val="20"/>
        </w:rPr>
        <w:t>Nefrocentro Ticino, Lugano, Switzerland</w:t>
      </w:r>
    </w:p>
    <w:p w14:paraId="35C7C3E7" w14:textId="77777777" w:rsidR="00DD088A" w:rsidRPr="001F0562" w:rsidRDefault="00DD088A" w:rsidP="00DD088A">
      <w:pPr>
        <w:rPr>
          <w:rFonts w:ascii="Times" w:hAnsi="Times" w:cs="Arial"/>
          <w:b/>
          <w:bCs/>
          <w:color w:val="000000" w:themeColor="text1"/>
          <w:sz w:val="16"/>
          <w:szCs w:val="16"/>
          <w:lang w:val="en-GB"/>
        </w:rPr>
      </w:pPr>
    </w:p>
    <w:p w14:paraId="2D581471" w14:textId="58D31B36" w:rsidR="00DD088A" w:rsidRPr="001F0562" w:rsidRDefault="00DD088A" w:rsidP="00DD088A">
      <w:pPr>
        <w:rPr>
          <w:rFonts w:ascii="Times" w:hAnsi="Times" w:cs="Arial"/>
          <w:color w:val="000000" w:themeColor="text1"/>
          <w:sz w:val="16"/>
          <w:szCs w:val="16"/>
          <w:lang w:val="en-GB"/>
        </w:rPr>
      </w:pPr>
      <w:r w:rsidRPr="001F0562">
        <w:rPr>
          <w:rFonts w:ascii="Times" w:hAnsi="Times" w:cs="Arial"/>
          <w:b/>
          <w:bCs/>
          <w:color w:val="000000" w:themeColor="text1"/>
          <w:sz w:val="16"/>
          <w:szCs w:val="16"/>
          <w:lang w:val="en-GB"/>
        </w:rPr>
        <w:t xml:space="preserve">Correspondence: </w:t>
      </w:r>
      <w:r w:rsidRPr="001F0562">
        <w:rPr>
          <w:rFonts w:ascii="Times" w:hAnsi="Times" w:cs="Arial"/>
          <w:color w:val="000000" w:themeColor="text1"/>
          <w:sz w:val="16"/>
          <w:szCs w:val="16"/>
          <w:lang w:val="en-GB"/>
        </w:rPr>
        <w:t xml:space="preserve">Gaia Bianchi, University of Berne, </w:t>
      </w:r>
      <w:hyperlink r:id="rId7" w:history="1">
        <w:r w:rsidRPr="001F0562">
          <w:rPr>
            <w:rStyle w:val="Hyperlink"/>
            <w:rFonts w:ascii="Times" w:hAnsi="Times" w:cs="Arial"/>
            <w:color w:val="000000" w:themeColor="text1"/>
            <w:sz w:val="16"/>
            <w:szCs w:val="16"/>
            <w:lang w:val="en-GB"/>
          </w:rPr>
          <w:t>bianchi.gaia96@gmail.com</w:t>
        </w:r>
      </w:hyperlink>
      <w:bookmarkStart w:id="0" w:name="_GoBack"/>
      <w:bookmarkEnd w:id="0"/>
    </w:p>
    <w:p w14:paraId="76091D27" w14:textId="77777777" w:rsidR="00C74B3B" w:rsidRPr="001F0562" w:rsidRDefault="00C74B3B" w:rsidP="00C74B3B">
      <w:pPr>
        <w:rPr>
          <w:rFonts w:ascii="Times" w:hAnsi="Times"/>
          <w:color w:val="000000" w:themeColor="text1"/>
          <w:sz w:val="20"/>
          <w:szCs w:val="20"/>
          <w:lang w:val="en-GB"/>
        </w:rPr>
      </w:pPr>
    </w:p>
    <w:p w14:paraId="3D977B64" w14:textId="2C4CD0E8" w:rsidR="00643F37" w:rsidRPr="001F0562" w:rsidRDefault="00643F37" w:rsidP="00643F37">
      <w:pPr>
        <w:pStyle w:val="Heading3"/>
        <w:rPr>
          <w:rFonts w:ascii="Times" w:hAnsi="Times" w:cs="Arial"/>
          <w:color w:val="000000" w:themeColor="text1"/>
          <w:lang w:val="en-GB"/>
        </w:rPr>
      </w:pPr>
      <w:r w:rsidRPr="001F0562">
        <w:rPr>
          <w:rFonts w:ascii="Times" w:hAnsi="Times" w:cs="Arial"/>
          <w:color w:val="000000" w:themeColor="text1"/>
          <w:lang w:val="en-GB"/>
        </w:rPr>
        <w:t xml:space="preserve">Supplement material </w:t>
      </w:r>
      <w:r w:rsidR="004461C2" w:rsidRPr="001F0562">
        <w:rPr>
          <w:rFonts w:ascii="Times" w:hAnsi="Times" w:cs="Arial"/>
          <w:color w:val="000000" w:themeColor="text1"/>
          <w:lang w:val="en-GB"/>
        </w:rPr>
        <w:t>4</w:t>
      </w:r>
      <w:r w:rsidRPr="001F0562">
        <w:rPr>
          <w:rFonts w:ascii="Times" w:hAnsi="Times" w:cs="Arial"/>
          <w:color w:val="000000" w:themeColor="text1"/>
          <w:lang w:val="en-GB"/>
        </w:rPr>
        <w:t>: Exposure and Outcome definition, assessment, and database</w:t>
      </w:r>
    </w:p>
    <w:tbl>
      <w:tblPr>
        <w:tblStyle w:val="TableGrid"/>
        <w:tblW w:w="0" w:type="auto"/>
        <w:tblLook w:val="04A0" w:firstRow="1" w:lastRow="0" w:firstColumn="1" w:lastColumn="0" w:noHBand="0" w:noVBand="1"/>
      </w:tblPr>
      <w:tblGrid>
        <w:gridCol w:w="1205"/>
        <w:gridCol w:w="2242"/>
        <w:gridCol w:w="1935"/>
        <w:gridCol w:w="1741"/>
        <w:gridCol w:w="2505"/>
      </w:tblGrid>
      <w:tr w:rsidR="001F0562" w:rsidRPr="001F0562" w14:paraId="051264CF" w14:textId="77777777" w:rsidTr="0046717C">
        <w:trPr>
          <w:trHeight w:val="340"/>
        </w:trPr>
        <w:tc>
          <w:tcPr>
            <w:tcW w:w="1205" w:type="dxa"/>
            <w:noWrap/>
            <w:hideMark/>
          </w:tcPr>
          <w:p w14:paraId="51C2B233" w14:textId="77777777" w:rsidR="00C74B3B" w:rsidRPr="001F0562" w:rsidRDefault="00C74B3B" w:rsidP="0046717C">
            <w:pPr>
              <w:rPr>
                <w:rFonts w:ascii="Times" w:hAnsi="Times" w:cs="Arial"/>
                <w:b/>
                <w:bCs/>
                <w:color w:val="000000" w:themeColor="text1"/>
                <w:sz w:val="18"/>
                <w:szCs w:val="18"/>
                <w:lang w:val="en-GB"/>
              </w:rPr>
            </w:pPr>
            <w:r w:rsidRPr="001F0562">
              <w:rPr>
                <w:rFonts w:ascii="Times" w:hAnsi="Times" w:cs="Arial"/>
                <w:b/>
                <w:bCs/>
                <w:color w:val="000000" w:themeColor="text1"/>
                <w:sz w:val="18"/>
                <w:szCs w:val="18"/>
                <w:lang w:val="en-GB"/>
              </w:rPr>
              <w:t>Study</w:t>
            </w:r>
          </w:p>
        </w:tc>
        <w:tc>
          <w:tcPr>
            <w:tcW w:w="2242" w:type="dxa"/>
            <w:noWrap/>
            <w:hideMark/>
          </w:tcPr>
          <w:p w14:paraId="353B26F2" w14:textId="77777777" w:rsidR="00C74B3B" w:rsidRPr="001F0562" w:rsidRDefault="00C74B3B" w:rsidP="0046717C">
            <w:pPr>
              <w:rPr>
                <w:rFonts w:ascii="Times" w:hAnsi="Times" w:cs="Arial"/>
                <w:b/>
                <w:bCs/>
                <w:color w:val="000000" w:themeColor="text1"/>
                <w:sz w:val="18"/>
                <w:szCs w:val="18"/>
                <w:lang w:val="en-GB"/>
              </w:rPr>
            </w:pPr>
            <w:r w:rsidRPr="001F0562">
              <w:rPr>
                <w:rFonts w:ascii="Times" w:hAnsi="Times" w:cs="Arial"/>
                <w:b/>
                <w:bCs/>
                <w:color w:val="000000" w:themeColor="text1"/>
                <w:sz w:val="18"/>
                <w:szCs w:val="18"/>
                <w:lang w:val="en-GB"/>
              </w:rPr>
              <w:t>PE definition or source of criteria</w:t>
            </w:r>
          </w:p>
        </w:tc>
        <w:tc>
          <w:tcPr>
            <w:tcW w:w="1935" w:type="dxa"/>
            <w:noWrap/>
            <w:hideMark/>
          </w:tcPr>
          <w:p w14:paraId="3951D247" w14:textId="77777777" w:rsidR="00C74B3B" w:rsidRPr="001F0562" w:rsidRDefault="00C74B3B" w:rsidP="0046717C">
            <w:pPr>
              <w:rPr>
                <w:rFonts w:ascii="Times" w:hAnsi="Times" w:cs="Arial"/>
                <w:b/>
                <w:bCs/>
                <w:color w:val="000000" w:themeColor="text1"/>
                <w:sz w:val="18"/>
                <w:szCs w:val="18"/>
                <w:lang w:val="en-GB"/>
              </w:rPr>
            </w:pPr>
            <w:r w:rsidRPr="001F0562">
              <w:rPr>
                <w:rFonts w:ascii="Times" w:hAnsi="Times" w:cs="Arial"/>
                <w:b/>
                <w:bCs/>
                <w:color w:val="000000" w:themeColor="text1"/>
                <w:sz w:val="18"/>
                <w:szCs w:val="18"/>
                <w:lang w:val="en-GB"/>
              </w:rPr>
              <w:t>PE assessment/</w:t>
            </w:r>
          </w:p>
          <w:p w14:paraId="12FCC8C2" w14:textId="77777777" w:rsidR="00C74B3B" w:rsidRPr="001F0562" w:rsidRDefault="00C74B3B" w:rsidP="0046717C">
            <w:pPr>
              <w:rPr>
                <w:rFonts w:ascii="Times" w:hAnsi="Times" w:cs="Arial"/>
                <w:b/>
                <w:bCs/>
                <w:color w:val="000000" w:themeColor="text1"/>
                <w:sz w:val="18"/>
                <w:szCs w:val="18"/>
                <w:lang w:val="en-GB"/>
              </w:rPr>
            </w:pPr>
            <w:r w:rsidRPr="001F0562">
              <w:rPr>
                <w:rFonts w:ascii="Times" w:hAnsi="Times" w:cs="Arial"/>
                <w:b/>
                <w:bCs/>
                <w:color w:val="000000" w:themeColor="text1"/>
                <w:sz w:val="18"/>
                <w:szCs w:val="18"/>
                <w:lang w:val="en-GB"/>
              </w:rPr>
              <w:t>database</w:t>
            </w:r>
          </w:p>
        </w:tc>
        <w:tc>
          <w:tcPr>
            <w:tcW w:w="1741" w:type="dxa"/>
            <w:noWrap/>
            <w:hideMark/>
          </w:tcPr>
          <w:p w14:paraId="06AE8196" w14:textId="0AFFBC30" w:rsidR="00C74B3B" w:rsidRPr="001F0562" w:rsidRDefault="00C74B3B" w:rsidP="0046717C">
            <w:pPr>
              <w:rPr>
                <w:rFonts w:ascii="Times" w:hAnsi="Times" w:cs="Arial"/>
                <w:b/>
                <w:bCs/>
                <w:color w:val="000000" w:themeColor="text1"/>
                <w:sz w:val="18"/>
                <w:szCs w:val="18"/>
                <w:lang w:val="en-GB"/>
              </w:rPr>
            </w:pPr>
            <w:r w:rsidRPr="001F0562">
              <w:rPr>
                <w:rFonts w:ascii="Times" w:hAnsi="Times" w:cs="Arial"/>
                <w:b/>
                <w:bCs/>
                <w:color w:val="000000" w:themeColor="text1"/>
                <w:sz w:val="18"/>
                <w:szCs w:val="18"/>
                <w:lang w:val="en-GB"/>
              </w:rPr>
              <w:t xml:space="preserve">CKD/ESKD </w:t>
            </w:r>
            <w:r w:rsidR="00646108" w:rsidRPr="001F0562">
              <w:rPr>
                <w:rFonts w:ascii="Times" w:hAnsi="Times" w:cs="Arial"/>
                <w:b/>
                <w:bCs/>
                <w:color w:val="000000" w:themeColor="text1"/>
                <w:sz w:val="18"/>
                <w:szCs w:val="18"/>
                <w:lang w:val="en-GB"/>
              </w:rPr>
              <w:t>d</w:t>
            </w:r>
            <w:r w:rsidRPr="001F0562">
              <w:rPr>
                <w:rFonts w:ascii="Times" w:hAnsi="Times" w:cs="Arial"/>
                <w:b/>
                <w:bCs/>
                <w:color w:val="000000" w:themeColor="text1"/>
                <w:sz w:val="18"/>
                <w:szCs w:val="18"/>
                <w:lang w:val="en-GB"/>
              </w:rPr>
              <w:t>efinition</w:t>
            </w:r>
          </w:p>
        </w:tc>
        <w:tc>
          <w:tcPr>
            <w:tcW w:w="2505" w:type="dxa"/>
            <w:noWrap/>
            <w:hideMark/>
          </w:tcPr>
          <w:p w14:paraId="6FAE196D" w14:textId="23282E8B" w:rsidR="00C74B3B" w:rsidRPr="001F0562" w:rsidRDefault="00C74B3B" w:rsidP="0046717C">
            <w:pPr>
              <w:rPr>
                <w:rFonts w:ascii="Times" w:hAnsi="Times" w:cs="Arial"/>
                <w:b/>
                <w:bCs/>
                <w:color w:val="000000" w:themeColor="text1"/>
                <w:sz w:val="18"/>
                <w:szCs w:val="18"/>
                <w:lang w:val="en-GB"/>
              </w:rPr>
            </w:pPr>
            <w:r w:rsidRPr="001F0562">
              <w:rPr>
                <w:rFonts w:ascii="Times" w:hAnsi="Times" w:cs="Arial"/>
                <w:b/>
                <w:bCs/>
                <w:color w:val="000000" w:themeColor="text1"/>
                <w:sz w:val="18"/>
                <w:szCs w:val="18"/>
                <w:lang w:val="en-GB"/>
              </w:rPr>
              <w:t>CKD/ESKD assessment/</w:t>
            </w:r>
            <w:r w:rsidR="00646108" w:rsidRPr="001F0562">
              <w:rPr>
                <w:rFonts w:ascii="Times" w:hAnsi="Times" w:cs="Arial"/>
                <w:b/>
                <w:bCs/>
                <w:color w:val="000000" w:themeColor="text1"/>
                <w:sz w:val="18"/>
                <w:szCs w:val="18"/>
                <w:lang w:val="en-GB"/>
              </w:rPr>
              <w:t xml:space="preserve"> </w:t>
            </w:r>
            <w:r w:rsidRPr="001F0562">
              <w:rPr>
                <w:rFonts w:ascii="Times" w:hAnsi="Times" w:cs="Arial"/>
                <w:b/>
                <w:bCs/>
                <w:color w:val="000000" w:themeColor="text1"/>
                <w:sz w:val="18"/>
                <w:szCs w:val="18"/>
                <w:lang w:val="en-GB"/>
              </w:rPr>
              <w:t>database</w:t>
            </w:r>
          </w:p>
        </w:tc>
      </w:tr>
      <w:tr w:rsidR="001F0562" w:rsidRPr="001F0562" w14:paraId="4BD13CD1" w14:textId="77777777" w:rsidTr="0046717C">
        <w:trPr>
          <w:trHeight w:val="320"/>
        </w:trPr>
        <w:tc>
          <w:tcPr>
            <w:tcW w:w="1205" w:type="dxa"/>
            <w:noWrap/>
            <w:hideMark/>
          </w:tcPr>
          <w:p w14:paraId="2DB21691" w14:textId="37475051"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 xml:space="preserve">Barrett </w:t>
            </w:r>
            <w:r w:rsidRPr="001F0562">
              <w:rPr>
                <w:rFonts w:ascii="Times" w:hAnsi="Times" w:cs="Arial"/>
                <w:color w:val="000000" w:themeColor="text1"/>
                <w:sz w:val="18"/>
                <w:szCs w:val="18"/>
                <w:lang w:val="en-GB"/>
              </w:rPr>
              <w:fldChar w:fldCharType="begin"/>
            </w:r>
            <w:r w:rsidRPr="001F0562">
              <w:rPr>
                <w:rFonts w:ascii="Times" w:hAnsi="Times" w:cs="Arial"/>
                <w:color w:val="000000" w:themeColor="text1"/>
                <w:sz w:val="18"/>
                <w:szCs w:val="18"/>
                <w:lang w:val="en-GB"/>
              </w:rPr>
              <w:instrText xml:space="preserve"> ADDIN ZOTERO_ITEM CSL_CITATION {"citationID":"wQbFKjgG","properties":{"formattedCitation":"[27]","plainCitation":"[27]","noteIndex":0},"citationItems":[{"id":40,"uris":["http://zotero.org/users/local/0aHQVswh/items/78DAMF9Q"],"itemData":{"id":40,"type":"article-journal","abstract":"BACKGROUND: Hypertensive disorders of pregnancy (HDP) (preeclampsia, gestational hypertension) are associated with an increased risk of end-stage kidney disease (ESKD). Evidence for associations between HDP and chronic kidney disease (CKD) is more limited and inconsistent. The underlying causes of CKD are wide-ranging, and HDP may have differential associations with various aetiologies of CKD. We aimed to measure associations between HDP and maternal CKD in women who have had at least one live birth and to identify whether the risk differs by CKD aetiology.\nMETHODS AND FINDINGS: Using data from the Swedish Medical Birth Register (MBR), singleton live births from 1973 to 2012 were identified and linked to data from the Swedish Renal Register (SRR) and National Patient Register (NPR; up to 2013). Preeclampsia was the main exposure of interest and was treated as a time-dependent variable. Gestational hypertension was also investigated as a secondary exposure. The primary outcome was maternal CKD, and this was classified into 5 subtypes: hypertensive, diabetic, glomerular/proteinuric, tubulointerstitial, and other/nonspecific CKD. Cox proportional hazard regression models were used, adjusting for maternal age, country of origin, education level, antenatal BMI, smoking during pregnancy, gestational diabetes, and parity. Women with pre-pregnancy comorbidities were excluded. The final sample consisted of 1,924,409 women who had 3,726,554 singleton live births. The mean (±SD) age of women at first delivery was 27.0 (±5.1) years. Median follow-up was 20.7 (interquartile range [IQR] 9.9-30.0) years. A total of 90,917 women (4.7%) were diagnosed with preeclampsia, 43,964 (2.3%) had gestational hypertension, and 18,477 (0.9%) developed CKD. Preeclampsia was associated with a higher risk of developing CKD during follow-up (adjusted hazard ratio [aHR] 1.92, 95% CI 1.83-2.03, p &lt; 0.001). This risk differed by CKD subtype and was higher for hypertensive CKD (aHR 3.72, 95% CI 3.05-4.53, p &lt; 0.001), diabetic CKD (aHR 3.94, 95% CI 3.38-4.60, p &lt; 0.001), and glomerular/proteinuric CKD (aHR 2.06, 95% CI 1.88-2.26, p &lt; 0.001). More modest associations were observed between preeclampsia and tubulointerstitial CKD (aHR 1.44, 95% CI 1.24-1.68, p &lt; 0.001) or other/nonspecific CKD (aHR 1.51, 95% CI 1.38-1.65, p &lt; 0.001). The risk of CKD was increased after preterm preeclampsia, recurrent preeclampsia, or preeclampsia complicated by pre-pregnancy obesity. Women who had gestational hypertension also had increased risk of developing CKD (aHR 1.49, 95% CI 1.38-1.61, p &lt; 0.001). This association was strongest for hypertensive CKD (aHR 3.13, 95% CI 2.47-3.97, p &lt; 0.001). Limitations of the study are the possibility that cases of CKD were underdiagnosed in the national registers, and some women may have been too young to have developed symptomatic CKD despite the long follow-up time. Underreporting of postpartum hypertension is also possible.\nCONCLUSIONS: In this study, we found that HDP are associated with increased risk of maternal CKD, particularly hypertensive or diabetic forms of CKD. The risk is higher after preterm preeclampsia, recurrent preeclampsia, or preeclampsia complicated by pre-pregnancy obesity. Women who experience HDP may benefit from future systematic renal monitoring.","container-title":"PLoS medicine","DOI":"10.1371/journal.pmed.1003255","ISSN":"1549-1676","issue":"8","journalAbbreviation":"PLoS Med","language":"eng","note":"PMID: 32797043\nPMCID: PMC7428061","page":"e1003255","source":"PubMed","title":"Hypertensive disorders of pregnancy and the risk of chronic kidney disease: A Swedish registry-based cohort study","title-short":"Hypertensive disorders of pregnancy and the risk of chronic kidney disease","volume":"17","author":[{"family":"Barrett","given":"Peter M."},{"family":"McCarthy","given":"Fergus P."},{"family":"Evans","given":"Marie"},{"family":"Kublickas","given":"Marius"},{"family":"Perry","given":"Ivan J."},{"family":"Stenvinkel","given":"Peter"},{"family":"Khashan","given":"Ali S."},{"family":"Kublickiene","given":"Karolina"}],"issued":{"date-parts":[["2020",8]]}}}],"schema":"https://github.com/citation-style-language/schema/raw/master/csl-citation.json"} </w:instrText>
            </w:r>
            <w:r w:rsidRPr="001F0562">
              <w:rPr>
                <w:rFonts w:ascii="Times" w:hAnsi="Times" w:cs="Arial"/>
                <w:color w:val="000000" w:themeColor="text1"/>
                <w:sz w:val="18"/>
                <w:szCs w:val="18"/>
                <w:lang w:val="en-GB"/>
              </w:rPr>
              <w:fldChar w:fldCharType="separate"/>
            </w:r>
            <w:r w:rsidRPr="001F0562">
              <w:rPr>
                <w:rFonts w:ascii="Times" w:hAnsi="Times" w:cs="Arial"/>
                <w:noProof/>
                <w:color w:val="000000" w:themeColor="text1"/>
                <w:sz w:val="18"/>
                <w:szCs w:val="18"/>
                <w:lang w:val="en-GB"/>
              </w:rPr>
              <w:t>[</w:t>
            </w:r>
            <w:r w:rsidR="00F603BA" w:rsidRPr="001F0562">
              <w:rPr>
                <w:rFonts w:ascii="Times" w:hAnsi="Times" w:cs="Arial"/>
                <w:noProof/>
                <w:color w:val="000000" w:themeColor="text1"/>
                <w:sz w:val="18"/>
                <w:szCs w:val="18"/>
                <w:lang w:val="en-GB"/>
              </w:rPr>
              <w:t>1</w:t>
            </w:r>
            <w:r w:rsidRPr="001F0562">
              <w:rPr>
                <w:rFonts w:ascii="Times" w:hAnsi="Times" w:cs="Arial"/>
                <w:noProof/>
                <w:color w:val="000000" w:themeColor="text1"/>
                <w:sz w:val="18"/>
                <w:szCs w:val="18"/>
                <w:lang w:val="en-GB"/>
              </w:rPr>
              <w:t>7]</w:t>
            </w:r>
            <w:r w:rsidRPr="001F0562">
              <w:rPr>
                <w:rFonts w:ascii="Times" w:hAnsi="Times" w:cs="Arial"/>
                <w:color w:val="000000" w:themeColor="text1"/>
                <w:sz w:val="18"/>
                <w:szCs w:val="18"/>
                <w:lang w:val="en-GB"/>
              </w:rPr>
              <w:fldChar w:fldCharType="end"/>
            </w:r>
          </w:p>
        </w:tc>
        <w:tc>
          <w:tcPr>
            <w:tcW w:w="2242" w:type="dxa"/>
            <w:noWrap/>
            <w:hideMark/>
          </w:tcPr>
          <w:p w14:paraId="24188973"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ICD-8, 9 and 10 Criteria</w:t>
            </w:r>
          </w:p>
        </w:tc>
        <w:tc>
          <w:tcPr>
            <w:tcW w:w="1935" w:type="dxa"/>
            <w:noWrap/>
            <w:hideMark/>
          </w:tcPr>
          <w:p w14:paraId="5C5DD346"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Swedish Medical Birth Register and Swedish National Patient Register</w:t>
            </w:r>
          </w:p>
        </w:tc>
        <w:tc>
          <w:tcPr>
            <w:tcW w:w="1741" w:type="dxa"/>
            <w:noWrap/>
            <w:hideMark/>
          </w:tcPr>
          <w:p w14:paraId="167EFDBF"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ICD-8, 9 and 10 Criteria</w:t>
            </w:r>
          </w:p>
        </w:tc>
        <w:tc>
          <w:tcPr>
            <w:tcW w:w="2505" w:type="dxa"/>
            <w:noWrap/>
            <w:hideMark/>
          </w:tcPr>
          <w:p w14:paraId="20D94FA5"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Swedish Renal Register and National Patient Register</w:t>
            </w:r>
          </w:p>
        </w:tc>
      </w:tr>
      <w:tr w:rsidR="001F0562" w:rsidRPr="001F0562" w14:paraId="50E59D3C" w14:textId="77777777" w:rsidTr="0046717C">
        <w:trPr>
          <w:trHeight w:val="320"/>
        </w:trPr>
        <w:tc>
          <w:tcPr>
            <w:tcW w:w="1205" w:type="dxa"/>
            <w:noWrap/>
            <w:hideMark/>
          </w:tcPr>
          <w:p w14:paraId="3516E988" w14:textId="187884EE"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 xml:space="preserve">Behboudi-Gandevani </w:t>
            </w:r>
            <w:r w:rsidRPr="001F0562">
              <w:rPr>
                <w:rFonts w:ascii="Times" w:hAnsi="Times" w:cs="Arial"/>
                <w:color w:val="000000" w:themeColor="text1"/>
                <w:sz w:val="18"/>
                <w:szCs w:val="18"/>
                <w:lang w:val="en-GB"/>
              </w:rPr>
              <w:fldChar w:fldCharType="begin"/>
            </w:r>
            <w:r w:rsidRPr="001F0562">
              <w:rPr>
                <w:rFonts w:ascii="Times" w:hAnsi="Times" w:cs="Arial"/>
                <w:color w:val="000000" w:themeColor="text1"/>
                <w:sz w:val="18"/>
                <w:szCs w:val="18"/>
                <w:lang w:val="en-GB"/>
              </w:rPr>
              <w:instrText xml:space="preserve"> ADDIN ZOTERO_ITEM CSL_CITATION {"citationID":"bEQ2ujgL","properties":{"formattedCitation":"[19]","plainCitation":"[19]","noteIndex":0},"citationItems":[{"id":43,"uris":["http://zotero.org/users/local/0aHQVswh/items/THZE2Q23"],"itemData":{"id":43,"type":"article-journal","abstract":"BACKGROUND: Although preeclampsia (PE), as an endothelial disorder can lead to renal dysfunction during pregnancy, results of studies focusing on the potential long-term potential effects of PE on renal function are insufficient and those available are controversial. This study investigated the incidence rate and risk of chronic kidney disease (CKD) among women with prior history of PE compared with healthy controls in a long-term population-based study.\nMETHODS: This was a prospective population-based cohort study. Subjects were 1,851 eligible women, aged 20-50 years, with at least 1 pregnancy (177 women with prior-PE and 1,674 non-PE controls) selected from among the Tehran-Lipid and Glucose-Study-participants. A pooled-logistic-regression-model and Cox's-proportional-hazards-models were utilized to estimate the risk of CKD in women of both PE and without PE groups, after further adjustment for confounders.\nRESULTS: Median and interquartile ranges for follow-up durations of the PE and non-PE groups were 7.78 (5.19-10.40) and 7.32 (4.73-11.00) years, respectively. Total cumulative incidence rates of CKD at the median follow-up time of each group were 35/100,000 (95% CI 25/100,000-50/100,000) and 36/100,000 (95% CI 32/100,000-39/100,000) in PE and non-PE women, respectively (p value = 0.90). Based on pooled-logistic-regression-analysis, OR of CKD progression (adjusted for age, body mass index [BMI], systolic blood pressure [SBP], and diastolic blood pressure [DBP]) for the PE group did not differ, compared to their non-PE counterparts (OR 1.04; p value = 0.80; 95% CI 0.77-1.40). Compared to non-PE women, women with prior PE did not have higher hazard ratios (HRs) of developing CKD in the unadjusted model (unadjusted HR 1.1, 95% CI 0.83-1.69, p = 0.35), results which remained unchanged after adjustment for age, BMI, baseline SBP, and DBP.\nCONCLUSION: PE was not found to be a risk factor for CKD. More studies using a prospective cohort design with long-term follow-ups are needed to investigate the relationship between preeclamsia and CKD.","container-title":"Cardiorenal Medicine","DOI":"10.1159/000506469","ISSN":"1664-5502","issue":"3","journalAbbreviation":"Cardiorenal Med","language":"eng","note":"PMID: 32299082","page":"188-197","source":"PubMed","title":"Preeclampsia and the Ten-Year Risk of Incident Chronic Kidney Disease","volume":"10","author":[{"family":"Behboudi-Gandevani","given":"Samira"},{"family":"Amiri","given":"Mina"},{"family":"Rahmati","given":"Maryam"},{"family":"Amanollahi Soudmand","given":"Saber"},{"family":"Azizi","given":"Fereidoun"},{"family":"Ramezani Tehrani","given":"Fahimeh"}],"issued":{"date-parts":[["2020"]]}}}],"schema":"https://github.com/citation-style-language/schema/raw/master/csl-citation.json"} </w:instrText>
            </w:r>
            <w:r w:rsidRPr="001F0562">
              <w:rPr>
                <w:rFonts w:ascii="Times" w:hAnsi="Times" w:cs="Arial"/>
                <w:color w:val="000000" w:themeColor="text1"/>
                <w:sz w:val="18"/>
                <w:szCs w:val="18"/>
                <w:lang w:val="en-GB"/>
              </w:rPr>
              <w:fldChar w:fldCharType="separate"/>
            </w:r>
            <w:r w:rsidRPr="001F0562">
              <w:rPr>
                <w:rFonts w:ascii="Times" w:hAnsi="Times" w:cs="Arial"/>
                <w:noProof/>
                <w:color w:val="000000" w:themeColor="text1"/>
                <w:sz w:val="18"/>
                <w:szCs w:val="18"/>
                <w:lang w:val="en-GB"/>
              </w:rPr>
              <w:t>[9]</w:t>
            </w:r>
            <w:r w:rsidRPr="001F0562">
              <w:rPr>
                <w:rFonts w:ascii="Times" w:hAnsi="Times" w:cs="Arial"/>
                <w:color w:val="000000" w:themeColor="text1"/>
                <w:sz w:val="18"/>
                <w:szCs w:val="18"/>
                <w:lang w:val="en-GB"/>
              </w:rPr>
              <w:fldChar w:fldCharType="end"/>
            </w:r>
            <w:r w:rsidRPr="001F0562">
              <w:rPr>
                <w:rFonts w:ascii="Times" w:hAnsi="Times" w:cs="Arial"/>
                <w:color w:val="000000" w:themeColor="text1"/>
                <w:sz w:val="18"/>
                <w:szCs w:val="18"/>
                <w:lang w:val="en-GB"/>
              </w:rPr>
              <w:t xml:space="preserve"> </w:t>
            </w:r>
          </w:p>
        </w:tc>
        <w:tc>
          <w:tcPr>
            <w:tcW w:w="2242" w:type="dxa"/>
            <w:noWrap/>
            <w:hideMark/>
          </w:tcPr>
          <w:p w14:paraId="4B09C472"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validated self-reporting questionnaire</w:t>
            </w:r>
            <w:r w:rsidRPr="001F0562">
              <w:rPr>
                <w:rStyle w:val="FootnoteReference"/>
                <w:rFonts w:ascii="Times" w:hAnsi="Times"/>
                <w:color w:val="000000" w:themeColor="text1"/>
              </w:rPr>
              <w:footnoteReference w:id="1"/>
            </w:r>
          </w:p>
        </w:tc>
        <w:tc>
          <w:tcPr>
            <w:tcW w:w="1935" w:type="dxa"/>
            <w:noWrap/>
            <w:hideMark/>
          </w:tcPr>
          <w:p w14:paraId="50C2328A"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validated self-reporting questionnaire</w:t>
            </w:r>
          </w:p>
        </w:tc>
        <w:tc>
          <w:tcPr>
            <w:tcW w:w="1741" w:type="dxa"/>
            <w:noWrap/>
            <w:hideMark/>
          </w:tcPr>
          <w:p w14:paraId="4519ABE7" w14:textId="56212B89"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CKD defined as GFR (eGFR) &lt; 60 mL/min/1.73m</w:t>
            </w:r>
            <w:r w:rsidRPr="001F0562">
              <w:rPr>
                <w:rFonts w:ascii="Times" w:hAnsi="Times" w:cs="Arial"/>
                <w:color w:val="000000" w:themeColor="text1"/>
                <w:sz w:val="18"/>
                <w:szCs w:val="18"/>
                <w:vertAlign w:val="superscript"/>
                <w:lang w:val="en-GB"/>
              </w:rPr>
              <w:t>2</w:t>
            </w:r>
            <w:r w:rsidRPr="001F0562">
              <w:rPr>
                <w:rFonts w:ascii="Times" w:hAnsi="Times" w:cs="Arial"/>
                <w:color w:val="000000" w:themeColor="text1"/>
                <w:sz w:val="18"/>
                <w:szCs w:val="18"/>
                <w:lang w:val="en-GB"/>
              </w:rPr>
              <w:t xml:space="preserve"> </w:t>
            </w:r>
          </w:p>
        </w:tc>
        <w:tc>
          <w:tcPr>
            <w:tcW w:w="2505" w:type="dxa"/>
            <w:noWrap/>
            <w:hideMark/>
          </w:tcPr>
          <w:p w14:paraId="04E4999C"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Teheran lipid and glucose study</w:t>
            </w:r>
          </w:p>
        </w:tc>
      </w:tr>
      <w:tr w:rsidR="001F0562" w:rsidRPr="001F0562" w14:paraId="628A1465" w14:textId="77777777" w:rsidTr="0046717C">
        <w:trPr>
          <w:trHeight w:val="320"/>
        </w:trPr>
        <w:tc>
          <w:tcPr>
            <w:tcW w:w="1205" w:type="dxa"/>
            <w:noWrap/>
            <w:hideMark/>
          </w:tcPr>
          <w:p w14:paraId="13CDDD0B" w14:textId="56F1A6DB"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 xml:space="preserve">Kristensen </w:t>
            </w:r>
            <w:r w:rsidRPr="001F0562">
              <w:rPr>
                <w:rFonts w:ascii="Times" w:hAnsi="Times" w:cs="Arial"/>
                <w:color w:val="000000" w:themeColor="text1"/>
                <w:sz w:val="18"/>
                <w:szCs w:val="18"/>
                <w:lang w:val="en-GB"/>
              </w:rPr>
              <w:fldChar w:fldCharType="begin"/>
            </w:r>
            <w:r w:rsidRPr="001F0562">
              <w:rPr>
                <w:rFonts w:ascii="Times" w:hAnsi="Times" w:cs="Arial"/>
                <w:color w:val="000000" w:themeColor="text1"/>
                <w:sz w:val="18"/>
                <w:szCs w:val="18"/>
                <w:lang w:val="en-GB"/>
              </w:rPr>
              <w:instrText xml:space="preserve"> ADDIN ZOTERO_ITEM CSL_CITATION {"citationID":"FSMu7DPS","properties":{"formattedCitation":"[28]","plainCitation":"[28]","noteIndex":0},"citationItems":[{"id":45,"uris":["http://zotero.org/users/local/0aHQVswh/items/FKH6X4I9"],"itemData":{"id":45,"type":"article-journal","abstract":"OBJECTIVE: To investigate associations between pre-eclampsia and later risk of kidney disease.\nDESIGN: Nationwide register based cohort study.\nSETTING: Denmark.\nPOPULATION: All women with at least one pregnancy lasting at least 20 weeks between 1978 and 2015.\nMAIN OUTCOME MEASURE: Hazard ratios comparing rates of kidney disease between women with and without a history of pre-eclampsia, stratified by gestational age at delivery and estimated using Cox regression.\nRESULTS: The cohort consisted of 1</w:instrText>
            </w:r>
            <w:r w:rsidRPr="001F0562">
              <w:rPr>
                <w:color w:val="000000" w:themeColor="text1"/>
                <w:sz w:val="18"/>
                <w:szCs w:val="18"/>
                <w:lang w:val="en-GB"/>
              </w:rPr>
              <w:instrText> </w:instrText>
            </w:r>
            <w:r w:rsidRPr="001F0562">
              <w:rPr>
                <w:rFonts w:ascii="Times" w:hAnsi="Times" w:cs="Arial"/>
                <w:color w:val="000000" w:themeColor="text1"/>
                <w:sz w:val="18"/>
                <w:szCs w:val="18"/>
                <w:lang w:val="en-GB"/>
              </w:rPr>
              <w:instrText>072</w:instrText>
            </w:r>
            <w:r w:rsidRPr="001F0562">
              <w:rPr>
                <w:color w:val="000000" w:themeColor="text1"/>
                <w:sz w:val="18"/>
                <w:szCs w:val="18"/>
                <w:lang w:val="en-GB"/>
              </w:rPr>
              <w:instrText> </w:instrText>
            </w:r>
            <w:r w:rsidRPr="001F0562">
              <w:rPr>
                <w:rFonts w:ascii="Times" w:hAnsi="Times" w:cs="Arial"/>
                <w:color w:val="000000" w:themeColor="text1"/>
                <w:sz w:val="18"/>
                <w:szCs w:val="18"/>
                <w:lang w:val="en-GB"/>
              </w:rPr>
              <w:instrText>330 women followed for 19</w:instrText>
            </w:r>
            <w:r w:rsidRPr="001F0562">
              <w:rPr>
                <w:color w:val="000000" w:themeColor="text1"/>
                <w:sz w:val="18"/>
                <w:szCs w:val="18"/>
                <w:lang w:val="en-GB"/>
              </w:rPr>
              <w:instrText> </w:instrText>
            </w:r>
            <w:r w:rsidRPr="001F0562">
              <w:rPr>
                <w:rFonts w:ascii="Times" w:hAnsi="Times" w:cs="Arial"/>
                <w:color w:val="000000" w:themeColor="text1"/>
                <w:sz w:val="18"/>
                <w:szCs w:val="18"/>
                <w:lang w:val="en-GB"/>
              </w:rPr>
              <w:instrText>994</w:instrText>
            </w:r>
            <w:r w:rsidRPr="001F0562">
              <w:rPr>
                <w:color w:val="000000" w:themeColor="text1"/>
                <w:sz w:val="18"/>
                <w:szCs w:val="18"/>
                <w:lang w:val="en-GB"/>
              </w:rPr>
              <w:instrText> </w:instrText>
            </w:r>
            <w:r w:rsidRPr="001F0562">
              <w:rPr>
                <w:rFonts w:ascii="Times" w:hAnsi="Times" w:cs="Arial"/>
                <w:color w:val="000000" w:themeColor="text1"/>
                <w:sz w:val="18"/>
                <w:szCs w:val="18"/>
                <w:lang w:val="en-GB"/>
              </w:rPr>
              <w:instrText xml:space="preserve">470 person years (average 18.6 years/woman). Compared with women with no previous pre-eclampsia, those with a history of pre-eclampsia were more likely to develop chronic renal conditions: hazard ratio 3.93 (95% confidence interval 2.90 to 5.33, for early preterm pre-eclampsia (delivery &lt;34 weeks); 2.81 (2.13 to 3.71) for late preterm pre-eclampsia (delivery 34-36 weeks); 2.27 (2.02 to 2.55) for term pre-eclampsia (delivery ≥37 weeks). In particular, strong associations were observed for chronic kidney disease, hypertensive kidney disease, and glomerular/proteinuric disease. Adjustment for cardiovascular disease and hypertension only partially attenuated the observed associations. Stratifying the analyses on time since pregnancy showed that associations between pre-eclampsia and chronic kidney disease and glomerular/proteinuric disease were much stronger within five years of the latest pregnancy (hazard ratio 6.11 (3.84 to 9.72) and 4.77 (3.88 to 5.86), respectively) than five years or longer after the latest pregnancy (2.06 (1.69 to 2.50) and 1.50 (1.19 to 1.88). By contrast, associations between pre-eclampsia and acute renal conditions were modest.\nCONCLUSION: s Pre-eclampsia, particularly early preterm pre-eclampsia, was strongly associated with several chronic renal disorders later in life. More research is needed to determine which women are most likely to develop kidney disease after pre-eclampsia, what mechanisms underlie the association, and what clinical follow-up and interventions (and in what timeframe post-pregnancy) would be most appropriate and effective.","container-title":"BMJ (Clinical research ed.)","DOI":"10.1136/bmj.l1516","ISSN":"1756-1833","journalAbbreviation":"BMJ","language":"eng","note":"PMID: 31036557\nPMCID: PMC6487675","page":"l1516","source":"PubMed","title":"Pre-eclampsia and risk of later kidney disease: nationwide cohort study","title-short":"Pre-eclampsia and risk of later kidney disease","volume":"365","author":[{"family":"Kristensen","given":"Jonas H."},{"family":"Basit","given":"Saima"},{"family":"Wohlfahrt","given":"Jan"},{"family":"Damholt","given":"Mette Brimnes"},{"family":"Boyd","given":"Heather A."}],"issued":{"date-parts":[["2019",4,29]]}}}],"schema":"https://github.com/citation-style-language/schema/raw/master/csl-citation.json"} </w:instrText>
            </w:r>
            <w:r w:rsidRPr="001F0562">
              <w:rPr>
                <w:rFonts w:ascii="Times" w:hAnsi="Times" w:cs="Arial"/>
                <w:color w:val="000000" w:themeColor="text1"/>
                <w:sz w:val="18"/>
                <w:szCs w:val="18"/>
                <w:lang w:val="en-GB"/>
              </w:rPr>
              <w:fldChar w:fldCharType="separate"/>
            </w:r>
            <w:r w:rsidRPr="001F0562">
              <w:rPr>
                <w:rFonts w:ascii="Times" w:hAnsi="Times" w:cs="Arial"/>
                <w:noProof/>
                <w:color w:val="000000" w:themeColor="text1"/>
                <w:sz w:val="18"/>
                <w:szCs w:val="18"/>
                <w:lang w:val="en-GB"/>
              </w:rPr>
              <w:t>[</w:t>
            </w:r>
            <w:r w:rsidR="00F603BA" w:rsidRPr="001F0562">
              <w:rPr>
                <w:rFonts w:ascii="Times" w:hAnsi="Times" w:cs="Arial"/>
                <w:noProof/>
                <w:color w:val="000000" w:themeColor="text1"/>
                <w:sz w:val="18"/>
                <w:szCs w:val="18"/>
                <w:lang w:val="en-GB"/>
              </w:rPr>
              <w:t>1</w:t>
            </w:r>
            <w:r w:rsidRPr="001F0562">
              <w:rPr>
                <w:rFonts w:ascii="Times" w:hAnsi="Times" w:cs="Arial"/>
                <w:noProof/>
                <w:color w:val="000000" w:themeColor="text1"/>
                <w:sz w:val="18"/>
                <w:szCs w:val="18"/>
                <w:lang w:val="en-GB"/>
              </w:rPr>
              <w:t>8]</w:t>
            </w:r>
            <w:r w:rsidRPr="001F0562">
              <w:rPr>
                <w:rFonts w:ascii="Times" w:hAnsi="Times" w:cs="Arial"/>
                <w:color w:val="000000" w:themeColor="text1"/>
                <w:sz w:val="18"/>
                <w:szCs w:val="18"/>
                <w:lang w:val="en-GB"/>
              </w:rPr>
              <w:fldChar w:fldCharType="end"/>
            </w:r>
          </w:p>
        </w:tc>
        <w:tc>
          <w:tcPr>
            <w:tcW w:w="2242" w:type="dxa"/>
            <w:noWrap/>
            <w:hideMark/>
          </w:tcPr>
          <w:p w14:paraId="5BA5A518"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ICD-8 and 10 Criteria</w:t>
            </w:r>
          </w:p>
        </w:tc>
        <w:tc>
          <w:tcPr>
            <w:tcW w:w="1935" w:type="dxa"/>
            <w:noWrap/>
            <w:hideMark/>
          </w:tcPr>
          <w:p w14:paraId="7CBB6919"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Medical Birth and National Patient Register of Denmark</w:t>
            </w:r>
          </w:p>
        </w:tc>
        <w:tc>
          <w:tcPr>
            <w:tcW w:w="1741" w:type="dxa"/>
            <w:noWrap/>
            <w:hideMark/>
          </w:tcPr>
          <w:p w14:paraId="3CBBED0D"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ICD-8 and 10 Criteria</w:t>
            </w:r>
          </w:p>
        </w:tc>
        <w:tc>
          <w:tcPr>
            <w:tcW w:w="2505" w:type="dxa"/>
            <w:noWrap/>
            <w:hideMark/>
          </w:tcPr>
          <w:p w14:paraId="1081E710"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National Patient Register or the Causes of Death Register of Denmark</w:t>
            </w:r>
          </w:p>
        </w:tc>
      </w:tr>
      <w:tr w:rsidR="001F0562" w:rsidRPr="001F0562" w14:paraId="7FA8F4AD" w14:textId="77777777" w:rsidTr="0046717C">
        <w:trPr>
          <w:trHeight w:val="320"/>
        </w:trPr>
        <w:tc>
          <w:tcPr>
            <w:tcW w:w="1205" w:type="dxa"/>
            <w:noWrap/>
            <w:hideMark/>
          </w:tcPr>
          <w:p w14:paraId="663D60BF" w14:textId="4A66ACCF"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 xml:space="preserve">Ayansina </w:t>
            </w:r>
            <w:r w:rsidRPr="001F0562">
              <w:rPr>
                <w:rFonts w:ascii="Times" w:hAnsi="Times" w:cs="Arial"/>
                <w:color w:val="000000" w:themeColor="text1"/>
                <w:sz w:val="18"/>
                <w:szCs w:val="18"/>
                <w:lang w:val="en-GB"/>
              </w:rPr>
              <w:fldChar w:fldCharType="begin"/>
            </w:r>
            <w:r w:rsidRPr="001F0562">
              <w:rPr>
                <w:rFonts w:ascii="Times" w:hAnsi="Times" w:cs="Arial"/>
                <w:color w:val="000000" w:themeColor="text1"/>
                <w:sz w:val="18"/>
                <w:szCs w:val="18"/>
                <w:lang w:val="en-GB"/>
              </w:rPr>
              <w:instrText xml:space="preserve"> ADDIN ZOTERO_ITEM CSL_CITATION {"citationID":"cJPF1X99","properties":{"formattedCitation":"[26]","plainCitation":"[26]","noteIndex":0},"citationItems":[{"id":48,"uris":["http://zotero.org/users/local/0aHQVswh/items/R8LTZGUS"],"itemData":{"id":48,"type":"article-journal","abstract":"OBJECTIVE: To assess the long term effects of hypertensive disorders of pregnancy on renal function.\nDESIGN: Cohort study where exposure was gestational hypertension or preeclampsia in the first pregnancy. Normotensive women formed the comparison group.\nSETTING: Aberdeen, Scotland.\nPARTICIPANTS: All women with date of birth on or before 30th June 1969 and at least their first singleton delivery recorded in the Aberdeen Maternity and Neonatal Databank.\nMETHODS: Participants were linked to the Renal Biochemistry Register, Scottish Morbidity Records, Scottish Renal Registry and National Register for deaths.\nMAIN OUTCOME MEASURES: Occurrence of chronic kidney disease (CKD) as identified from renal function tests in later life, hospital admissions or death from kidney disease or recorded as receiving renal replacement therapy.\nRESULTS: CKD was diagnosed in 7.5% and 5.2% of women who previously had GH and PE respectively compared to 3.9% in normotensive women. The unadjusted odds ratio (95% confidence interval) of having CKD in PE was 2.04 (1.53, 2.71) and that for GH was 1.37 (1.15, 1.65), while the adjusted odds ratio (95% confidence interval) of CKD was 1.93 (1.44, 2.57) and 1.36 (1.13, 1.63) in women with PE and GH respectively. Kaplan-Meier curves of survival time to development of chronic kidney disease revealed that women with preeclampsia were susceptible to kidney function impairment earliest, followed by those with gestational hypertension.\nCONCLUSIONS: There was an increased subsequent risk of CKD associated with hypertensive disorders of pregnancy. Women with GH and PE were also found to have CKD earlier than normotensive women.","container-title":"Pregnancy Hypertension","DOI":"10.1016/j.preghy.2016.08.231","ISSN":"2210-7797","issue":"4","journalAbbreviation":"Pregnancy Hypertens","language":"eng","note":"PMID: 27939480\nPMCID: PMC5161246","page":"344-349","source":"PubMed","title":"Long term effects of gestational hypertension and pre-eclampsia on kidney function: Record linkage study","title-short":"Long term effects of gestational hypertension and pre-eclampsia on kidney function","volume":"6","author":[{"family":"Ayansina","given":"D."},{"family":"Black","given":"C."},{"family":"Hall","given":"S. J."},{"family":"Marks","given":"A."},{"family":"Millar","given":"C."},{"family":"Prescott","given":"G. J."},{"family":"Wilde","given":"K."},{"family":"Bhattacharya","given":"S."}],"issued":{"date-parts":[["2016",10]]}}}],"schema":"https://github.com/citation-style-language/schema/raw/master/csl-citation.json"} </w:instrText>
            </w:r>
            <w:r w:rsidRPr="001F0562">
              <w:rPr>
                <w:rFonts w:ascii="Times" w:hAnsi="Times" w:cs="Arial"/>
                <w:color w:val="000000" w:themeColor="text1"/>
                <w:sz w:val="18"/>
                <w:szCs w:val="18"/>
                <w:lang w:val="en-GB"/>
              </w:rPr>
              <w:fldChar w:fldCharType="separate"/>
            </w:r>
            <w:r w:rsidRPr="001F0562">
              <w:rPr>
                <w:rFonts w:ascii="Times" w:hAnsi="Times" w:cs="Arial"/>
                <w:noProof/>
                <w:color w:val="000000" w:themeColor="text1"/>
                <w:sz w:val="18"/>
                <w:szCs w:val="18"/>
                <w:lang w:val="en-GB"/>
              </w:rPr>
              <w:t>[</w:t>
            </w:r>
            <w:r w:rsidR="00F603BA" w:rsidRPr="001F0562">
              <w:rPr>
                <w:rFonts w:ascii="Times" w:hAnsi="Times" w:cs="Arial"/>
                <w:noProof/>
                <w:color w:val="000000" w:themeColor="text1"/>
                <w:sz w:val="18"/>
                <w:szCs w:val="18"/>
                <w:lang w:val="en-GB"/>
              </w:rPr>
              <w:t>1</w:t>
            </w:r>
            <w:r w:rsidRPr="001F0562">
              <w:rPr>
                <w:rFonts w:ascii="Times" w:hAnsi="Times" w:cs="Arial"/>
                <w:noProof/>
                <w:color w:val="000000" w:themeColor="text1"/>
                <w:sz w:val="18"/>
                <w:szCs w:val="18"/>
                <w:lang w:val="en-GB"/>
              </w:rPr>
              <w:t>6]</w:t>
            </w:r>
            <w:r w:rsidRPr="001F0562">
              <w:rPr>
                <w:rFonts w:ascii="Times" w:hAnsi="Times" w:cs="Arial"/>
                <w:color w:val="000000" w:themeColor="text1"/>
                <w:sz w:val="18"/>
                <w:szCs w:val="18"/>
                <w:lang w:val="en-GB"/>
              </w:rPr>
              <w:fldChar w:fldCharType="end"/>
            </w:r>
          </w:p>
        </w:tc>
        <w:tc>
          <w:tcPr>
            <w:tcW w:w="2242" w:type="dxa"/>
            <w:noWrap/>
            <w:hideMark/>
          </w:tcPr>
          <w:p w14:paraId="5BB57B77" w14:textId="7CD8DA0A"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The classification and definition of the hypertensive disorders of pregnancy (Davey and MacGillivray), 1988</w:t>
            </w:r>
            <w:r w:rsidR="004461C2" w:rsidRPr="001F0562">
              <w:rPr>
                <w:rStyle w:val="FootnoteReference"/>
                <w:rFonts w:ascii="Times" w:hAnsi="Times" w:cs="Arial"/>
                <w:color w:val="000000" w:themeColor="text1"/>
                <w:sz w:val="18"/>
                <w:szCs w:val="18"/>
                <w:lang w:val="en-GB"/>
              </w:rPr>
              <w:footnoteReference w:id="2"/>
            </w:r>
          </w:p>
        </w:tc>
        <w:tc>
          <w:tcPr>
            <w:tcW w:w="1935" w:type="dxa"/>
            <w:noWrap/>
            <w:hideMark/>
          </w:tcPr>
          <w:p w14:paraId="5C4E7CA4"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Aberdeen Maternity and Neonatal Databank</w:t>
            </w:r>
          </w:p>
        </w:tc>
        <w:tc>
          <w:tcPr>
            <w:tcW w:w="1741" w:type="dxa"/>
            <w:noWrap/>
            <w:hideMark/>
          </w:tcPr>
          <w:p w14:paraId="4A107572" w14:textId="1BF8B47A"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NICE, modified Kidney Disease Outcomes Quality Initiative (KDOQI) definitions</w:t>
            </w:r>
            <w:r w:rsidR="004461C2" w:rsidRPr="001F0562">
              <w:rPr>
                <w:rStyle w:val="FootnoteReference"/>
                <w:rFonts w:ascii="Times" w:hAnsi="Times" w:cs="Arial"/>
                <w:color w:val="000000" w:themeColor="text1"/>
                <w:sz w:val="18"/>
                <w:szCs w:val="18"/>
                <w:lang w:val="en-GB"/>
              </w:rPr>
              <w:footnoteReference w:id="3"/>
            </w:r>
          </w:p>
        </w:tc>
        <w:tc>
          <w:tcPr>
            <w:tcW w:w="2505" w:type="dxa"/>
            <w:noWrap/>
            <w:hideMark/>
          </w:tcPr>
          <w:p w14:paraId="74767665"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Grampian Renal Biochemistry Dataset, The Scottish Morbidity Record, The Scottish Renal Registry, the National Records of Scotland Data on Deaths</w:t>
            </w:r>
          </w:p>
        </w:tc>
      </w:tr>
      <w:tr w:rsidR="001F0562" w:rsidRPr="001F0562" w14:paraId="0F71ACCE" w14:textId="77777777" w:rsidTr="0046717C">
        <w:trPr>
          <w:trHeight w:val="320"/>
        </w:trPr>
        <w:tc>
          <w:tcPr>
            <w:tcW w:w="1205" w:type="dxa"/>
            <w:noWrap/>
          </w:tcPr>
          <w:p w14:paraId="0FBF97F2" w14:textId="089A6158"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 xml:space="preserve">Srialluri </w:t>
            </w:r>
            <w:r w:rsidRPr="001F0562">
              <w:rPr>
                <w:rFonts w:ascii="Times" w:hAnsi="Times" w:cs="Arial"/>
                <w:color w:val="000000" w:themeColor="text1"/>
                <w:sz w:val="18"/>
                <w:szCs w:val="18"/>
                <w:lang w:val="en-GB"/>
              </w:rPr>
              <w:fldChar w:fldCharType="begin"/>
            </w:r>
            <w:r w:rsidRPr="001F0562">
              <w:rPr>
                <w:rFonts w:ascii="Times" w:hAnsi="Times" w:cs="Arial"/>
                <w:color w:val="000000" w:themeColor="text1"/>
                <w:sz w:val="18"/>
                <w:szCs w:val="18"/>
                <w:lang w:val="en-GB"/>
              </w:rPr>
              <w:instrText xml:space="preserve"> ADDIN ZOTERO_ITEM CSL_CITATION {"citationID":"aJU072vR","properties":{"formattedCitation":"[31]","plainCitation":"[31]","noteIndex":0},"citationItems":[{"id":51,"uris":["http://zotero.org/users/local/0aHQVswh/items/3XF9JW5V"],"itemData":{"id":51,"type":"article-journal","abstract":"RATIONALE &amp; OBJECTIVE: Preeclampsia is a pregnancy-related complication characterized by acute hypertension and end-organ dysfunction. We evaluated the long-term association between preeclampsia and the risk of developing chronic hypertension and kidney disease.\nSTUDY DESIGN: Observational cohort study.\nSETTING &amp; PARTICIPANTS: 27,800 adults with deliveries in the Geisinger Health System between 1996 and 2019.\nEXPOSURE: Preeclampsia.\nOUTCOME: Hypertension, reduced estimated glomerular filtration rate (eGFR)&lt;60mL/min/1.73m2), and albuminuria&gt;300mg/g.\nANALYTICAL APPROACH: Propensity-score matching and Cox proportional hazards models to evaluate the association between preeclampsia and incident hypertension, reduced eGFR, and albuminuria.\nRESULTS: Of 27,800 adults with pregnancies during the study period (mean age, 28 years; 3% Black race), 2,977 (10.7%) had at least 1 pregnancy complicated by preeclampsia. After matching for multiple characteristics, individuals with preeclampsia had a higher risk of developing chronic hypertension (HR, 1.77 [95% CI, 1.45-2.16]), eGFR&lt;60mL/min/1.73m2 (HR, 3.23 [95% CI, 1.64-6.36]), albuminuria (HR, 3.60 [95% CI, 2.38-5.44]), and a subsequent episode of preeclampsia (HR, 24.76 [95% CI, 12.47-48.36]), compared with matched controls without preeclampsia. Overall, postpartum follow-up testing was low. In the first 6 months after delivery, 31% versus 14% of individuals with and without preeclampsia had serum creatinine tests, respectively, and testing for urine protein was the same in both groups, with only 26% having follow-up testing.\nLIMITATIONS: Primarily White study population, observational study, reliance on ICD codes for medical diagnosis.\nCONCLUSIONS: Individuals with a pregnancy complicated by preeclampsia had a higher risk of hypertension, reduced eGFR, and albuminuria compared with individuals without preeclampsia.\nPLAIN-LANGUAGE SUMMARY: Preeclampsia is a significant contributor to perinatal and maternal morbidity and is marked by new-onset hypertension and end-organ damage, including acute kidney injury or proteinuria. To gain insight into the long-term kidney effects of the disease, we compared adults with deliveries complicated by preeclampsia with those without preeclampsia in the Geisinger Health System, while also assessing postpartum testing rates. Our results demonstrate that pregnant individuals with preeclampsia are at a heightened risk for future hypertension, reduced eGFR, and albuminuria, with overall low rates of postpartum testing among both individuals with and without preeclampsia. These findings underscore the need to consider preeclampsia as an important risk factor for the development of chronic kidney disease. Further studies are required to determine optimal postpreeclampsia monitoring strategies.","container-title":"American Journal of Kidney Diseases: The Official Journal of the National Kidney Foundation","DOI":"10.1053/j.ajkd.2023.04.010","ISSN":"1523-6838","journalAbbreviation":"Am J Kidney Dis","language":"eng","note":"PMID: 37516302","page":"S0272-6386(23)00732-1","source":"PubMed","title":"Preeclampsia and Long-term Kidney Outcomes: An Observational Cohort Study","title-short":"Preeclampsia and Long-term Kidney Outcomes","author":[{"family":"Srialluri","given":"Nityasree"},{"family":"Surapaneni","given":"Aditya"},{"family":"Chang","given":"Alexander"},{"family":"Mackeen","given":"A. Dhanya"},{"family":"Paglia","given":"Michael J."},{"family":"Grams","given":"Morgan E."}],"issued":{"date-parts":[["2023",7,27]]}}}],"schema":"https://github.com/citation-style-language/schema/raw/master/csl-citation.json"} </w:instrText>
            </w:r>
            <w:r w:rsidRPr="001F0562">
              <w:rPr>
                <w:rFonts w:ascii="Times" w:hAnsi="Times" w:cs="Arial"/>
                <w:color w:val="000000" w:themeColor="text1"/>
                <w:sz w:val="18"/>
                <w:szCs w:val="18"/>
                <w:lang w:val="en-GB"/>
              </w:rPr>
              <w:fldChar w:fldCharType="separate"/>
            </w:r>
            <w:r w:rsidRPr="001F0562">
              <w:rPr>
                <w:rFonts w:ascii="Times" w:hAnsi="Times" w:cs="Arial"/>
                <w:noProof/>
                <w:color w:val="000000" w:themeColor="text1"/>
                <w:sz w:val="18"/>
                <w:szCs w:val="18"/>
                <w:lang w:val="en-GB"/>
              </w:rPr>
              <w:t>[</w:t>
            </w:r>
            <w:r w:rsidR="00F603BA" w:rsidRPr="001F0562">
              <w:rPr>
                <w:rFonts w:ascii="Times" w:hAnsi="Times" w:cs="Arial"/>
                <w:noProof/>
                <w:color w:val="000000" w:themeColor="text1"/>
                <w:sz w:val="18"/>
                <w:szCs w:val="18"/>
                <w:lang w:val="en-GB"/>
              </w:rPr>
              <w:t>2</w:t>
            </w:r>
            <w:r w:rsidRPr="001F0562">
              <w:rPr>
                <w:rFonts w:ascii="Times" w:hAnsi="Times" w:cs="Arial"/>
                <w:noProof/>
                <w:color w:val="000000" w:themeColor="text1"/>
                <w:sz w:val="18"/>
                <w:szCs w:val="18"/>
                <w:lang w:val="en-GB"/>
              </w:rPr>
              <w:t>1]</w:t>
            </w:r>
            <w:r w:rsidRPr="001F0562">
              <w:rPr>
                <w:rFonts w:ascii="Times" w:hAnsi="Times" w:cs="Arial"/>
                <w:color w:val="000000" w:themeColor="text1"/>
                <w:sz w:val="18"/>
                <w:szCs w:val="18"/>
                <w:lang w:val="en-GB"/>
              </w:rPr>
              <w:fldChar w:fldCharType="end"/>
            </w:r>
          </w:p>
        </w:tc>
        <w:tc>
          <w:tcPr>
            <w:tcW w:w="2242" w:type="dxa"/>
            <w:noWrap/>
          </w:tcPr>
          <w:p w14:paraId="4434E592"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ICD-9 and 10 Criteria or outpatient laboratory results significant for albuminuria after 20 weeks of gestation but before delivery</w:t>
            </w:r>
          </w:p>
        </w:tc>
        <w:tc>
          <w:tcPr>
            <w:tcW w:w="1935" w:type="dxa"/>
            <w:noWrap/>
          </w:tcPr>
          <w:p w14:paraId="3C57F6E5"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Geisinger Health System</w:t>
            </w:r>
          </w:p>
        </w:tc>
        <w:tc>
          <w:tcPr>
            <w:tcW w:w="1741" w:type="dxa"/>
            <w:noWrap/>
          </w:tcPr>
          <w:p w14:paraId="15A77567" w14:textId="6DC2C02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CKD defined as GFR (eGFR) &lt; 60 mL/min/1.73m</w:t>
            </w:r>
            <w:r w:rsidRPr="001F0562">
              <w:rPr>
                <w:rFonts w:ascii="Times" w:hAnsi="Times" w:cs="Arial"/>
                <w:color w:val="000000" w:themeColor="text1"/>
                <w:sz w:val="18"/>
                <w:szCs w:val="18"/>
                <w:vertAlign w:val="superscript"/>
                <w:lang w:val="en-GB"/>
              </w:rPr>
              <w:t>2</w:t>
            </w:r>
            <w:r w:rsidRPr="001F0562">
              <w:rPr>
                <w:rFonts w:ascii="Times" w:hAnsi="Times" w:cs="Arial"/>
                <w:color w:val="000000" w:themeColor="text1"/>
                <w:sz w:val="18"/>
                <w:szCs w:val="18"/>
                <w:lang w:val="en-GB"/>
              </w:rPr>
              <w:t xml:space="preserve"> </w:t>
            </w:r>
          </w:p>
        </w:tc>
        <w:tc>
          <w:tcPr>
            <w:tcW w:w="2505" w:type="dxa"/>
            <w:noWrap/>
          </w:tcPr>
          <w:p w14:paraId="544FAB76" w14:textId="3A27BDE3"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Geisinger Health System outpatient serum creatinine and the CKD-EPI 2021 equation</w:t>
            </w:r>
            <w:r w:rsidR="004461C2" w:rsidRPr="001F0562">
              <w:rPr>
                <w:rStyle w:val="FootnoteReference"/>
                <w:rFonts w:ascii="Times" w:hAnsi="Times" w:cs="Arial"/>
                <w:color w:val="000000" w:themeColor="text1"/>
                <w:sz w:val="18"/>
                <w:szCs w:val="18"/>
                <w:lang w:val="en-GB"/>
              </w:rPr>
              <w:footnoteReference w:id="4"/>
            </w:r>
          </w:p>
        </w:tc>
      </w:tr>
      <w:tr w:rsidR="001F0562" w:rsidRPr="001F0562" w14:paraId="14BB836E" w14:textId="77777777" w:rsidTr="0046717C">
        <w:trPr>
          <w:trHeight w:val="320"/>
        </w:trPr>
        <w:tc>
          <w:tcPr>
            <w:tcW w:w="1205" w:type="dxa"/>
            <w:noWrap/>
            <w:hideMark/>
          </w:tcPr>
          <w:p w14:paraId="16FF13A2" w14:textId="642A512C"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 xml:space="preserve">Wang </w:t>
            </w:r>
            <w:r w:rsidRPr="001F0562">
              <w:rPr>
                <w:rFonts w:ascii="Times" w:hAnsi="Times" w:cs="Arial"/>
                <w:color w:val="000000" w:themeColor="text1"/>
                <w:sz w:val="18"/>
                <w:szCs w:val="18"/>
                <w:lang w:val="en-GB"/>
              </w:rPr>
              <w:fldChar w:fldCharType="begin"/>
            </w:r>
            <w:r w:rsidRPr="001F0562">
              <w:rPr>
                <w:rFonts w:ascii="Times" w:hAnsi="Times" w:cs="Arial"/>
                <w:color w:val="000000" w:themeColor="text1"/>
                <w:sz w:val="18"/>
                <w:szCs w:val="18"/>
                <w:lang w:val="en-GB"/>
              </w:rPr>
              <w:instrText xml:space="preserve"> ADDIN ZOTERO_ITEM CSL_CITATION {"citationID":"p89huTlX","properties":{"formattedCitation":"[25]","plainCitation":"[25]","noteIndex":0},"citationItems":[{"id":53,"uris":["http://zotero.org/users/local/0aHQVswh/items/98RWE3VG"],"itemData":{"id":53,"type":"article-journal","abstract":"BACKGROUND: Studies into the association between hypertensive disorders during pregnancy and end-stage renal disease are limited. We investigated the risk of end-stage renal disease after delivery among women with hypertensive disorders during pregnancy.\nMETHODS: We used insurance claims data from 1998 to 2009 to identify 26,651 women aged 19-40 years old who experienced hypertensive disorders during pregnancy; these women had no history of hypertension, diabetes, kidney disease or lupus. We also randomly selected 213,397 women without hypertensive disorders during pregnancy as a comparison cohort; the frequency was matched by age and index year of pregnancy. We compared the incidence of end-stage renal disease in the 2 cohorts. We calculated hazard ratios (HRs) and 95% confidence intervals (CIs) after controlling for demographic and clinical factors.\nRESULTS: Women with hypertensive disorders during pregnancy had a greater risk of chronic kidney disease and end-stage renal disease, with adjusted HRs of 9.38 (95% CI 7.09-12.4) and 12.4 (95% CI 8.54-18.0), respectively, after controlling for urban status, coronary artery disease, congestive heart failure, hyperlipidemia and abruption. The HR for end-stage renal disease was 2.72 (95% CI 1.76-4.22) after we also controlled for hypertension and diabetes. Women with preeclampsia or eclampsia had a higher risk of end-stage renal disease (adjusted HR 14.0, 95% CI 9.43-20.7) than women who had gestational hypertension only (adjusted HR 9.03, 95% CI 5.20-15.7).\nINTERPRETATION: Women with hypertensive disorders during pregnancy were at a high risk of end-stage renal disease. The risk was much greater for women who had preeclampsia or eclampsia than those who had gestational hypertension only.","container-title":"CMAJ: Canadian Medical Association journal = journal de l'Association medicale canadienne","DOI":"10.1503/cmaj.120230","ISSN":"1488-2329","issue":"3","journalAbbreviation":"CMAJ","language":"eng","note":"PMID: 23339156\nPMCID: PMC3576438","page":"207-213","source":"PubMed","title":"Association between hypertensive disorders during pregnancy and end-stage renal disease: a population-based study","title-short":"Association between hypertensive disorders during pregnancy and end-stage renal disease","volume":"185","author":[{"family":"Wang","given":"I.-Kuan"},{"family":"Muo","given":"Chih-Hsin"},{"family":"Chang","given":"Yi-Chih"},{"family":"Liang","given":"Chih-Chia"},{"family":"Chang","given":"Chiz-Tzung"},{"family":"Lin","given":"Shih-Yi"},{"family":"Yen","given":"Tzung-Hai"},{"family":"Chuang","given":"Feng-Rong"},{"family":"Chen","given":"Pei-Chun"},{"family":"Huang","given":"Chiu-Ching"},{"family":"Wen","given":"Chi-Pang"},{"family":"Sung","given":"Fung-Chang"},{"family":"Morisky","given":"Donald E."}],"issued":{"date-parts":[["2013",2,19]]}}}],"schema":"https://github.com/citation-style-language/schema/raw/master/csl-citation.json"} </w:instrText>
            </w:r>
            <w:r w:rsidRPr="001F0562">
              <w:rPr>
                <w:rFonts w:ascii="Times" w:hAnsi="Times" w:cs="Arial"/>
                <w:color w:val="000000" w:themeColor="text1"/>
                <w:sz w:val="18"/>
                <w:szCs w:val="18"/>
                <w:lang w:val="en-GB"/>
              </w:rPr>
              <w:fldChar w:fldCharType="separate"/>
            </w:r>
            <w:r w:rsidRPr="001F0562">
              <w:rPr>
                <w:rFonts w:ascii="Times" w:hAnsi="Times" w:cs="Arial"/>
                <w:noProof/>
                <w:color w:val="000000" w:themeColor="text1"/>
                <w:sz w:val="18"/>
                <w:szCs w:val="18"/>
                <w:lang w:val="en-GB"/>
              </w:rPr>
              <w:t>[</w:t>
            </w:r>
            <w:r w:rsidR="00F603BA" w:rsidRPr="001F0562">
              <w:rPr>
                <w:rFonts w:ascii="Times" w:hAnsi="Times" w:cs="Arial"/>
                <w:noProof/>
                <w:color w:val="000000" w:themeColor="text1"/>
                <w:sz w:val="18"/>
                <w:szCs w:val="18"/>
                <w:lang w:val="en-GB"/>
              </w:rPr>
              <w:t>1</w:t>
            </w:r>
            <w:r w:rsidRPr="001F0562">
              <w:rPr>
                <w:rFonts w:ascii="Times" w:hAnsi="Times" w:cs="Arial"/>
                <w:noProof/>
                <w:color w:val="000000" w:themeColor="text1"/>
                <w:sz w:val="18"/>
                <w:szCs w:val="18"/>
                <w:lang w:val="en-GB"/>
              </w:rPr>
              <w:t>5]</w:t>
            </w:r>
            <w:r w:rsidRPr="001F0562">
              <w:rPr>
                <w:rFonts w:ascii="Times" w:hAnsi="Times" w:cs="Arial"/>
                <w:color w:val="000000" w:themeColor="text1"/>
                <w:sz w:val="18"/>
                <w:szCs w:val="18"/>
                <w:lang w:val="en-GB"/>
              </w:rPr>
              <w:fldChar w:fldCharType="end"/>
            </w:r>
          </w:p>
        </w:tc>
        <w:tc>
          <w:tcPr>
            <w:tcW w:w="2242" w:type="dxa"/>
            <w:noWrap/>
            <w:hideMark/>
          </w:tcPr>
          <w:p w14:paraId="52A0FB8D"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ICD-9 Criteria</w:t>
            </w:r>
          </w:p>
        </w:tc>
        <w:tc>
          <w:tcPr>
            <w:tcW w:w="1935" w:type="dxa"/>
            <w:noWrap/>
            <w:hideMark/>
          </w:tcPr>
          <w:p w14:paraId="04DF37ED"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Taiwan’s National Health Insurance Research Database</w:t>
            </w:r>
          </w:p>
        </w:tc>
        <w:tc>
          <w:tcPr>
            <w:tcW w:w="1741" w:type="dxa"/>
            <w:noWrap/>
            <w:hideMark/>
          </w:tcPr>
          <w:p w14:paraId="02714190"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ESKD defined as the need for long-term dialysis treatment or renal transplantation</w:t>
            </w:r>
          </w:p>
        </w:tc>
        <w:tc>
          <w:tcPr>
            <w:tcW w:w="2505" w:type="dxa"/>
            <w:noWrap/>
            <w:hideMark/>
          </w:tcPr>
          <w:p w14:paraId="4DECE935"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Taiwan's catastrophic Illness Patients Database</w:t>
            </w:r>
          </w:p>
        </w:tc>
      </w:tr>
      <w:tr w:rsidR="001F0562" w:rsidRPr="001F0562" w14:paraId="3DD0FF1F" w14:textId="77777777" w:rsidTr="0046717C">
        <w:trPr>
          <w:trHeight w:val="320"/>
        </w:trPr>
        <w:tc>
          <w:tcPr>
            <w:tcW w:w="1205" w:type="dxa"/>
            <w:noWrap/>
            <w:hideMark/>
          </w:tcPr>
          <w:p w14:paraId="78ADD006" w14:textId="28257E03"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 xml:space="preserve">Vikse </w:t>
            </w:r>
            <w:r w:rsidRPr="001F0562">
              <w:rPr>
                <w:rFonts w:ascii="Times" w:hAnsi="Times" w:cs="Arial"/>
                <w:color w:val="000000" w:themeColor="text1"/>
                <w:sz w:val="18"/>
                <w:szCs w:val="18"/>
                <w:lang w:val="en-GB"/>
              </w:rPr>
              <w:fldChar w:fldCharType="begin"/>
            </w:r>
            <w:r w:rsidRPr="001F0562">
              <w:rPr>
                <w:rFonts w:ascii="Times" w:hAnsi="Times" w:cs="Arial"/>
                <w:color w:val="000000" w:themeColor="text1"/>
                <w:sz w:val="18"/>
                <w:szCs w:val="18"/>
                <w:lang w:val="en-GB"/>
              </w:rPr>
              <w:instrText xml:space="preserve"> ADDIN ZOTERO_ITEM CSL_CITATION {"citationID":"XKXC1zMO","properties":{"formattedCitation":"[24]","plainCitation":"[24]","noteIndex":0},"citationItems":[{"id":56,"uris":["http://zotero.org/users/local/0aHQVswh/items/VHS9YMLC"],"itemData":{"id":56,"type":"article-journal","abstract":"BACKGROUND: It is unknown whether preeclampsia is a risk marker for subsequent end-stage renal disease (ESRD).\nMETHODS: We linked data from the Medical Birth Registry of Norway, which contains data on all births in Norway since 1967, with data from the Norwegian Renal Registry, which contains data on all patients receiving a diagnosis of end-stage renal disease (ESRD) since 1980, to assess the association between preeclampsia in one or more pregnancies and the subsequent development of ESRD. The study population consisted of women who had had a first singleton birth between 1967 and 1991; we included data from up to three pregnancies.\nRESULTS: ESRD developed in 477 of 570,433 women a mean (+/-SD) of 17+/-9 years after the first pregnancy (overall rate, 3.7 per 100,000 women per year). Among women who had been pregnant one or more times, preeclampsia during the first pregnancy was associated with a relative risk of ESRD of 4.7 (95% confidence interval [CI], 3.6 to 6.1). Among women who had been pregnant two or more times, preeclampsia during the first pregnancy was associated with a relative risk of ESRD of 3.2 (95% CI, 2.2 to 4.9), preeclampsia during the second pregnancy with a relative risk of 6.7 (95% CI, 4.3 to 10.6), and preeclampsia during both pregnancies with a relative risk of 6.4 (95% CI, 3.0 to 13.5). Among women who had been pregnant three or more times, preeclampsia during one pregnancy was associated with a relative risk of ESRD of 6.3 (95% CI, 4.1 to 9.9), and preeclampsia during two or three pregnancies was associated with a relative risk of 15.5 (95% CI, 7.8 to 30.8). Having a low-birth-weight or preterm infant increased the relative risk of ESRD. The results were similar after adjustment for possible confounders and after exclusion of women who had kidney disease, rheumatic disease, essential hypertension, or diabetes mellitus before pregnancy.\nCONCLUSIONS: Although the absolute risk of ESRD in women who have had preeclampsia is low, preeclampsia is a marker for an increased risk of subsequent ESRD.","container-title":"The New England Journal of Medicine","DOI":"10.1056/NEJMoa0706790","ISSN":"1533-4406","issue":"8","journalAbbreviation":"N Engl J Med","language":"eng","note":"PMID: 18716297","page":"800-809","source":"PubMed","title":"Preeclampsia and the risk of end-stage renal disease","volume":"359","author":[{"family":"Vikse","given":"Bjørn Egil"},{"family":"Irgens","given":"Lorentz M."},{"family":"Leivestad","given":"Torbjørn"},{"family":"Skjaerven","given":"Rolv"},{"family":"Iversen","given":"Bjarne M."}],"issued":{"date-parts":[["2008",8,21]]}}}],"schema":"https://github.com/citation-style-language/schema/raw/master/csl-citation.json"} </w:instrText>
            </w:r>
            <w:r w:rsidRPr="001F0562">
              <w:rPr>
                <w:rFonts w:ascii="Times" w:hAnsi="Times" w:cs="Arial"/>
                <w:color w:val="000000" w:themeColor="text1"/>
                <w:sz w:val="18"/>
                <w:szCs w:val="18"/>
                <w:lang w:val="en-GB"/>
              </w:rPr>
              <w:fldChar w:fldCharType="separate"/>
            </w:r>
            <w:r w:rsidRPr="001F0562">
              <w:rPr>
                <w:rFonts w:ascii="Times" w:hAnsi="Times" w:cs="Arial"/>
                <w:noProof/>
                <w:color w:val="000000" w:themeColor="text1"/>
                <w:sz w:val="18"/>
                <w:szCs w:val="18"/>
                <w:lang w:val="en-GB"/>
              </w:rPr>
              <w:t>[</w:t>
            </w:r>
            <w:r w:rsidR="00F603BA" w:rsidRPr="001F0562">
              <w:rPr>
                <w:rFonts w:ascii="Times" w:hAnsi="Times" w:cs="Arial"/>
                <w:noProof/>
                <w:color w:val="000000" w:themeColor="text1"/>
                <w:sz w:val="18"/>
                <w:szCs w:val="18"/>
                <w:lang w:val="en-GB"/>
              </w:rPr>
              <w:t>1</w:t>
            </w:r>
            <w:r w:rsidRPr="001F0562">
              <w:rPr>
                <w:rFonts w:ascii="Times" w:hAnsi="Times" w:cs="Arial"/>
                <w:noProof/>
                <w:color w:val="000000" w:themeColor="text1"/>
                <w:sz w:val="18"/>
                <w:szCs w:val="18"/>
                <w:lang w:val="en-GB"/>
              </w:rPr>
              <w:t>4]</w:t>
            </w:r>
            <w:r w:rsidRPr="001F0562">
              <w:rPr>
                <w:rFonts w:ascii="Times" w:hAnsi="Times" w:cs="Arial"/>
                <w:color w:val="000000" w:themeColor="text1"/>
                <w:sz w:val="18"/>
                <w:szCs w:val="18"/>
                <w:lang w:val="en-GB"/>
              </w:rPr>
              <w:fldChar w:fldCharType="end"/>
            </w:r>
          </w:p>
        </w:tc>
        <w:tc>
          <w:tcPr>
            <w:tcW w:w="2242" w:type="dxa"/>
            <w:noWrap/>
            <w:hideMark/>
          </w:tcPr>
          <w:p w14:paraId="3F1277CE" w14:textId="485960FF"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ICD-8 and 10 Criteria as well as American College of Obstetricians and Gynaecologists 1990</w:t>
            </w:r>
            <w:r w:rsidR="004461C2" w:rsidRPr="001F0562">
              <w:rPr>
                <w:rStyle w:val="FootnoteReference"/>
                <w:rFonts w:ascii="Times" w:hAnsi="Times" w:cs="Arial"/>
                <w:color w:val="000000" w:themeColor="text1"/>
                <w:sz w:val="18"/>
                <w:szCs w:val="18"/>
                <w:lang w:val="en-GB"/>
              </w:rPr>
              <w:footnoteReference w:id="5"/>
            </w:r>
          </w:p>
        </w:tc>
        <w:tc>
          <w:tcPr>
            <w:tcW w:w="1935" w:type="dxa"/>
            <w:noWrap/>
            <w:hideMark/>
          </w:tcPr>
          <w:p w14:paraId="428AFCF7"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Medical Birth Registry of Norway</w:t>
            </w:r>
          </w:p>
        </w:tc>
        <w:tc>
          <w:tcPr>
            <w:tcW w:w="1741" w:type="dxa"/>
            <w:noWrap/>
            <w:hideMark/>
          </w:tcPr>
          <w:p w14:paraId="6917757B"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ESKD defined as the need for long-term dialysis treatment or renal transplantation</w:t>
            </w:r>
          </w:p>
        </w:tc>
        <w:tc>
          <w:tcPr>
            <w:tcW w:w="2505" w:type="dxa"/>
            <w:noWrap/>
            <w:hideMark/>
          </w:tcPr>
          <w:p w14:paraId="4402E326"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Norwegian Renal and national Cause of Death Registry of Norway</w:t>
            </w:r>
          </w:p>
        </w:tc>
      </w:tr>
      <w:tr w:rsidR="001F0562" w:rsidRPr="001F0562" w14:paraId="4A4C1319" w14:textId="77777777" w:rsidTr="0046717C">
        <w:trPr>
          <w:trHeight w:val="841"/>
        </w:trPr>
        <w:tc>
          <w:tcPr>
            <w:tcW w:w="1205" w:type="dxa"/>
            <w:noWrap/>
            <w:hideMark/>
          </w:tcPr>
          <w:p w14:paraId="15D82BB2" w14:textId="1C9253D8"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 xml:space="preserve">Khashan </w:t>
            </w:r>
            <w:r w:rsidRPr="001F0562">
              <w:rPr>
                <w:rFonts w:ascii="Times" w:hAnsi="Times" w:cs="Arial"/>
                <w:color w:val="000000" w:themeColor="text1"/>
                <w:sz w:val="18"/>
                <w:szCs w:val="18"/>
                <w:lang w:val="en-GB"/>
              </w:rPr>
              <w:fldChar w:fldCharType="begin"/>
            </w:r>
            <w:r w:rsidRPr="001F0562">
              <w:rPr>
                <w:rFonts w:ascii="Times" w:hAnsi="Times" w:cs="Arial"/>
                <w:color w:val="000000" w:themeColor="text1"/>
                <w:sz w:val="18"/>
                <w:szCs w:val="18"/>
                <w:lang w:val="en-GB"/>
              </w:rPr>
              <w:instrText xml:space="preserve"> ADDIN ZOTERO_ITEM CSL_CITATION {"citationID":"AUePCawt","properties":{"formattedCitation":"[29]","plainCitation":"[29]","noteIndex":0},"citationItems":[{"id":59,"uris":["http://zotero.org/users/local/0aHQVswh/items/35WRY8JJ"],"itemData":{"id":59,"type":"article-journal","abstract":"BACKGROUND: Preeclampsia has been suggested to increase the risk of end-stage kidney disease (ESKD); however, most studies were unable to adjust for potential confounders including pre-existing comorbidities such as renal disease and cardiovascular disease (CVD). We aimed to examine the association between preeclampsia and the risk of ESKD in healthy women, while taking into account pre-existing comorbidity and potential confounders.\nMETHODS AND FINDINGS: Using data from the Swedish Medical Birth Register (MBR), women who had singleton live births in Sweden between 1982 and 2012, including those who had preeclampsia, were identified. Women with a diagnosis of chronic kidney disease (CKD), CVD, hypertension, or diabetes prior to the first pregnancy were excluded. The outcome was a diagnosis of ESKD, identified from the Swedish Renal Registry (SRR) from January 1, 1991, onwards along with the specified cause of renal disease. We conducted Cox proportional hazards regression analysis to examine the association between preeclampsia and ESKD adjusting for several potential confounders: maternal age, body mass index (BMI), education, native country, and smoking. This analysis accounts for differential follow-up among women because women had different lengths of follow-up time. We performed subgroup analyses according to preterm preeclampsia, small for gestational age (SGA), and women who had 2 pregnancies with preeclampsia in both. The cohort consisted of 1,366,441 healthy women who had 2,665,320 singleton live births in Sweden between 1982 and 2012. At the first pregnancy, women's mean (SD) age and BMI were 27.8 (5.13) and 23.4 (4.03), respectively, 15.2% were smokers, and 80.7% were native Swedish. The overall median (interquartile range [IQR]) follow-up was 7.4 years (3.2-17.4) and 16.4 years (10.3-22.0) among women with ESKD diagnosis. During the study period, 67,273 (4.9%) women having 74,648 (2.8% of all pregnancies) singleton live births had preeclampsia, and 410 women developed ESKD with an incidence rate of 1.85 per 100,000 person-years. There was an association between preeclampsia and ESKD in the unadjusted analysis (hazard ratio [HR] = 4.99, 95% confidence interval [CI] 3.93-6.33; p &lt; 0.001), which remained in the extensively adjusted (HR = 4.96, 95% CI 3.89-6.32, p &lt; 0.001) models. Women who had preterm preeclampsia (adjusted HR = 9.19; 95% CI 5.16-15.61, p &lt; 0.001) and women who had preeclampsia in 2 pregnancies (adjusted HR = 7.13, 95% CI 3.12-16.31, p &lt; 0.001) had the highest risk of ESKD compared with women with no preeclampsia. Considering this was an observational cohort study, and although we accounted for several potential confounders, residual confounding cannot be ruled out.\nCONCLUSIONS: The present findings suggest that women with preeclampsia and no major comorbidities before their first pregnancy are at a 5-fold increased risk of ESKD compared with parous women with no preeclampsia; however, the absolute risk of ESKD among women with preeclampsia remains small. Preeclampsia should be considered as an important risk factor for subsequent ESKD. Whether screening and/or preventive strategies will reduce the risk of ESKD in women with adverse pregnancy outcomes is worthy of further investigation.","container-title":"PLoS medicine","DOI":"10.1371/journal.pmed.1002875","ISSN":"1549-1676","issue":"7","journalAbbreviation":"PLoS Med","language":"eng","note":"PMID: 31361741\nPMCID: PMC6667103","page":"e1002875","source":"PubMed","title":"Preeclampsia and risk of end stage kidney disease: A Swedish nationwide cohort study","title-short":"Preeclampsia and risk of end stage kidney disease","volume":"16","author":[{"family":"Khashan","given":"Ali S."},{"family":"Evans","given":"Marie"},{"family":"Kublickas","given":"Marius"},{"family":"McCarthy","given":"Fergus P."},{"family":"Kenny","given":"Louise C."},{"family":"Stenvinkel","given":"Peter"},{"family":"Fitzgerald","given":"Tony"},{"family":"Kublickiene","given":"Karolina"}],"issued":{"date-parts":[["2019",7]]}}}],"schema":"https://github.com/citation-style-language/schema/raw/master/csl-citation.json"} </w:instrText>
            </w:r>
            <w:r w:rsidRPr="001F0562">
              <w:rPr>
                <w:rFonts w:ascii="Times" w:hAnsi="Times" w:cs="Arial"/>
                <w:color w:val="000000" w:themeColor="text1"/>
                <w:sz w:val="18"/>
                <w:szCs w:val="18"/>
                <w:lang w:val="en-GB"/>
              </w:rPr>
              <w:fldChar w:fldCharType="separate"/>
            </w:r>
            <w:r w:rsidRPr="001F0562">
              <w:rPr>
                <w:rFonts w:ascii="Times" w:hAnsi="Times" w:cs="Arial"/>
                <w:noProof/>
                <w:color w:val="000000" w:themeColor="text1"/>
                <w:sz w:val="18"/>
                <w:szCs w:val="18"/>
                <w:lang w:val="en-GB"/>
              </w:rPr>
              <w:t>[</w:t>
            </w:r>
            <w:r w:rsidR="00F603BA" w:rsidRPr="001F0562">
              <w:rPr>
                <w:rFonts w:ascii="Times" w:hAnsi="Times" w:cs="Arial"/>
                <w:noProof/>
                <w:color w:val="000000" w:themeColor="text1"/>
                <w:sz w:val="18"/>
                <w:szCs w:val="18"/>
                <w:lang w:val="en-GB"/>
              </w:rPr>
              <w:t>1</w:t>
            </w:r>
            <w:r w:rsidRPr="001F0562">
              <w:rPr>
                <w:rFonts w:ascii="Times" w:hAnsi="Times" w:cs="Arial"/>
                <w:noProof/>
                <w:color w:val="000000" w:themeColor="text1"/>
                <w:sz w:val="18"/>
                <w:szCs w:val="18"/>
                <w:lang w:val="en-GB"/>
              </w:rPr>
              <w:t>9]</w:t>
            </w:r>
            <w:r w:rsidRPr="001F0562">
              <w:rPr>
                <w:rFonts w:ascii="Times" w:hAnsi="Times" w:cs="Arial"/>
                <w:color w:val="000000" w:themeColor="text1"/>
                <w:sz w:val="18"/>
                <w:szCs w:val="18"/>
                <w:lang w:val="en-GB"/>
              </w:rPr>
              <w:fldChar w:fldCharType="end"/>
            </w:r>
          </w:p>
        </w:tc>
        <w:tc>
          <w:tcPr>
            <w:tcW w:w="2242" w:type="dxa"/>
            <w:noWrap/>
            <w:hideMark/>
          </w:tcPr>
          <w:p w14:paraId="21110091"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ICD-8, 9 and 10 Criteria</w:t>
            </w:r>
          </w:p>
        </w:tc>
        <w:tc>
          <w:tcPr>
            <w:tcW w:w="1935" w:type="dxa"/>
            <w:hideMark/>
          </w:tcPr>
          <w:p w14:paraId="244F774B"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 xml:space="preserve">Swedish Medical Birth Register, Swedish National Patient Register, the Swedish Multi- Generation Register </w:t>
            </w:r>
          </w:p>
        </w:tc>
        <w:tc>
          <w:tcPr>
            <w:tcW w:w="1741" w:type="dxa"/>
            <w:hideMark/>
          </w:tcPr>
          <w:p w14:paraId="17A05011"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ESKD defined as the need for long-term dialysis treatment or renal transplantation</w:t>
            </w:r>
          </w:p>
        </w:tc>
        <w:tc>
          <w:tcPr>
            <w:tcW w:w="2505" w:type="dxa"/>
            <w:hideMark/>
          </w:tcPr>
          <w:p w14:paraId="7C2C4B27"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 xml:space="preserve">Swedish Renal Register (SRR), Swedish Cause of Death Registry </w:t>
            </w:r>
          </w:p>
        </w:tc>
      </w:tr>
      <w:tr w:rsidR="001F0562" w:rsidRPr="001F0562" w14:paraId="41C73D9B" w14:textId="77777777" w:rsidTr="00C74B3B">
        <w:trPr>
          <w:trHeight w:val="978"/>
        </w:trPr>
        <w:tc>
          <w:tcPr>
            <w:tcW w:w="1205" w:type="dxa"/>
            <w:noWrap/>
            <w:hideMark/>
          </w:tcPr>
          <w:p w14:paraId="638590B4" w14:textId="106854C2"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 xml:space="preserve">Wu </w:t>
            </w:r>
            <w:r w:rsidRPr="001F0562">
              <w:rPr>
                <w:rFonts w:ascii="Times" w:hAnsi="Times" w:cs="Arial"/>
                <w:color w:val="000000" w:themeColor="text1"/>
                <w:sz w:val="18"/>
                <w:szCs w:val="18"/>
                <w:lang w:val="en-GB"/>
              </w:rPr>
              <w:fldChar w:fldCharType="begin"/>
            </w:r>
            <w:r w:rsidRPr="001F0562">
              <w:rPr>
                <w:rFonts w:ascii="Times" w:hAnsi="Times" w:cs="Arial"/>
                <w:color w:val="000000" w:themeColor="text1"/>
                <w:sz w:val="18"/>
                <w:szCs w:val="18"/>
                <w:lang w:val="en-GB"/>
              </w:rPr>
              <w:instrText xml:space="preserve"> ADDIN ZOTERO_ITEM CSL_CITATION {"citationID":"lR8RrZjr","properties":{"formattedCitation":"[30]","plainCitation":"[30]","noteIndex":0},"citationItems":[{"id":64,"uris":["http://zotero.org/users/local/0aHQVswh/items/2EEYA9ZR"],"itemData":{"id":64,"type":"article-journal","abstract":"OBJECTIVE: The purpose of this study was to determine the long-term postpartum risk of end-stage renal disease in women with hypertensive disorders in pregnancy. Although most women with hypertensive disorders in pregnancy recover after delivery, some may experience acute renal failure.\nSTUDY DESIGN: We searched Taiwan's National Health Insurance Research Database to identify women with hypertensive disorders in pregnancies and deliveries between 1998 and 2002. All cases were followed for a maximum of 11 years (median, 9 years; interquartile range, 7.79-10.02 years) to estimate the incidence of end-stage renal disease; Cox regression analysis that was adjusted for potential confounding was used to determine the relative risk.\nRESULTS: Of the 13,633 women with hypertensive disorders in pregnancy, 46 experienced end-stage renal disease. Women with hypertensive disorders in pregnancy had a risk of end-stage renal disease that was 10.64 times greater than did women without them (95% confidence interval [CI], 7.53-15.05). The risk was highest in women with a history of preeclampsia superimposed on chronic hypertension (hazard ratio, 44.72; 95% CI, 22.59-88.51). Women with gestational hypertension had a higher risk of end-stage renal disease than did women without hypertensive disorders in pregnancy (hazard ratio, 5.82; 95% CI, 2.15-15.77).\nCONCLUSION: Women with hypertensive disorders in pregnancy have a higher risk of postpartum end-stage renal disease, regardless of which type of hypertensive disorder they have. Women with a history of hypertensive disorders in pregnancy are encouraged to have regular postpartum checkups, especially of renal function.","container-title":"American Journal of Obstetrics and Gynecology","DOI":"10.1016/j.ajog.2013.09.027","ISSN":"1097-6868","issue":"2","journalAbbreviation":"Am J Obstet Gynecol","language":"eng","note":"PMID: 24060448","page":"147.e1-8","source":"PubMed","title":"End-stage renal disease after hypertensive disorders in pregnancy","volume":"210","author":[{"family":"Wu","given":"Chia-Chun"},{"family":"Chen","given":"Sheng-Hsien"},{"family":"Ho","given":"Chung-Han"},{"family":"Liang","given":"Fu-Wen"},{"family":"Chu","given":"Chin-Chen"},{"family":"Wang","given":"Hsien-Yi"},{"family":"Lu","given":"Yi-Hua"}],"issued":{"date-parts":[["2014",2]]}}}],"schema":"https://github.com/citation-style-language/schema/raw/master/csl-citation.json"} </w:instrText>
            </w:r>
            <w:r w:rsidRPr="001F0562">
              <w:rPr>
                <w:rFonts w:ascii="Times" w:hAnsi="Times" w:cs="Arial"/>
                <w:color w:val="000000" w:themeColor="text1"/>
                <w:sz w:val="18"/>
                <w:szCs w:val="18"/>
                <w:lang w:val="en-GB"/>
              </w:rPr>
              <w:fldChar w:fldCharType="separate"/>
            </w:r>
            <w:r w:rsidRPr="001F0562">
              <w:rPr>
                <w:rFonts w:ascii="Times" w:hAnsi="Times" w:cs="Arial"/>
                <w:noProof/>
                <w:color w:val="000000" w:themeColor="text1"/>
                <w:sz w:val="18"/>
                <w:szCs w:val="18"/>
                <w:lang w:val="en-GB"/>
              </w:rPr>
              <w:t>[</w:t>
            </w:r>
            <w:r w:rsidR="00F603BA" w:rsidRPr="001F0562">
              <w:rPr>
                <w:rFonts w:ascii="Times" w:hAnsi="Times" w:cs="Arial"/>
                <w:noProof/>
                <w:color w:val="000000" w:themeColor="text1"/>
                <w:sz w:val="18"/>
                <w:szCs w:val="18"/>
                <w:lang w:val="en-GB"/>
              </w:rPr>
              <w:t>2</w:t>
            </w:r>
            <w:r w:rsidRPr="001F0562">
              <w:rPr>
                <w:rFonts w:ascii="Times" w:hAnsi="Times" w:cs="Arial"/>
                <w:noProof/>
                <w:color w:val="000000" w:themeColor="text1"/>
                <w:sz w:val="18"/>
                <w:szCs w:val="18"/>
                <w:lang w:val="en-GB"/>
              </w:rPr>
              <w:t>0]</w:t>
            </w:r>
            <w:r w:rsidRPr="001F0562">
              <w:rPr>
                <w:rFonts w:ascii="Times" w:hAnsi="Times" w:cs="Arial"/>
                <w:color w:val="000000" w:themeColor="text1"/>
                <w:sz w:val="18"/>
                <w:szCs w:val="18"/>
                <w:lang w:val="en-GB"/>
              </w:rPr>
              <w:fldChar w:fldCharType="end"/>
            </w:r>
          </w:p>
        </w:tc>
        <w:tc>
          <w:tcPr>
            <w:tcW w:w="2242" w:type="dxa"/>
            <w:hideMark/>
          </w:tcPr>
          <w:p w14:paraId="160D3571"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 xml:space="preserve">ICD-9 and ICD-9CM Criteria </w:t>
            </w:r>
          </w:p>
        </w:tc>
        <w:tc>
          <w:tcPr>
            <w:tcW w:w="1935" w:type="dxa"/>
            <w:noWrap/>
            <w:hideMark/>
          </w:tcPr>
          <w:p w14:paraId="13C7E0AF"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Taiwan’s National Health Insurance Research Database</w:t>
            </w:r>
          </w:p>
        </w:tc>
        <w:tc>
          <w:tcPr>
            <w:tcW w:w="1741" w:type="dxa"/>
            <w:noWrap/>
            <w:hideMark/>
          </w:tcPr>
          <w:p w14:paraId="760348A0"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ESKD defined as the need for long-term dialysis treatment or renal transplantation</w:t>
            </w:r>
          </w:p>
        </w:tc>
        <w:tc>
          <w:tcPr>
            <w:tcW w:w="2505" w:type="dxa"/>
            <w:noWrap/>
            <w:hideMark/>
          </w:tcPr>
          <w:p w14:paraId="77062506" w14:textId="77777777" w:rsidR="00C74B3B" w:rsidRPr="001F0562" w:rsidRDefault="00C74B3B" w:rsidP="0046717C">
            <w:pPr>
              <w:rPr>
                <w:rFonts w:ascii="Times" w:hAnsi="Times" w:cs="Arial"/>
                <w:color w:val="000000" w:themeColor="text1"/>
                <w:sz w:val="18"/>
                <w:szCs w:val="18"/>
                <w:lang w:val="en-GB"/>
              </w:rPr>
            </w:pPr>
            <w:r w:rsidRPr="001F0562">
              <w:rPr>
                <w:rFonts w:ascii="Times" w:hAnsi="Times" w:cs="Arial"/>
                <w:color w:val="000000" w:themeColor="text1"/>
                <w:sz w:val="18"/>
                <w:szCs w:val="18"/>
                <w:lang w:val="en-GB"/>
              </w:rPr>
              <w:t>Taiwan’s National Health Insurance Research Database</w:t>
            </w:r>
          </w:p>
        </w:tc>
      </w:tr>
    </w:tbl>
    <w:p w14:paraId="19974BEC" w14:textId="1304EB10" w:rsidR="001A1D96" w:rsidRPr="001F0562" w:rsidRDefault="00643F37" w:rsidP="00643F37">
      <w:pPr>
        <w:rPr>
          <w:rFonts w:ascii="Times" w:hAnsi="Times" w:cs="Arial"/>
          <w:b/>
          <w:bCs/>
          <w:color w:val="000000" w:themeColor="text1"/>
          <w:sz w:val="16"/>
          <w:szCs w:val="16"/>
          <w:lang w:val="en-GB"/>
        </w:rPr>
      </w:pPr>
      <w:r w:rsidRPr="001F0562">
        <w:rPr>
          <w:rFonts w:ascii="Times" w:hAnsi="Times" w:cs="Arial"/>
          <w:b/>
          <w:bCs/>
          <w:color w:val="000000" w:themeColor="text1"/>
          <w:sz w:val="16"/>
          <w:szCs w:val="16"/>
          <w:lang w:val="en-GB"/>
        </w:rPr>
        <w:t>Exposure</w:t>
      </w:r>
      <w:r w:rsidRPr="001F0562">
        <w:rPr>
          <w:rFonts w:ascii="Times" w:hAnsi="Times" w:cs="Arial"/>
          <w:color w:val="000000" w:themeColor="text1"/>
          <w:sz w:val="16"/>
          <w:szCs w:val="16"/>
          <w:lang w:val="en-GB"/>
        </w:rPr>
        <w:t>: pre-eclampsia</w:t>
      </w:r>
      <w:r w:rsidR="0034033B" w:rsidRPr="001F0562">
        <w:rPr>
          <w:rFonts w:ascii="Times" w:hAnsi="Times" w:cs="Arial"/>
          <w:color w:val="000000" w:themeColor="text1"/>
          <w:sz w:val="16"/>
          <w:szCs w:val="16"/>
          <w:lang w:val="en-GB"/>
        </w:rPr>
        <w:t xml:space="preserve">. </w:t>
      </w:r>
      <w:r w:rsidRPr="001F0562">
        <w:rPr>
          <w:rFonts w:ascii="Times" w:hAnsi="Times" w:cs="Arial"/>
          <w:b/>
          <w:bCs/>
          <w:color w:val="000000" w:themeColor="text1"/>
          <w:sz w:val="16"/>
          <w:szCs w:val="16"/>
          <w:lang w:val="en-GB"/>
        </w:rPr>
        <w:t>Abbreviations:</w:t>
      </w:r>
      <w:r w:rsidRPr="001F0562">
        <w:rPr>
          <w:rFonts w:ascii="Times" w:hAnsi="Times" w:cs="Arial"/>
          <w:color w:val="000000" w:themeColor="text1"/>
          <w:sz w:val="16"/>
          <w:szCs w:val="16"/>
          <w:lang w:val="en-GB"/>
        </w:rPr>
        <w:t xml:space="preserve"> ICD, International Statistical Classification of Diseases and Related Health Problems; CKD, chronic kidney disease; eGFR, estimated glomerular filtration rate; ESKD, end-stage kidney disease</w:t>
      </w:r>
    </w:p>
    <w:sectPr w:rsidR="001A1D96" w:rsidRPr="001F0562">
      <w:footerReference w:type="even"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CAAAE9" w14:textId="77777777" w:rsidR="00454908" w:rsidRDefault="00454908" w:rsidP="00312FE2">
      <w:r>
        <w:separator/>
      </w:r>
    </w:p>
  </w:endnote>
  <w:endnote w:type="continuationSeparator" w:id="0">
    <w:p w14:paraId="42732B6C" w14:textId="77777777" w:rsidR="00454908" w:rsidRDefault="00454908" w:rsidP="00312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17868538"/>
      <w:docPartObj>
        <w:docPartGallery w:val="Page Numbers (Bottom of Page)"/>
        <w:docPartUnique/>
      </w:docPartObj>
    </w:sdtPr>
    <w:sdtEndPr>
      <w:rPr>
        <w:rStyle w:val="PageNumber"/>
      </w:rPr>
    </w:sdtEndPr>
    <w:sdtContent>
      <w:p w14:paraId="391647AD" w14:textId="77777777" w:rsidR="001017A9" w:rsidRDefault="001F0562" w:rsidP="000447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C88361" w14:textId="77777777" w:rsidR="001017A9" w:rsidRDefault="001017A9" w:rsidP="00A664F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646708493"/>
      <w:docPartObj>
        <w:docPartGallery w:val="Page Numbers (Bottom of Page)"/>
        <w:docPartUnique/>
      </w:docPartObj>
    </w:sdtPr>
    <w:sdtEndPr>
      <w:rPr>
        <w:rStyle w:val="PageNumber"/>
      </w:rPr>
    </w:sdtEndPr>
    <w:sdtContent>
      <w:p w14:paraId="38A4DEF2" w14:textId="77777777" w:rsidR="001017A9" w:rsidRDefault="001F0562" w:rsidP="000447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809BD76" w14:textId="77777777" w:rsidR="001017A9" w:rsidRDefault="001017A9" w:rsidP="00A664F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FE3197" w14:textId="77777777" w:rsidR="00454908" w:rsidRDefault="00454908" w:rsidP="00312FE2">
      <w:r>
        <w:separator/>
      </w:r>
    </w:p>
  </w:footnote>
  <w:footnote w:type="continuationSeparator" w:id="0">
    <w:p w14:paraId="55B66679" w14:textId="77777777" w:rsidR="00454908" w:rsidRDefault="00454908" w:rsidP="00312FE2">
      <w:r>
        <w:continuationSeparator/>
      </w:r>
    </w:p>
  </w:footnote>
  <w:footnote w:id="1">
    <w:p w14:paraId="50C53824" w14:textId="0CB8EF54" w:rsidR="0034033B" w:rsidRPr="0034033B" w:rsidRDefault="00C74B3B" w:rsidP="00C74B3B">
      <w:pPr>
        <w:pStyle w:val="FootnoteText"/>
        <w:rPr>
          <w:rFonts w:ascii="Times" w:hAnsi="Times"/>
          <w:color w:val="000000" w:themeColor="text1"/>
          <w:sz w:val="16"/>
          <w:szCs w:val="16"/>
          <w:lang w:val="en-US"/>
        </w:rPr>
      </w:pPr>
      <w:r w:rsidRPr="004461C2">
        <w:rPr>
          <w:rStyle w:val="FootnoteReference"/>
          <w:rFonts w:ascii="Times" w:hAnsi="Times"/>
          <w:sz w:val="16"/>
          <w:szCs w:val="16"/>
        </w:rPr>
        <w:footnoteRef/>
      </w:r>
      <w:r w:rsidRPr="004461C2">
        <w:rPr>
          <w:rFonts w:ascii="Times" w:hAnsi="Times"/>
          <w:sz w:val="16"/>
          <w:szCs w:val="16"/>
          <w:lang w:val="en-US"/>
        </w:rPr>
        <w:t xml:space="preserve"> </w:t>
      </w:r>
      <w:r w:rsidRPr="004461C2">
        <w:rPr>
          <w:rFonts w:ascii="Times" w:hAnsi="Times" w:cs="Arial"/>
          <w:color w:val="000000" w:themeColor="text1"/>
          <w:sz w:val="16"/>
          <w:szCs w:val="16"/>
          <w:lang w:val="en-US"/>
        </w:rPr>
        <w:t>Self-reported questionnaire based on following definition: onset of a BP level ≥140/90 mm Hg along with proteinuria &gt; 0.3 g/24 h after 20 weeks’ gestation</w:t>
      </w:r>
      <w:r w:rsidR="00DD088A">
        <w:rPr>
          <w:rFonts w:ascii="Times" w:hAnsi="Times"/>
          <w:color w:val="000000" w:themeColor="text1"/>
          <w:sz w:val="16"/>
          <w:szCs w:val="16"/>
          <w:lang w:val="en-US"/>
        </w:rPr>
        <w:t xml:space="preserve"> (</w:t>
      </w:r>
      <w:r w:rsidR="00DD088A" w:rsidRPr="00DD088A">
        <w:rPr>
          <w:rFonts w:ascii="Times" w:hAnsi="Times"/>
          <w:color w:val="000000" w:themeColor="text1"/>
          <w:sz w:val="16"/>
          <w:szCs w:val="16"/>
          <w:lang w:val="en-US"/>
        </w:rPr>
        <w:t xml:space="preserve">Brown MA, Lindheimer MD, Swiet MD, Assche AV, Moutquin J-M. THE CLASSIFICATION AND DIAGNOSIS OF THE HYPERTENSIVE DISORDERS OF PREGNANCY: STATEMENT FROM THE INTERNATIONAL SOCIETY FOR THE STUDY OF HYPERTENSION IN PREGNANCY (ISSHP). Hypertens Pregnancy. 2001;20:ix–xiv. </w:t>
      </w:r>
      <w:hyperlink r:id="rId1" w:history="1">
        <w:r w:rsidR="00DD088A" w:rsidRPr="009E59EF">
          <w:rPr>
            <w:rStyle w:val="Hyperlink"/>
            <w:rFonts w:ascii="Times" w:hAnsi="Times"/>
            <w:sz w:val="16"/>
            <w:szCs w:val="16"/>
            <w:lang w:val="en-US"/>
          </w:rPr>
          <w:t>https://doi.org/10.1081/prg-100104165</w:t>
        </w:r>
      </w:hyperlink>
      <w:r w:rsidR="00DD088A">
        <w:rPr>
          <w:rFonts w:ascii="Times" w:hAnsi="Times"/>
          <w:color w:val="000000" w:themeColor="text1"/>
          <w:sz w:val="16"/>
          <w:szCs w:val="16"/>
          <w:lang w:val="en-US"/>
        </w:rPr>
        <w:t xml:space="preserve">). </w:t>
      </w:r>
    </w:p>
  </w:footnote>
  <w:footnote w:id="2">
    <w:p w14:paraId="2631ADB7" w14:textId="210E348E" w:rsidR="004461C2" w:rsidRPr="004461C2" w:rsidRDefault="004461C2">
      <w:pPr>
        <w:pStyle w:val="FootnoteText"/>
        <w:rPr>
          <w:color w:val="000000" w:themeColor="text1"/>
          <w:sz w:val="16"/>
          <w:szCs w:val="16"/>
          <w:lang w:val="en-GB"/>
        </w:rPr>
      </w:pPr>
      <w:r w:rsidRPr="004461C2">
        <w:rPr>
          <w:rStyle w:val="FootnoteReference"/>
          <w:color w:val="000000" w:themeColor="text1"/>
          <w:sz w:val="16"/>
          <w:szCs w:val="16"/>
        </w:rPr>
        <w:footnoteRef/>
      </w:r>
      <w:r w:rsidRPr="004461C2">
        <w:rPr>
          <w:color w:val="000000" w:themeColor="text1"/>
          <w:sz w:val="16"/>
          <w:szCs w:val="16"/>
        </w:rPr>
        <w:t xml:space="preserve"> </w:t>
      </w:r>
      <w:r w:rsidRPr="004461C2">
        <w:rPr>
          <w:color w:val="000000" w:themeColor="text1"/>
          <w:sz w:val="16"/>
          <w:szCs w:val="16"/>
          <w:lang w:val="en-GB"/>
        </w:rPr>
        <w:t xml:space="preserve">Davey DA, MacGillivray I. The classification and definition of the hypertensive disorders of pregnancy. </w:t>
      </w:r>
      <w:r w:rsidRPr="004461C2">
        <w:rPr>
          <w:i/>
          <w:iCs/>
          <w:color w:val="000000" w:themeColor="text1"/>
          <w:sz w:val="16"/>
          <w:szCs w:val="16"/>
          <w:lang w:val="en-GB"/>
        </w:rPr>
        <w:t>Am J Obstet Gynecol</w:t>
      </w:r>
      <w:r w:rsidRPr="004461C2">
        <w:rPr>
          <w:color w:val="000000" w:themeColor="text1"/>
          <w:sz w:val="16"/>
          <w:szCs w:val="16"/>
          <w:lang w:val="en-GB"/>
        </w:rPr>
        <w:t>. 1988;158:892–8. https://doi.org/10.1016/0002-9378(88)90090-7</w:t>
      </w:r>
    </w:p>
  </w:footnote>
  <w:footnote w:id="3">
    <w:p w14:paraId="2F306471" w14:textId="2C3A7421" w:rsidR="004461C2" w:rsidRPr="004461C2" w:rsidRDefault="004461C2">
      <w:pPr>
        <w:pStyle w:val="FootnoteText"/>
        <w:rPr>
          <w:color w:val="000000" w:themeColor="text1"/>
          <w:sz w:val="16"/>
          <w:szCs w:val="16"/>
          <w:lang w:val="en-GB"/>
        </w:rPr>
      </w:pPr>
      <w:r w:rsidRPr="004461C2">
        <w:rPr>
          <w:rStyle w:val="FootnoteReference"/>
          <w:color w:val="000000" w:themeColor="text1"/>
          <w:sz w:val="16"/>
          <w:szCs w:val="16"/>
        </w:rPr>
        <w:footnoteRef/>
      </w:r>
      <w:r w:rsidRPr="004461C2">
        <w:rPr>
          <w:color w:val="000000" w:themeColor="text1"/>
          <w:sz w:val="16"/>
          <w:szCs w:val="16"/>
        </w:rPr>
        <w:t xml:space="preserve"> </w:t>
      </w:r>
      <w:r w:rsidRPr="004461C2">
        <w:rPr>
          <w:color w:val="000000" w:themeColor="text1"/>
          <w:sz w:val="16"/>
          <w:szCs w:val="16"/>
          <w:lang w:val="en-GB"/>
        </w:rPr>
        <w:t xml:space="preserve">National Collaborating Centre for Chronic Conditions (UK). Chronic Kidney Disease: National Clinical Guideline for Early Identification and Management in Adults in Primary and Secondary Care [Internet]. London: Royal College of Physicians (UK); 2008 [cited 2025 Mar 5]. Available from: http://www.ncbi.nlm.nih.gov/books/NBK51773/ </w:t>
      </w:r>
    </w:p>
  </w:footnote>
  <w:footnote w:id="4">
    <w:p w14:paraId="21AC7F24" w14:textId="54CCB4C0" w:rsidR="004461C2" w:rsidRPr="004461C2" w:rsidRDefault="004461C2">
      <w:pPr>
        <w:pStyle w:val="FootnoteText"/>
        <w:rPr>
          <w:color w:val="000000" w:themeColor="text1"/>
          <w:sz w:val="16"/>
          <w:szCs w:val="16"/>
          <w:lang w:val="fr-CH"/>
        </w:rPr>
      </w:pPr>
      <w:r w:rsidRPr="004461C2">
        <w:rPr>
          <w:rStyle w:val="FootnoteReference"/>
          <w:color w:val="000000" w:themeColor="text1"/>
          <w:sz w:val="16"/>
          <w:szCs w:val="16"/>
        </w:rPr>
        <w:footnoteRef/>
      </w:r>
      <w:r w:rsidRPr="004461C2">
        <w:rPr>
          <w:color w:val="000000" w:themeColor="text1"/>
          <w:sz w:val="16"/>
          <w:szCs w:val="16"/>
        </w:rPr>
        <w:t xml:space="preserve"> Inker LA, Eneanya ND, Coresh J, Tighiouart H, Wang D, Sang Y, et al. New Creatinine- and Cystatin C–Based Equations to Estimate GFR without Race. </w:t>
      </w:r>
      <w:r w:rsidRPr="004461C2">
        <w:rPr>
          <w:i/>
          <w:iCs/>
          <w:color w:val="000000" w:themeColor="text1"/>
          <w:sz w:val="16"/>
          <w:szCs w:val="16"/>
        </w:rPr>
        <w:t>N Engl J Med.</w:t>
      </w:r>
      <w:r w:rsidRPr="004461C2">
        <w:rPr>
          <w:color w:val="000000" w:themeColor="text1"/>
          <w:sz w:val="16"/>
          <w:szCs w:val="16"/>
        </w:rPr>
        <w:t xml:space="preserve"> 2021;385:1737–49. https://doi.org/10.1056/nejmoa2102953</w:t>
      </w:r>
    </w:p>
  </w:footnote>
  <w:footnote w:id="5">
    <w:p w14:paraId="27EAF2F3" w14:textId="030794D4" w:rsidR="004461C2" w:rsidRPr="004461C2" w:rsidRDefault="004461C2">
      <w:pPr>
        <w:pStyle w:val="FootnoteText"/>
        <w:rPr>
          <w:lang w:val="fr-CH"/>
        </w:rPr>
      </w:pPr>
      <w:r w:rsidRPr="004461C2">
        <w:rPr>
          <w:rStyle w:val="FootnoteReference"/>
          <w:color w:val="000000" w:themeColor="text1"/>
          <w:sz w:val="16"/>
          <w:szCs w:val="16"/>
        </w:rPr>
        <w:footnoteRef/>
      </w:r>
      <w:r w:rsidRPr="004461C2">
        <w:rPr>
          <w:color w:val="000000" w:themeColor="text1"/>
          <w:sz w:val="16"/>
          <w:szCs w:val="16"/>
        </w:rPr>
        <w:t xml:space="preserve"> National High Blood Pressure Education Program Working Group Report on High Blood Pressure in Pregnancy. </w:t>
      </w:r>
      <w:r w:rsidRPr="0034033B">
        <w:rPr>
          <w:i/>
          <w:iCs/>
          <w:color w:val="000000" w:themeColor="text1"/>
          <w:sz w:val="16"/>
          <w:szCs w:val="16"/>
        </w:rPr>
        <w:t>Am J Obstet Gynecol.</w:t>
      </w:r>
      <w:r w:rsidRPr="004461C2">
        <w:rPr>
          <w:color w:val="000000" w:themeColor="text1"/>
          <w:sz w:val="16"/>
          <w:szCs w:val="16"/>
        </w:rPr>
        <w:t xml:space="preserve"> 1990;163:1691–712. https://doi.org/10.1016/0002-9378(90)90653-o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FE2"/>
    <w:rsid w:val="0001115A"/>
    <w:rsid w:val="001017A9"/>
    <w:rsid w:val="001863E9"/>
    <w:rsid w:val="001A1D96"/>
    <w:rsid w:val="001F0562"/>
    <w:rsid w:val="002207AF"/>
    <w:rsid w:val="00251736"/>
    <w:rsid w:val="002757CC"/>
    <w:rsid w:val="002B7916"/>
    <w:rsid w:val="00312FE2"/>
    <w:rsid w:val="0034033B"/>
    <w:rsid w:val="003B63BF"/>
    <w:rsid w:val="004461C2"/>
    <w:rsid w:val="00454908"/>
    <w:rsid w:val="00466150"/>
    <w:rsid w:val="0048458F"/>
    <w:rsid w:val="005363FA"/>
    <w:rsid w:val="00565F7E"/>
    <w:rsid w:val="00643F37"/>
    <w:rsid w:val="00646108"/>
    <w:rsid w:val="00A77501"/>
    <w:rsid w:val="00B61562"/>
    <w:rsid w:val="00C74B3B"/>
    <w:rsid w:val="00CD67A1"/>
    <w:rsid w:val="00D93A74"/>
    <w:rsid w:val="00DD088A"/>
    <w:rsid w:val="00EE4385"/>
    <w:rsid w:val="00F46244"/>
    <w:rsid w:val="00F603BA"/>
    <w:rsid w:val="00F6364C"/>
    <w:rsid w:val="00FB58B8"/>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2F476"/>
  <w15:chartTrackingRefBased/>
  <w15:docId w15:val="{B9665712-C885-0641-A61E-CCC56B094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it-CH"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FE2"/>
    <w:rPr>
      <w:rFonts w:ascii="Times New Roman" w:eastAsia="Times New Roman" w:hAnsi="Times New Roman" w:cs="Times New Roman"/>
      <w:kern w:val="0"/>
      <w:lang w:eastAsia="it-IT"/>
      <w14:ligatures w14:val="none"/>
    </w:rPr>
  </w:style>
  <w:style w:type="paragraph" w:styleId="Heading3">
    <w:name w:val="heading 3"/>
    <w:basedOn w:val="Normal"/>
    <w:next w:val="Normal"/>
    <w:link w:val="Heading3Char"/>
    <w:uiPriority w:val="9"/>
    <w:unhideWhenUsed/>
    <w:qFormat/>
    <w:rsid w:val="00643F3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2FE2"/>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12FE2"/>
    <w:rPr>
      <w:sz w:val="20"/>
      <w:szCs w:val="20"/>
    </w:rPr>
  </w:style>
  <w:style w:type="character" w:customStyle="1" w:styleId="FootnoteTextChar">
    <w:name w:val="Footnote Text Char"/>
    <w:basedOn w:val="DefaultParagraphFont"/>
    <w:link w:val="FootnoteText"/>
    <w:uiPriority w:val="99"/>
    <w:semiHidden/>
    <w:rsid w:val="00312FE2"/>
    <w:rPr>
      <w:rFonts w:ascii="Times New Roman" w:eastAsia="Times New Roman" w:hAnsi="Times New Roman" w:cs="Times New Roman"/>
      <w:kern w:val="0"/>
      <w:sz w:val="20"/>
      <w:szCs w:val="20"/>
      <w:lang w:eastAsia="it-IT"/>
      <w14:ligatures w14:val="none"/>
    </w:rPr>
  </w:style>
  <w:style w:type="character" w:styleId="FootnoteReference">
    <w:name w:val="footnote reference"/>
    <w:basedOn w:val="DefaultParagraphFont"/>
    <w:uiPriority w:val="99"/>
    <w:semiHidden/>
    <w:unhideWhenUsed/>
    <w:rsid w:val="00312FE2"/>
    <w:rPr>
      <w:vertAlign w:val="superscript"/>
    </w:rPr>
  </w:style>
  <w:style w:type="character" w:customStyle="1" w:styleId="Heading3Char">
    <w:name w:val="Heading 3 Char"/>
    <w:basedOn w:val="DefaultParagraphFont"/>
    <w:link w:val="Heading3"/>
    <w:uiPriority w:val="9"/>
    <w:rsid w:val="00643F37"/>
    <w:rPr>
      <w:rFonts w:asciiTheme="majorHAnsi" w:eastAsiaTheme="majorEastAsia" w:hAnsiTheme="majorHAnsi" w:cstheme="majorBidi"/>
      <w:color w:val="1F3763" w:themeColor="accent1" w:themeShade="7F"/>
      <w:kern w:val="0"/>
      <w:lang w:eastAsia="it-IT"/>
      <w14:ligatures w14:val="none"/>
    </w:rPr>
  </w:style>
  <w:style w:type="paragraph" w:styleId="Footer">
    <w:name w:val="footer"/>
    <w:basedOn w:val="Normal"/>
    <w:link w:val="FooterChar"/>
    <w:uiPriority w:val="99"/>
    <w:unhideWhenUsed/>
    <w:rsid w:val="00643F37"/>
    <w:pPr>
      <w:tabs>
        <w:tab w:val="center" w:pos="4819"/>
        <w:tab w:val="right" w:pos="9638"/>
      </w:tabs>
    </w:pPr>
  </w:style>
  <w:style w:type="character" w:customStyle="1" w:styleId="FooterChar">
    <w:name w:val="Footer Char"/>
    <w:basedOn w:val="DefaultParagraphFont"/>
    <w:link w:val="Footer"/>
    <w:uiPriority w:val="99"/>
    <w:rsid w:val="00643F37"/>
    <w:rPr>
      <w:rFonts w:ascii="Times New Roman" w:eastAsia="Times New Roman" w:hAnsi="Times New Roman" w:cs="Times New Roman"/>
      <w:kern w:val="0"/>
      <w:lang w:eastAsia="it-IT"/>
      <w14:ligatures w14:val="none"/>
    </w:rPr>
  </w:style>
  <w:style w:type="character" w:styleId="PageNumber">
    <w:name w:val="page number"/>
    <w:basedOn w:val="DefaultParagraphFont"/>
    <w:uiPriority w:val="99"/>
    <w:semiHidden/>
    <w:unhideWhenUsed/>
    <w:rsid w:val="00643F37"/>
  </w:style>
  <w:style w:type="paragraph" w:customStyle="1" w:styleId="Literaturverzeichnis2">
    <w:name w:val="Literaturverzeichnis2"/>
    <w:basedOn w:val="Normal"/>
    <w:link w:val="BibliographyCarattere3"/>
    <w:rsid w:val="001A1D96"/>
    <w:pPr>
      <w:tabs>
        <w:tab w:val="left" w:pos="380"/>
      </w:tabs>
      <w:spacing w:after="240"/>
    </w:pPr>
    <w:rPr>
      <w:color w:val="000000" w:themeColor="text1"/>
      <w:lang w:val="en-GB"/>
    </w:rPr>
  </w:style>
  <w:style w:type="character" w:customStyle="1" w:styleId="BibliographyCarattere3">
    <w:name w:val="Bibliography Carattere3"/>
    <w:basedOn w:val="DefaultParagraphFont"/>
    <w:link w:val="Literaturverzeichnis2"/>
    <w:rsid w:val="001A1D96"/>
    <w:rPr>
      <w:rFonts w:ascii="Times New Roman" w:eastAsia="Times New Roman" w:hAnsi="Times New Roman" w:cs="Times New Roman"/>
      <w:color w:val="000000" w:themeColor="text1"/>
      <w:kern w:val="0"/>
      <w:lang w:val="en-GB" w:eastAsia="it-IT"/>
      <w14:ligatures w14:val="none"/>
    </w:rPr>
  </w:style>
  <w:style w:type="character" w:styleId="Hyperlink">
    <w:name w:val="Hyperlink"/>
    <w:basedOn w:val="DefaultParagraphFont"/>
    <w:uiPriority w:val="99"/>
    <w:unhideWhenUsed/>
    <w:rsid w:val="004461C2"/>
    <w:rPr>
      <w:color w:val="0563C1" w:themeColor="hyperlink"/>
      <w:u w:val="single"/>
    </w:rPr>
  </w:style>
  <w:style w:type="character" w:customStyle="1" w:styleId="UnresolvedMention">
    <w:name w:val="Unresolved Mention"/>
    <w:basedOn w:val="DefaultParagraphFont"/>
    <w:uiPriority w:val="99"/>
    <w:semiHidden/>
    <w:unhideWhenUsed/>
    <w:rsid w:val="004461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ianchi.gaia96@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81/prg-100104165"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C02A7-BD6B-4EEA-B25F-47DB50E7D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5086</Words>
  <Characters>28992</Characters>
  <Application>Microsoft Office Word</Application>
  <DocSecurity>0</DocSecurity>
  <Lines>241</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gaia bianchi</dc:creator>
  <cp:keywords/>
  <dc:description/>
  <cp:lastModifiedBy>Priyanka  Ravichandran</cp:lastModifiedBy>
  <cp:revision>17</cp:revision>
  <dcterms:created xsi:type="dcterms:W3CDTF">2024-07-18T07:12:00Z</dcterms:created>
  <dcterms:modified xsi:type="dcterms:W3CDTF">2025-05-29T13:38:00Z</dcterms:modified>
</cp:coreProperties>
</file>