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E57" w:rsidRPr="000B1E3B" w:rsidRDefault="00E47E57" w:rsidP="00E47E57">
      <w:pPr>
        <w:rPr>
          <w:rFonts w:ascii="Times New Roman" w:hAnsi="Times New Roman" w:cs="Times New Roman"/>
          <w:color w:val="000000" w:themeColor="text1"/>
        </w:rPr>
      </w:pPr>
    </w:p>
    <w:p w:rsidR="00E47E57" w:rsidRPr="000B1E3B" w:rsidRDefault="00E47E57" w:rsidP="00E47E57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7E57" w:rsidRPr="000B1E3B" w:rsidTr="006D6281"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E57" w:rsidRPr="000B1E3B" w:rsidRDefault="00E47E57" w:rsidP="006D6281">
            <w:pPr>
              <w:spacing w:after="160"/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noProof/>
                <w:color w:val="000000" w:themeColor="text1"/>
                <w:lang w:val="en-IN" w:eastAsia="en-IN"/>
              </w:rPr>
              <w:drawing>
                <wp:inline distT="0" distB="0" distL="0" distR="0" wp14:anchorId="2D4FA4E3" wp14:editId="63756CFB">
                  <wp:extent cx="5943600" cy="4324985"/>
                  <wp:effectExtent l="0" t="0" r="0" b="0"/>
                  <wp:docPr id="9514276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32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E57" w:rsidRPr="000B1E3B" w:rsidTr="006D6281"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E57" w:rsidRPr="000B1E3B" w:rsidRDefault="00E47E57" w:rsidP="006D6281">
            <w:pPr>
              <w:spacing w:after="160"/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Supplemental Figure 1. ROC Curves - Predicting bicarbonate Levels &lt; 22 mmol/L from mixed-effects logistic regression models (Model 2)</w:t>
            </w:r>
          </w:p>
        </w:tc>
      </w:tr>
    </w:tbl>
    <w:p w:rsidR="00E47E57" w:rsidRPr="000B1E3B" w:rsidRDefault="00E47E57" w:rsidP="00E47E57">
      <w:pPr>
        <w:rPr>
          <w:rFonts w:ascii="Times New Roman" w:hAnsi="Times New Roman" w:cs="Times New Roman"/>
          <w:color w:val="000000" w:themeColor="text1"/>
        </w:rPr>
      </w:pPr>
    </w:p>
    <w:p w:rsidR="00E47E57" w:rsidRPr="000B1E3B" w:rsidRDefault="00E47E57" w:rsidP="00E47E57">
      <w:pPr>
        <w:rPr>
          <w:rFonts w:ascii="Times New Roman" w:hAnsi="Times New Roman" w:cs="Times New Roman"/>
          <w:color w:val="000000" w:themeColor="text1"/>
        </w:rPr>
      </w:pPr>
    </w:p>
    <w:p w:rsidR="00E47E57" w:rsidRPr="000B1E3B" w:rsidRDefault="00E47E57" w:rsidP="00E47E57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7E57" w:rsidRPr="000B1E3B" w:rsidTr="006D6281"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E57" w:rsidRPr="000B1E3B" w:rsidRDefault="00E47E57" w:rsidP="006D6281">
            <w:pPr>
              <w:spacing w:after="160"/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noProof/>
                <w:color w:val="000000" w:themeColor="text1"/>
                <w:lang w:val="en-IN" w:eastAsia="en-IN"/>
              </w:rPr>
              <w:drawing>
                <wp:inline distT="0" distB="0" distL="0" distR="0" wp14:anchorId="2AE2D531" wp14:editId="5B1983E1">
                  <wp:extent cx="5943600" cy="4324985"/>
                  <wp:effectExtent l="0" t="0" r="0" b="0"/>
                  <wp:docPr id="13166810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32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E57" w:rsidRPr="000B1E3B" w:rsidTr="006D6281"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E57" w:rsidRPr="000B1E3B" w:rsidRDefault="00E47E57" w:rsidP="006D6281">
            <w:pPr>
              <w:spacing w:after="160"/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Supplemental Figure 2. ROC Curves - Predicting bicarbonate levels between 22-24 mmol/L from mixed-effects logistic regression models. (Model 3)</w:t>
            </w:r>
          </w:p>
        </w:tc>
      </w:tr>
    </w:tbl>
    <w:p w:rsidR="00E47E57" w:rsidRPr="000B1E3B" w:rsidRDefault="00E47E57" w:rsidP="00E47E57">
      <w:pPr>
        <w:rPr>
          <w:rFonts w:ascii="Times New Roman" w:hAnsi="Times New Roman" w:cs="Times New Roman"/>
          <w:color w:val="000000" w:themeColor="text1"/>
        </w:rPr>
      </w:pPr>
    </w:p>
    <w:p w:rsidR="00E47E57" w:rsidRPr="000B1E3B" w:rsidRDefault="00E47E57" w:rsidP="00E47E57">
      <w:pPr>
        <w:rPr>
          <w:rFonts w:ascii="Times New Roman" w:hAnsi="Times New Roman" w:cs="Times New Roman"/>
          <w:color w:val="000000" w:themeColor="text1"/>
        </w:rPr>
      </w:pPr>
    </w:p>
    <w:p w:rsidR="00E47E57" w:rsidRPr="000B1E3B" w:rsidRDefault="00E47E57" w:rsidP="00E47E57">
      <w:pPr>
        <w:rPr>
          <w:rFonts w:ascii="Times New Roman" w:hAnsi="Times New Roman" w:cs="Times New Roman"/>
          <w:color w:val="000000" w:themeColor="text1"/>
        </w:rPr>
      </w:pPr>
    </w:p>
    <w:p w:rsidR="00E47E57" w:rsidRPr="000B1E3B" w:rsidRDefault="00E47E57" w:rsidP="00E47E57">
      <w:pPr>
        <w:rPr>
          <w:rFonts w:ascii="Times New Roman" w:hAnsi="Times New Roman" w:cs="Times New Roman"/>
          <w:color w:val="000000" w:themeColor="text1"/>
        </w:rPr>
      </w:pPr>
    </w:p>
    <w:p w:rsidR="00E47E57" w:rsidRPr="000B1E3B" w:rsidRDefault="00E47E57" w:rsidP="00E47E57">
      <w:pPr>
        <w:rPr>
          <w:rFonts w:ascii="Times New Roman" w:hAnsi="Times New Roman" w:cs="Times New Roman"/>
          <w:color w:val="000000" w:themeColor="text1"/>
          <w:u w:val="single"/>
        </w:rPr>
      </w:pPr>
      <w:r w:rsidRPr="000B1E3B">
        <w:rPr>
          <w:rFonts w:ascii="Times New Roman" w:hAnsi="Times New Roman" w:cs="Times New Roman"/>
          <w:color w:val="000000" w:themeColor="text1"/>
          <w:u w:val="single"/>
        </w:rPr>
        <w:t xml:space="preserve">Supplemental Table 1: Bootstrap analysis of </w:t>
      </w:r>
      <w:r w:rsidRPr="000B1E3B">
        <w:rPr>
          <w:rFonts w:ascii="Times New Roman" w:hAnsi="Times New Roman" w:cs="Times New Roman"/>
          <w:u w:val="single"/>
        </w:rPr>
        <w:t>adjusted changes in CKD-MBD elements in relation to risk for metabolic acidosis</w:t>
      </w:r>
    </w:p>
    <w:tbl>
      <w:tblPr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009"/>
        <w:gridCol w:w="2348"/>
        <w:gridCol w:w="1839"/>
        <w:gridCol w:w="1830"/>
      </w:tblGrid>
      <w:tr w:rsidR="00E47E57" w:rsidRPr="000B1E3B" w:rsidTr="006D6281">
        <w:trPr>
          <w:tblHeader/>
        </w:trPr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E47E57" w:rsidRPr="000B1E3B" w:rsidRDefault="00E47E57" w:rsidP="006D62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E47E57" w:rsidRPr="000B1E3B" w:rsidRDefault="00E47E57" w:rsidP="006D62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Change in plasma</w:t>
            </w:r>
          </w:p>
          <w:p w:rsidR="00E47E57" w:rsidRPr="000B1E3B" w:rsidRDefault="00E47E57" w:rsidP="006D62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bicarbonate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E47E57" w:rsidRPr="000B1E3B" w:rsidRDefault="00E47E57" w:rsidP="006D62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Subclinical</w:t>
            </w:r>
          </w:p>
          <w:p w:rsidR="00E47E57" w:rsidRPr="000B1E3B" w:rsidRDefault="00E47E57" w:rsidP="006D62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metabolic acidosis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E47E57" w:rsidRPr="000B1E3B" w:rsidRDefault="00E47E57" w:rsidP="006D62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Clinical</w:t>
            </w:r>
          </w:p>
          <w:p w:rsidR="00E47E57" w:rsidRPr="000B1E3B" w:rsidRDefault="00E47E57" w:rsidP="006D62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metabolic acidosis</w:t>
            </w:r>
          </w:p>
        </w:tc>
      </w:tr>
      <w:tr w:rsidR="00E47E57" w:rsidRPr="000B1E3B" w:rsidTr="006D6281">
        <w:trPr>
          <w:tblHeader/>
        </w:trPr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E47E57" w:rsidRPr="000B1E3B" w:rsidRDefault="00E47E57" w:rsidP="006D62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E47E57" w:rsidRPr="00D13B2A" w:rsidRDefault="00E47E57" w:rsidP="006D628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lang w:val="it-IT"/>
              </w:rPr>
            </w:pPr>
            <w:r w:rsidRPr="00D13B2A">
              <w:rPr>
                <w:rFonts w:ascii="Times New Roman" w:hAnsi="Times New Roman" w:cs="Times New Roman"/>
                <w:color w:val="000000" w:themeColor="text1"/>
                <w:lang w:val="it-IT"/>
              </w:rPr>
              <w:t xml:space="preserve">per mmol/L, (95% CI), </w:t>
            </w:r>
            <w:r w:rsidRPr="00D13B2A">
              <w:rPr>
                <w:rFonts w:ascii="Times New Roman" w:hAnsi="Times New Roman" w:cs="Times New Roman"/>
                <w:i/>
                <w:iCs/>
                <w:color w:val="000000" w:themeColor="text1"/>
                <w:lang w:val="it-IT"/>
              </w:rPr>
              <w:t>p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E47E57" w:rsidRPr="000B1E3B" w:rsidRDefault="00E47E57" w:rsidP="006D628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 xml:space="preserve">OR, (95% CI), </w:t>
            </w:r>
            <w:r w:rsidRPr="000B1E3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E47E57" w:rsidRPr="000B1E3B" w:rsidRDefault="00E47E57" w:rsidP="006D62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 xml:space="preserve">OR, (95% CI), </w:t>
            </w:r>
            <w:r w:rsidRPr="000B1E3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</w:tr>
      <w:tr w:rsidR="00E47E57" w:rsidRPr="000B1E3B" w:rsidTr="006D6281"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 (Years)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0.02, (0.02, 0.03)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0.98 (0.97, 0.99)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0.98 (0.97, 0.99)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E47E57" w:rsidRPr="000B1E3B" w:rsidTr="006D6281"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Time (per 6 months)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0.08, (-0.01, 0.17)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0.080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0.94 (0.82, 1.08)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0.358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0.78 (0.64, 0.96)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0.020</w:t>
            </w:r>
          </w:p>
        </w:tc>
      </w:tr>
      <w:tr w:rsidR="00E47E57" w:rsidRPr="000B1E3B" w:rsidTr="006D6281"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Time (non-linear)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-0.03, (-0.04, -0.02)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1.03 (1.01, 1.05)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0.001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1.04 (1.02, 1.07)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E47E57" w:rsidRPr="000B1E3B" w:rsidTr="006D6281"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Diabetes Mellitus (Yes)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-0.39 (-0.54, -0.25)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1.28 (1.10, 1.49)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1.55 (1.26, 1.92)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E47E57" w:rsidRPr="000B1E3B" w:rsidTr="006D6281"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Sodium Bicarbonate Use (Yes)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-0.39, (-0.82, 0.34)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0.421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1.28 (0.57, 2.87)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0.547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1.63 (0.67, 3.95)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0.282</w:t>
            </w:r>
          </w:p>
        </w:tc>
      </w:tr>
      <w:tr w:rsidR="00E47E57" w:rsidRPr="000B1E3B" w:rsidTr="006D6281"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eGFR (mL/min/1.73 m²)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0.05, (0.04, 0.06)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0.97 (0.96, 0.98)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0.95 (0.93, 0.96)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E47E57" w:rsidRPr="000B1E3B" w:rsidTr="006D6281"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Potassium (mmol/L)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-0.56, (-0.70, -0.42)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1.60(1.36, 1.88)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2.16 (1.76, 2.64)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E47E57" w:rsidRPr="000B1E3B" w:rsidTr="006D6281"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Log FGF-23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0.07, (-0.01, 0.15)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0.097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1.06 (0.95, 1.19)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0.317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1.02(0.86, 1.22)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0.797</w:t>
            </w:r>
          </w:p>
        </w:tc>
      </w:tr>
      <w:tr w:rsidR="00E47E57" w:rsidRPr="000B1E3B" w:rsidTr="006D6281"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Log PTH (Spline 1)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0.26, (0.03, 0.49)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0.028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0.76 (0.56, 1.04)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0.082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0.38 (0.40, 0.96)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0.034</w:t>
            </w:r>
          </w:p>
        </w:tc>
      </w:tr>
      <w:tr w:rsidR="00E47E57" w:rsidRPr="000B1E3B" w:rsidTr="006D6281"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Log PTH (Spline 2)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-0.25, (-0.52, 0.01)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0.064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1.42 (0.98, 2.04)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0.061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1.44 (0.86, 2.42)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0.167</w:t>
            </w:r>
          </w:p>
        </w:tc>
      </w:tr>
      <w:tr w:rsidR="00E47E57" w:rsidRPr="000B1E3B" w:rsidTr="006D6281"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Log 25(OH)D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0.38, (0.23, 0.54)</w:t>
            </w:r>
          </w:p>
          <w:tbl>
            <w:tblPr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706"/>
            </w:tblGrid>
            <w:tr w:rsidR="00E47E57" w:rsidRPr="000B1E3B" w:rsidTr="006D6281">
              <w:tc>
                <w:tcPr>
                  <w:tcW w:w="0" w:type="auto"/>
                  <w:shd w:val="clear" w:color="auto" w:fill="FFFFFF" w:themeFill="background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E57" w:rsidRPr="000B1E3B" w:rsidRDefault="00E47E57" w:rsidP="006D6281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B1E3B">
                    <w:rPr>
                      <w:rFonts w:ascii="Times New Roman" w:hAnsi="Times New Roman" w:cs="Times New Roman"/>
                      <w:color w:val="000000" w:themeColor="text1"/>
                    </w:rPr>
                    <w:t>&lt;0.001</w:t>
                  </w:r>
                </w:p>
              </w:tc>
            </w:tr>
          </w:tbl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0.67(0.55, 0.82)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0.65 (0.49 0.85)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</w:tr>
      <w:tr w:rsidR="00E47E57" w:rsidRPr="000B1E3B" w:rsidTr="006D6281"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Albumin (g/L)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-0.07, (-0.09, -0.04)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1.05 (1.02, 1.08)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0.004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1.04 (1.00, 1.09)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0.042</w:t>
            </w:r>
          </w:p>
        </w:tc>
      </w:tr>
      <w:tr w:rsidR="00E47E57" w:rsidRPr="000B1E3B" w:rsidTr="006D6281"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Phosphate (mmol/L)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-1.29, (-1.60, -0.98)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1.92 (1.26, 2.94)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0.003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5.03 (3.02, 8.38)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E47E57" w:rsidRPr="000B1E3B" w:rsidTr="006D6281"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Chloride (mmol/L)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-0.26, (-0.29, -0.24)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1.21 (1.18, 1.25)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1.31 (1.26, 1.37)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E47E57" w:rsidRPr="000B1E3B" w:rsidTr="006D6281"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Calcium (mmol/L)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2.70, (2.09, 3.32)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0.23 (0.10, 0.52)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0.15 (0.05, 0.42)</w:t>
            </w:r>
          </w:p>
          <w:p w:rsidR="00E47E57" w:rsidRPr="000B1E3B" w:rsidRDefault="00E47E57" w:rsidP="006D6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3B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</w:tbl>
    <w:p w:rsidR="00E47E57" w:rsidRPr="000B1E3B" w:rsidRDefault="00E47E57" w:rsidP="00E47E57">
      <w:pPr>
        <w:rPr>
          <w:rFonts w:ascii="Times New Roman" w:hAnsi="Times New Roman" w:cs="Times New Roman"/>
          <w:b/>
          <w:bCs/>
          <w:color w:val="000000" w:themeColor="text1"/>
        </w:rPr>
      </w:pPr>
    </w:p>
    <w:p w:rsidR="00137412" w:rsidRDefault="00137412"/>
    <w:sectPr w:rsidR="001374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E57"/>
    <w:rsid w:val="00022324"/>
    <w:rsid w:val="00022563"/>
    <w:rsid w:val="00057EE9"/>
    <w:rsid w:val="00067FAE"/>
    <w:rsid w:val="0009054B"/>
    <w:rsid w:val="00090EBD"/>
    <w:rsid w:val="000C0BD5"/>
    <w:rsid w:val="0010263E"/>
    <w:rsid w:val="0012629A"/>
    <w:rsid w:val="001314F5"/>
    <w:rsid w:val="00137412"/>
    <w:rsid w:val="001523DC"/>
    <w:rsid w:val="001943E0"/>
    <w:rsid w:val="001A399A"/>
    <w:rsid w:val="001A5858"/>
    <w:rsid w:val="001D427F"/>
    <w:rsid w:val="00200ED9"/>
    <w:rsid w:val="002041E2"/>
    <w:rsid w:val="00257FCD"/>
    <w:rsid w:val="002A260D"/>
    <w:rsid w:val="002C7F1C"/>
    <w:rsid w:val="00310B05"/>
    <w:rsid w:val="00313579"/>
    <w:rsid w:val="00314863"/>
    <w:rsid w:val="00340D90"/>
    <w:rsid w:val="00341BE2"/>
    <w:rsid w:val="0035449F"/>
    <w:rsid w:val="0036687B"/>
    <w:rsid w:val="00383ABB"/>
    <w:rsid w:val="003C6E83"/>
    <w:rsid w:val="00416258"/>
    <w:rsid w:val="0042097C"/>
    <w:rsid w:val="00425811"/>
    <w:rsid w:val="004468B1"/>
    <w:rsid w:val="00454B56"/>
    <w:rsid w:val="0046187C"/>
    <w:rsid w:val="0048142A"/>
    <w:rsid w:val="004C3670"/>
    <w:rsid w:val="004E0565"/>
    <w:rsid w:val="005267B1"/>
    <w:rsid w:val="00543B59"/>
    <w:rsid w:val="00557DCE"/>
    <w:rsid w:val="00570EBE"/>
    <w:rsid w:val="00582418"/>
    <w:rsid w:val="00583F67"/>
    <w:rsid w:val="005A43F7"/>
    <w:rsid w:val="005F116D"/>
    <w:rsid w:val="0060088D"/>
    <w:rsid w:val="0062418F"/>
    <w:rsid w:val="00646EB9"/>
    <w:rsid w:val="006B3129"/>
    <w:rsid w:val="007104EF"/>
    <w:rsid w:val="007E6EA4"/>
    <w:rsid w:val="0080501D"/>
    <w:rsid w:val="008A360F"/>
    <w:rsid w:val="008E4A70"/>
    <w:rsid w:val="008F308A"/>
    <w:rsid w:val="009073D5"/>
    <w:rsid w:val="00941AB8"/>
    <w:rsid w:val="00960F74"/>
    <w:rsid w:val="00A14579"/>
    <w:rsid w:val="00A6527C"/>
    <w:rsid w:val="00A761E2"/>
    <w:rsid w:val="00AB4A00"/>
    <w:rsid w:val="00B24E7E"/>
    <w:rsid w:val="00B36CCD"/>
    <w:rsid w:val="00B50036"/>
    <w:rsid w:val="00B7171F"/>
    <w:rsid w:val="00BF5B06"/>
    <w:rsid w:val="00C52B50"/>
    <w:rsid w:val="00C96742"/>
    <w:rsid w:val="00CD2A19"/>
    <w:rsid w:val="00D2762D"/>
    <w:rsid w:val="00D3025A"/>
    <w:rsid w:val="00D320BF"/>
    <w:rsid w:val="00D47FA6"/>
    <w:rsid w:val="00D525CF"/>
    <w:rsid w:val="00DE231B"/>
    <w:rsid w:val="00DE585B"/>
    <w:rsid w:val="00E47E57"/>
    <w:rsid w:val="00EA160A"/>
    <w:rsid w:val="00ED4695"/>
    <w:rsid w:val="00ED54F7"/>
    <w:rsid w:val="00EF63FB"/>
    <w:rsid w:val="00F10DC4"/>
    <w:rsid w:val="00F163F9"/>
    <w:rsid w:val="00F470D4"/>
    <w:rsid w:val="00F51AAB"/>
    <w:rsid w:val="00FB1611"/>
    <w:rsid w:val="00FD235A"/>
    <w:rsid w:val="00FE37AE"/>
    <w:rsid w:val="00FE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5F0948-88E9-4315-8CB2-E0A43AAAC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E57"/>
    <w:pPr>
      <w:spacing w:line="278" w:lineRule="auto"/>
    </w:pPr>
    <w:rPr>
      <w:kern w:val="2"/>
      <w:sz w:val="24"/>
      <w:szCs w:val="24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7E57"/>
    <w:pPr>
      <w:spacing w:after="0" w:line="240" w:lineRule="auto"/>
    </w:pPr>
    <w:rPr>
      <w:kern w:val="2"/>
      <w:lang w:val="en-C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47E57"/>
    <w:rPr>
      <w:b/>
      <w:bCs/>
    </w:rPr>
  </w:style>
  <w:style w:type="table" w:styleId="PlainTable4">
    <w:name w:val="Plain Table 4"/>
    <w:basedOn w:val="TableNormal"/>
    <w:uiPriority w:val="44"/>
    <w:rsid w:val="00E47E57"/>
    <w:pPr>
      <w:spacing w:after="0" w:line="240" w:lineRule="auto"/>
    </w:pPr>
    <w:rPr>
      <w:kern w:val="2"/>
      <w:sz w:val="24"/>
      <w:szCs w:val="24"/>
      <w:lang w:val="en-CA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Santhosh Anandhan</dc:creator>
  <cp:keywords/>
  <dc:description/>
  <cp:lastModifiedBy>Sheela Devi R Rajendran K</cp:lastModifiedBy>
  <cp:revision>2</cp:revision>
  <dcterms:created xsi:type="dcterms:W3CDTF">2025-11-07T10:02:00Z</dcterms:created>
  <dcterms:modified xsi:type="dcterms:W3CDTF">2025-11-20T08:52:00Z</dcterms:modified>
</cp:coreProperties>
</file>