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D64" w:rsidRPr="00AA0D64" w:rsidRDefault="00AA0D64" w:rsidP="00AA0D64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AA0D64">
        <w:rPr>
          <w:rFonts w:ascii="Times New Roman" w:hAnsi="Times New Roman" w:cs="Times New Roman"/>
          <w:color w:val="000000" w:themeColor="text1"/>
        </w:rPr>
        <w:t>Appendix 1. Summary of primary measured data and secondary literature based parameters</w:t>
      </w:r>
      <w:bookmarkStart w:id="0" w:name="_GoBack"/>
      <w:bookmarkEnd w:id="0"/>
    </w:p>
    <w:p w:rsidR="00AA0D64" w:rsidRPr="00AA0D64" w:rsidRDefault="00AA0D64" w:rsidP="00AA0D64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AA0D64">
        <w:rPr>
          <w:rFonts w:ascii="Times New Roman" w:hAnsi="Times New Roman" w:cs="Times New Roman"/>
          <w:color w:val="000000" w:themeColor="text1"/>
        </w:rPr>
        <w:t>Table S1: Data sources for key inventory items</w:t>
      </w:r>
    </w:p>
    <w:tbl>
      <w:tblPr>
        <w:tblStyle w:val="TableGrid"/>
        <w:tblW w:w="9010" w:type="dxa"/>
        <w:tblLook w:val="04A0" w:firstRow="1" w:lastRow="0" w:firstColumn="1" w:lastColumn="0" w:noHBand="0" w:noVBand="1"/>
      </w:tblPr>
      <w:tblGrid>
        <w:gridCol w:w="1418"/>
        <w:gridCol w:w="1701"/>
        <w:gridCol w:w="1558"/>
        <w:gridCol w:w="1862"/>
        <w:gridCol w:w="2471"/>
      </w:tblGrid>
      <w:tr w:rsidR="00AA0D64" w:rsidRPr="00AA0D64" w:rsidTr="00787138">
        <w:trPr>
          <w:trHeight w:val="892"/>
        </w:trPr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  <w:t>Inventory item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  <w:t>Data type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  <w:t>Description of parameter / use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  <w:t>Data source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  <w:t xml:space="preserve">Example </w:t>
            </w:r>
            <w:proofErr w:type="spellStart"/>
            <w:r w:rsidRPr="00AA0D64"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  <w:t>Ecoinvent</w:t>
            </w:r>
            <w:proofErr w:type="spellEnd"/>
            <w:r w:rsidRPr="00AA0D64"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  <w:t xml:space="preserve"> 3.11 process (background)</w:t>
            </w:r>
          </w:p>
        </w:tc>
      </w:tr>
      <w:tr w:rsidR="00AA0D64" w:rsidRPr="00AA0D64" w:rsidTr="00787138">
        <w:trPr>
          <w:trHeight w:val="1901"/>
        </w:trPr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Dialyser mass and material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Primary (measured)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Mass and plastic type per dialyser; number per session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Modena procurement records; product dismantling and weighing</w:t>
            </w:r>
            <w:r w:rsidRPr="00AA0D64">
              <w:rPr>
                <w:rStyle w:val="apple-converted-space"/>
                <w:rFonts w:eastAsiaTheme="majorEastAsia"/>
                <w:color w:val="000000" w:themeColor="text1"/>
                <w:spacing w:val="2"/>
                <w:sz w:val="21"/>
                <w:szCs w:val="21"/>
              </w:rPr>
              <w:t> </w:t>
            </w:r>
            <w:r w:rsidRPr="00AA0D64">
              <w:rPr>
                <w:color w:val="000000" w:themeColor="text1"/>
                <w:spacing w:val="2"/>
                <w:sz w:val="21"/>
                <w:szCs w:val="21"/>
                <w:bdr w:val="single" w:sz="2" w:space="0" w:color="auto" w:frame="1"/>
              </w:rPr>
              <w:t>​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manufacturing,</w:t>
            </w:r>
            <w:r w:rsidRPr="00AA0D64">
              <w:rPr>
                <w:rStyle w:val="apple-converted-space"/>
                <w:rFonts w:eastAsiaTheme="majorEastAsia"/>
                <w:color w:val="000000" w:themeColor="text1"/>
                <w:spacing w:val="2"/>
                <w:sz w:val="21"/>
                <w:szCs w:val="21"/>
              </w:rPr>
              <w:t>  </w:t>
            </w: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(region: Europe)</w:t>
            </w:r>
            <w:r w:rsidRPr="00AA0D64">
              <w:rPr>
                <w:rStyle w:val="apple-converted-space"/>
                <w:rFonts w:eastAsiaTheme="majorEastAsia"/>
                <w:color w:val="000000" w:themeColor="text1"/>
                <w:spacing w:val="2"/>
                <w:sz w:val="21"/>
                <w:szCs w:val="21"/>
              </w:rPr>
              <w:t> </w:t>
            </w:r>
            <w:r w:rsidRPr="00AA0D64">
              <w:rPr>
                <w:color w:val="000000" w:themeColor="text1"/>
                <w:spacing w:val="2"/>
                <w:sz w:val="21"/>
                <w:szCs w:val="21"/>
                <w:bdr w:val="single" w:sz="2" w:space="0" w:color="auto" w:frame="1"/>
              </w:rPr>
              <w:t>​</w:t>
            </w:r>
          </w:p>
        </w:tc>
      </w:tr>
      <w:tr w:rsidR="00AA0D64" w:rsidRPr="00AA0D64" w:rsidTr="00787138">
        <w:trPr>
          <w:trHeight w:val="1609"/>
        </w:trPr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Bloodline &amp; tubing set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Primary (measured)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Mass and composition of HD vs OLHDF sets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Modena procurement; dismantling and weighing</w:t>
            </w:r>
            <w:r w:rsidRPr="00AA0D64">
              <w:rPr>
                <w:rStyle w:val="apple-converted-space"/>
                <w:rFonts w:eastAsiaTheme="majorEastAsia"/>
                <w:color w:val="000000" w:themeColor="text1"/>
                <w:spacing w:val="2"/>
                <w:sz w:val="21"/>
                <w:szCs w:val="21"/>
              </w:rPr>
              <w:t> </w:t>
            </w:r>
            <w:r w:rsidRPr="00AA0D64">
              <w:rPr>
                <w:color w:val="000000" w:themeColor="text1"/>
                <w:spacing w:val="2"/>
                <w:sz w:val="21"/>
                <w:szCs w:val="21"/>
                <w:bdr w:val="single" w:sz="2" w:space="0" w:color="auto" w:frame="1"/>
              </w:rPr>
              <w:t>​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Same plastics / packaging processes as above</w:t>
            </w:r>
            <w:r w:rsidRPr="00AA0D64">
              <w:rPr>
                <w:rStyle w:val="apple-converted-space"/>
                <w:rFonts w:eastAsiaTheme="majorEastAsia"/>
                <w:color w:val="000000" w:themeColor="text1"/>
                <w:spacing w:val="2"/>
                <w:sz w:val="21"/>
                <w:szCs w:val="21"/>
              </w:rPr>
              <w:t> </w:t>
            </w:r>
            <w:r w:rsidRPr="00AA0D64">
              <w:rPr>
                <w:color w:val="000000" w:themeColor="text1"/>
                <w:spacing w:val="2"/>
                <w:sz w:val="21"/>
                <w:szCs w:val="21"/>
                <w:bdr w:val="single" w:sz="2" w:space="0" w:color="auto" w:frame="1"/>
              </w:rPr>
              <w:t>​</w:t>
            </w:r>
          </w:p>
        </w:tc>
      </w:tr>
      <w:tr w:rsidR="00AA0D64" w:rsidRPr="00AA0D64" w:rsidTr="00787138">
        <w:trPr>
          <w:trHeight w:val="1630"/>
        </w:trPr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Concentrate &amp; saline volumes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Primary (measured)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Litres per session of acid, bicarbonate and saline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Nurse logs; stock usage records</w:t>
            </w:r>
            <w:r w:rsidRPr="00AA0D64">
              <w:rPr>
                <w:rStyle w:val="apple-converted-space"/>
                <w:rFonts w:eastAsiaTheme="majorEastAsia"/>
                <w:color w:val="000000" w:themeColor="text1"/>
                <w:spacing w:val="2"/>
                <w:sz w:val="21"/>
                <w:szCs w:val="21"/>
              </w:rPr>
              <w:t> </w:t>
            </w:r>
            <w:r w:rsidRPr="00AA0D64">
              <w:rPr>
                <w:color w:val="000000" w:themeColor="text1"/>
                <w:spacing w:val="2"/>
                <w:sz w:val="21"/>
                <w:szCs w:val="21"/>
                <w:bdr w:val="single" w:sz="2" w:space="0" w:color="auto" w:frame="1"/>
              </w:rPr>
              <w:t>​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 xml:space="preserve">Production of chemical solution / </w:t>
            </w:r>
            <w:proofErr w:type="spellStart"/>
            <w:r w:rsidRPr="00AA0D64">
              <w:rPr>
                <w:color w:val="000000" w:themeColor="text1"/>
                <w:spacing w:val="2"/>
                <w:sz w:val="21"/>
                <w:szCs w:val="21"/>
              </w:rPr>
              <w:t>NaCl</w:t>
            </w:r>
            <w:proofErr w:type="spellEnd"/>
            <w:r w:rsidRPr="00AA0D64">
              <w:rPr>
                <w:color w:val="000000" w:themeColor="text1"/>
                <w:spacing w:val="2"/>
                <w:sz w:val="21"/>
                <w:szCs w:val="21"/>
              </w:rPr>
              <w:t xml:space="preserve"> in </w:t>
            </w:r>
            <w:proofErr w:type="spellStart"/>
            <w:r w:rsidRPr="00AA0D64">
              <w:rPr>
                <w:color w:val="000000" w:themeColor="text1"/>
                <w:spacing w:val="2"/>
                <w:sz w:val="21"/>
                <w:szCs w:val="21"/>
              </w:rPr>
              <w:t>Ecoinvent</w:t>
            </w:r>
            <w:proofErr w:type="spellEnd"/>
            <w:r w:rsidRPr="00AA0D64">
              <w:rPr>
                <w:rStyle w:val="apple-converted-space"/>
                <w:rFonts w:eastAsiaTheme="majorEastAsia"/>
                <w:color w:val="000000" w:themeColor="text1"/>
                <w:spacing w:val="2"/>
                <w:sz w:val="21"/>
                <w:szCs w:val="21"/>
              </w:rPr>
              <w:t> </w:t>
            </w:r>
            <w:r w:rsidRPr="00AA0D64">
              <w:rPr>
                <w:color w:val="000000" w:themeColor="text1"/>
                <w:spacing w:val="2"/>
                <w:sz w:val="21"/>
                <w:szCs w:val="21"/>
                <w:bdr w:val="single" w:sz="2" w:space="0" w:color="auto" w:frame="1"/>
              </w:rPr>
              <w:t>​</w:t>
            </w:r>
          </w:p>
        </w:tc>
      </w:tr>
      <w:tr w:rsidR="00AA0D64" w:rsidRPr="00AA0D64" w:rsidTr="00787138">
        <w:trPr>
          <w:trHeight w:val="1630"/>
        </w:trPr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Electricity – machine &amp; RO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Primary (measured)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kWh per HD and OLHDF session (treatment + disinfection)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Plug</w:t>
            </w:r>
            <w:r w:rsidRPr="00AA0D64">
              <w:rPr>
                <w:color w:val="000000" w:themeColor="text1"/>
                <w:spacing w:val="2"/>
                <w:sz w:val="21"/>
                <w:szCs w:val="21"/>
              </w:rPr>
              <w:noBreakHyphen/>
              <w:t>in energy meter on Fresenius 5008 and RO units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“Electricity, medium voltage, IT, at grid”</w:t>
            </w:r>
          </w:p>
        </w:tc>
      </w:tr>
      <w:tr w:rsidR="00AA0D64" w:rsidRPr="00AA0D64" w:rsidTr="00787138">
        <w:trPr>
          <w:trHeight w:val="1337"/>
        </w:trPr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RO product and reject water volumes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Primary (measured)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Litres of product and reject water per session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RO flow</w:t>
            </w:r>
            <w:r w:rsidRPr="00AA0D64">
              <w:rPr>
                <w:color w:val="000000" w:themeColor="text1"/>
                <w:spacing w:val="2"/>
                <w:sz w:val="21"/>
                <w:szCs w:val="21"/>
              </w:rPr>
              <w:noBreakHyphen/>
              <w:t>meter readings at Modena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“Tap water, at user, Europe” + wastewater treatment</w:t>
            </w:r>
          </w:p>
        </w:tc>
      </w:tr>
      <w:tr w:rsidR="00AA0D64" w:rsidRPr="00AA0D64" w:rsidTr="00787138">
        <w:trPr>
          <w:trHeight w:val="1609"/>
        </w:trPr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Patient travel distance per session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Secondary (literature)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Average round</w:t>
            </w:r>
            <w:r w:rsidRPr="00AA0D64">
              <w:rPr>
                <w:color w:val="000000" w:themeColor="text1"/>
                <w:spacing w:val="2"/>
                <w:sz w:val="21"/>
                <w:szCs w:val="21"/>
              </w:rPr>
              <w:noBreakHyphen/>
              <w:t>trip km by car per HD session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Irish haemodialysis travel study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“Transport, passenger car, fleet average, Europe”</w:t>
            </w:r>
          </w:p>
        </w:tc>
      </w:tr>
      <w:tr w:rsidR="00AA0D64" w:rsidRPr="00AA0D64" w:rsidTr="00787138">
        <w:trPr>
          <w:trHeight w:val="1337"/>
        </w:trPr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lastRenderedPageBreak/>
              <w:t>Staff commuting distance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Secondary (literature)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Average round</w:t>
            </w:r>
            <w:r w:rsidRPr="00AA0D64">
              <w:rPr>
                <w:color w:val="000000" w:themeColor="text1"/>
                <w:spacing w:val="2"/>
                <w:sz w:val="21"/>
                <w:szCs w:val="21"/>
              </w:rPr>
              <w:noBreakHyphen/>
              <w:t>trip km by car per HD session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Irish haemodialysis travel study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Same passenger car process as above</w:t>
            </w:r>
          </w:p>
        </w:tc>
      </w:tr>
      <w:tr w:rsidR="00AA0D64" w:rsidRPr="00AA0D64" w:rsidTr="00787138">
        <w:trPr>
          <w:trHeight w:val="1630"/>
        </w:trPr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Waste treatment – hazardous clinical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Secondary (contractor + database)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Share autoclaved, incinerated, landfilled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Modena waste contractor documentation</w:t>
            </w:r>
            <w:r w:rsidRPr="00AA0D64">
              <w:rPr>
                <w:rStyle w:val="apple-converted-space"/>
                <w:rFonts w:eastAsiaTheme="majorEastAsia"/>
                <w:color w:val="000000" w:themeColor="text1"/>
                <w:spacing w:val="2"/>
                <w:sz w:val="21"/>
                <w:szCs w:val="21"/>
              </w:rPr>
              <w:t> </w:t>
            </w:r>
            <w:r w:rsidRPr="00AA0D64">
              <w:rPr>
                <w:color w:val="000000" w:themeColor="text1"/>
                <w:spacing w:val="2"/>
                <w:sz w:val="21"/>
                <w:szCs w:val="21"/>
                <w:bdr w:val="single" w:sz="2" w:space="0" w:color="auto" w:frame="1"/>
              </w:rPr>
              <w:t>​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“Treatment of infectious waste, incineration”</w:t>
            </w:r>
            <w:r w:rsidRPr="00AA0D64">
              <w:rPr>
                <w:rStyle w:val="apple-converted-space"/>
                <w:rFonts w:eastAsiaTheme="majorEastAsia"/>
                <w:color w:val="000000" w:themeColor="text1"/>
                <w:spacing w:val="2"/>
                <w:sz w:val="21"/>
                <w:szCs w:val="21"/>
              </w:rPr>
              <w:t> </w:t>
            </w:r>
            <w:r w:rsidRPr="00AA0D64">
              <w:rPr>
                <w:color w:val="000000" w:themeColor="text1"/>
                <w:spacing w:val="2"/>
                <w:sz w:val="21"/>
                <w:szCs w:val="21"/>
                <w:bdr w:val="single" w:sz="2" w:space="0" w:color="auto" w:frame="1"/>
              </w:rPr>
              <w:t>​</w:t>
            </w:r>
          </w:p>
        </w:tc>
      </w:tr>
      <w:tr w:rsidR="00AA0D64" w:rsidRPr="00AA0D64" w:rsidTr="00787138">
        <w:trPr>
          <w:trHeight w:val="1609"/>
        </w:trPr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Waste treatment – packaging / general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Secondary (contractor + database)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Fraction to municipal waste / recycling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Modena waste contractor documentation</w:t>
            </w:r>
            <w:r w:rsidRPr="00AA0D64">
              <w:rPr>
                <w:rStyle w:val="apple-converted-space"/>
                <w:rFonts w:eastAsiaTheme="majorEastAsia"/>
                <w:color w:val="000000" w:themeColor="text1"/>
                <w:spacing w:val="2"/>
                <w:sz w:val="21"/>
                <w:szCs w:val="21"/>
              </w:rPr>
              <w:t> </w:t>
            </w:r>
            <w:r w:rsidRPr="00AA0D64">
              <w:rPr>
                <w:color w:val="000000" w:themeColor="text1"/>
                <w:spacing w:val="2"/>
                <w:sz w:val="21"/>
                <w:szCs w:val="21"/>
                <w:bdr w:val="single" w:sz="2" w:space="0" w:color="auto" w:frame="1"/>
              </w:rPr>
              <w:t>​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“Municipal solid waste, treatment, sanitary landfill”</w:t>
            </w:r>
            <w:r w:rsidRPr="00AA0D64">
              <w:rPr>
                <w:rStyle w:val="apple-converted-space"/>
                <w:rFonts w:eastAsiaTheme="majorEastAsia"/>
                <w:color w:val="000000" w:themeColor="text1"/>
                <w:spacing w:val="2"/>
                <w:sz w:val="21"/>
                <w:szCs w:val="21"/>
              </w:rPr>
              <w:t> </w:t>
            </w:r>
            <w:r w:rsidRPr="00AA0D64">
              <w:rPr>
                <w:color w:val="000000" w:themeColor="text1"/>
                <w:spacing w:val="2"/>
                <w:sz w:val="21"/>
                <w:szCs w:val="21"/>
                <w:bdr w:val="single" w:sz="2" w:space="0" w:color="auto" w:frame="1"/>
              </w:rPr>
              <w:t>​</w:t>
            </w:r>
          </w:p>
        </w:tc>
      </w:tr>
      <w:tr w:rsidR="00AA0D64" w:rsidRPr="00AA0D64" w:rsidTr="00787138">
        <w:trPr>
          <w:trHeight w:val="1901"/>
        </w:trPr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Plastics and packaging production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Background (</w:t>
            </w:r>
            <w:proofErr w:type="spellStart"/>
            <w:r w:rsidRPr="00AA0D64">
              <w:rPr>
                <w:color w:val="000000" w:themeColor="text1"/>
                <w:spacing w:val="2"/>
                <w:sz w:val="21"/>
                <w:szCs w:val="21"/>
              </w:rPr>
              <w:t>Ecoinvent</w:t>
            </w:r>
            <w:proofErr w:type="spellEnd"/>
            <w:r w:rsidRPr="00AA0D64">
              <w:rPr>
                <w:color w:val="000000" w:themeColor="text1"/>
                <w:spacing w:val="2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Upstream production of polymer resins and packaging materials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 xml:space="preserve">Modelled only via </w:t>
            </w:r>
            <w:proofErr w:type="spellStart"/>
            <w:r w:rsidRPr="00AA0D64">
              <w:rPr>
                <w:color w:val="000000" w:themeColor="text1"/>
                <w:spacing w:val="2"/>
                <w:sz w:val="21"/>
                <w:szCs w:val="21"/>
              </w:rPr>
              <w:t>Ecoinvent</w:t>
            </w:r>
            <w:proofErr w:type="spellEnd"/>
            <w:r w:rsidRPr="00AA0D64">
              <w:rPr>
                <w:color w:val="000000" w:themeColor="text1"/>
                <w:spacing w:val="2"/>
                <w:sz w:val="21"/>
                <w:szCs w:val="21"/>
              </w:rPr>
              <w:t xml:space="preserve"> processes</w:t>
            </w:r>
            <w:r w:rsidRPr="00AA0D64">
              <w:rPr>
                <w:rStyle w:val="apple-converted-space"/>
                <w:rFonts w:eastAsiaTheme="majorEastAsia"/>
                <w:color w:val="000000" w:themeColor="text1"/>
                <w:spacing w:val="2"/>
                <w:sz w:val="21"/>
                <w:szCs w:val="21"/>
              </w:rPr>
              <w:t> </w:t>
            </w:r>
            <w:r w:rsidRPr="00AA0D64">
              <w:rPr>
                <w:color w:val="000000" w:themeColor="text1"/>
                <w:spacing w:val="2"/>
                <w:sz w:val="21"/>
                <w:szCs w:val="21"/>
                <w:bdr w:val="single" w:sz="2" w:space="0" w:color="auto" w:frame="1"/>
              </w:rPr>
              <w:t>​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rStyle w:val="HTMLCode"/>
                <w:rFonts w:ascii="Times New Roman" w:eastAsiaTheme="majorEastAsia" w:hAnsi="Times New Roman" w:cs="Times New Roman"/>
                <w:color w:val="000000" w:themeColor="text1"/>
                <w:spacing w:val="2"/>
                <w:sz w:val="18"/>
                <w:szCs w:val="18"/>
                <w:bdr w:val="single" w:sz="2" w:space="0" w:color="auto" w:frame="1"/>
              </w:rPr>
              <w:t>Polypropylene, granulate, at plant</w:t>
            </w: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(Europe)</w:t>
            </w:r>
            <w:r w:rsidRPr="00AA0D64">
              <w:rPr>
                <w:rStyle w:val="apple-converted-space"/>
                <w:rFonts w:eastAsiaTheme="majorEastAsia"/>
                <w:color w:val="000000" w:themeColor="text1"/>
                <w:spacing w:val="2"/>
                <w:sz w:val="21"/>
                <w:szCs w:val="21"/>
              </w:rPr>
              <w:t> </w:t>
            </w:r>
            <w:r w:rsidRPr="00AA0D64">
              <w:rPr>
                <w:color w:val="000000" w:themeColor="text1"/>
                <w:spacing w:val="2"/>
                <w:sz w:val="21"/>
                <w:szCs w:val="21"/>
                <w:bdr w:val="single" w:sz="2" w:space="0" w:color="auto" w:frame="1"/>
              </w:rPr>
              <w:t>​</w:t>
            </w:r>
          </w:p>
        </w:tc>
      </w:tr>
      <w:tr w:rsidR="00AA0D64" w:rsidRPr="00AA0D64" w:rsidTr="00787138">
        <w:trPr>
          <w:trHeight w:val="91"/>
        </w:trPr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Grid electricity mix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Background (</w:t>
            </w:r>
            <w:proofErr w:type="spellStart"/>
            <w:r w:rsidRPr="00AA0D64">
              <w:rPr>
                <w:color w:val="000000" w:themeColor="text1"/>
                <w:spacing w:val="2"/>
                <w:sz w:val="21"/>
                <w:szCs w:val="21"/>
              </w:rPr>
              <w:t>Ecoinvent</w:t>
            </w:r>
            <w:proofErr w:type="spellEnd"/>
            <w:r w:rsidRPr="00AA0D64">
              <w:rPr>
                <w:color w:val="000000" w:themeColor="text1"/>
                <w:spacing w:val="2"/>
                <w:sz w:val="21"/>
                <w:szCs w:val="21"/>
              </w:rPr>
              <w:t>/EEA)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Italian grid emission factor (0.25 kg CO₂/kWh)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 xml:space="preserve">EEA GHG intensity; </w:t>
            </w:r>
            <w:proofErr w:type="spellStart"/>
            <w:r w:rsidRPr="00AA0D64">
              <w:rPr>
                <w:color w:val="000000" w:themeColor="text1"/>
                <w:spacing w:val="2"/>
                <w:sz w:val="21"/>
                <w:szCs w:val="21"/>
              </w:rPr>
              <w:t>Ecoinvent</w:t>
            </w:r>
            <w:proofErr w:type="spellEnd"/>
            <w:r w:rsidRPr="00AA0D64">
              <w:rPr>
                <w:color w:val="000000" w:themeColor="text1"/>
                <w:spacing w:val="2"/>
                <w:sz w:val="21"/>
                <w:szCs w:val="21"/>
              </w:rPr>
              <w:t xml:space="preserve"> electricity datasets</w:t>
            </w:r>
            <w:r w:rsidRPr="00AA0D64">
              <w:rPr>
                <w:rStyle w:val="apple-converted-space"/>
                <w:rFonts w:eastAsiaTheme="majorEastAsia"/>
                <w:color w:val="000000" w:themeColor="text1"/>
                <w:spacing w:val="2"/>
                <w:sz w:val="21"/>
                <w:szCs w:val="21"/>
              </w:rPr>
              <w:t> </w:t>
            </w:r>
            <w:r w:rsidRPr="00AA0D64">
              <w:rPr>
                <w:color w:val="000000" w:themeColor="text1"/>
                <w:spacing w:val="2"/>
                <w:sz w:val="21"/>
                <w:szCs w:val="21"/>
                <w:bdr w:val="single" w:sz="2" w:space="0" w:color="auto" w:frame="1"/>
              </w:rPr>
              <w:t>​</w:t>
            </w:r>
          </w:p>
        </w:tc>
        <w:tc>
          <w:tcPr>
            <w:tcW w:w="0" w:type="auto"/>
            <w:hideMark/>
          </w:tcPr>
          <w:p w:rsidR="00AA0D64" w:rsidRPr="00AA0D64" w:rsidRDefault="00AA0D64" w:rsidP="00787138">
            <w:pPr>
              <w:spacing w:before="240" w:after="240"/>
              <w:rPr>
                <w:color w:val="000000" w:themeColor="text1"/>
                <w:spacing w:val="2"/>
                <w:sz w:val="21"/>
                <w:szCs w:val="21"/>
              </w:rPr>
            </w:pPr>
            <w:r w:rsidRPr="00AA0D64">
              <w:rPr>
                <w:color w:val="000000" w:themeColor="text1"/>
                <w:spacing w:val="2"/>
                <w:sz w:val="21"/>
                <w:szCs w:val="21"/>
              </w:rPr>
              <w:t>“Electricity, medium voltage, production mix, IT”</w:t>
            </w:r>
            <w:r w:rsidRPr="00AA0D64">
              <w:rPr>
                <w:rStyle w:val="apple-converted-space"/>
                <w:rFonts w:eastAsiaTheme="majorEastAsia"/>
                <w:color w:val="000000" w:themeColor="text1"/>
                <w:spacing w:val="2"/>
                <w:sz w:val="21"/>
                <w:szCs w:val="21"/>
              </w:rPr>
              <w:t> </w:t>
            </w:r>
            <w:r w:rsidRPr="00AA0D64">
              <w:rPr>
                <w:color w:val="000000" w:themeColor="text1"/>
                <w:spacing w:val="2"/>
                <w:sz w:val="21"/>
                <w:szCs w:val="21"/>
                <w:bdr w:val="single" w:sz="2" w:space="0" w:color="auto" w:frame="1"/>
              </w:rPr>
              <w:t>​</w:t>
            </w:r>
          </w:p>
        </w:tc>
      </w:tr>
    </w:tbl>
    <w:p w:rsidR="00AA0D64" w:rsidRPr="00AA0D64" w:rsidRDefault="00AA0D64" w:rsidP="00AA0D64">
      <w:pPr>
        <w:rPr>
          <w:color w:val="000000" w:themeColor="text1"/>
        </w:rPr>
      </w:pPr>
    </w:p>
    <w:p w:rsidR="00AA0D64" w:rsidRPr="00AA0D64" w:rsidRDefault="00AA0D64" w:rsidP="00AA0D64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AA0D64">
        <w:rPr>
          <w:rFonts w:ascii="Times New Roman" w:hAnsi="Times New Roman" w:cs="Times New Roman"/>
          <w:color w:val="000000" w:themeColor="text1"/>
        </w:rPr>
        <w:t>Appendix 2. Sensitivity analysis calculations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Baseline and constants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Functional unit. One patient-year, 156 sessions.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Baseline mix. 52% HD, 47% OLHDF.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Totals used in Results. Baseline 4,469 kg CO2-eq, 60,290 MJ, 1,364 m³ world-eq.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HD only. 4,427 kg CO2-eq, 58,900 MJ, 1,364 m³.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OLHDF only. 4,548 kg CO2-eq, 62,250 MJ, 1,366 m³.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Per-session carbon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– HD: 4,427 ÷ 156 = 28.378 kg CO2-eq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lastRenderedPageBreak/>
        <w:t>– OLHDF: 4,548 ÷ 156 = 29.154 kg CO2-eq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– Baseline mix: 4,469 ÷ 156 = 28.647 kg CO2-eq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Measured electricity difference. OLHDF = 5.7% higher than HD. Energy difference 62,250 − 58,900 = 3,350 MJ per year, or 3,350 ÷ 156 = 21.5 MJ per session.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Water difference. OLHDF uses 27 L more product water per session.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A. Modality share sweep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Definition. Compare HD-only vs OLHDF-only totals.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Calculation. ΔCO2-eq = 4,548 − 4,427 = 121 kg CO2-eq per patient-year.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% change vs HD-only = 121 ÷ 4,427 × 100 = 2.7%.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Interpretation. Moving from 0 to 100% OLHDF raises annual carbon by about 2.7%.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B. Session frequency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Scenarios provided: 150 and 160 sessions per year, HD-only.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Calculations vs baseline 4,469 kg CO2-eq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150 sessions: 4,270 kg, change = −199 kg, % = −199 ÷ 4,469 × 100 = −4.45 %.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160 sessions: 4,555 kg, change = +86 kg, % = +86 ÷ 4,469 × 100 = +1.92 %.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Calculations vs HD-only 4,427 kg CO2-eq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150 sessions: change = −157 kg, % = −157 ÷ 4,427 × 100 = −3.55 %.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160 sessions: change = +128 kg, % = +128 ÷ 4,427 × 100 = +2.89 %.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C. Electricity grid factor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Scenario. EU-average grid factor raises total to 4,500 kg CO2-eq.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Calculation. Change = 4,500 − 4,469 = +31 kg CO2-eq.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% = 31 ÷ 4,469 × 100 = 0.69 %.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D. RO recovery efficiency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Assumptions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Product water per session. HD 382 L, OLHDF 409 L.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Annual product water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lastRenderedPageBreak/>
        <w:t>– HD: 382 × 156 = 59,592 L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– OLHDF: 409 × 156 = 63,804 L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RO recovery r. Feed water = product ÷ r. Reject = feed − product.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Feed and reject volumes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At 65 % recovery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– HD: feed 59,592 ÷ 0.65 = 91,680 L, reject 32,088 L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– OLHDF: feed 63,804 ÷ 0.65 = 98,160 L, reject 34,356 L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At 50 % recovery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– HD: feed 119,184 L, reject 59,592 L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– OLHDF: feed 127,608 L, reject 63,804 L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At 70 % recovery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– HD: feed 59,592 ÷ 0.70 = 85,131 L, reject 25,539 L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– OLHDF: feed 63,804 ÷ 0.70 = 91,149 L, reject 27,345 L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Water-related carbon saving estimate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Method. Derive a product-water emission factor from HD water production.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HD water production carbon = 32 kg CO2-eq per year.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Emission factor per litre of product water = 32 ÷ 59,592 = 5.37×10⁻⁴ kg CO2-eq per L.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Use this factor to estimate changes when product-water use falls.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E. Reduced-flow OLHDF scenario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 xml:space="preserve">Prescription. Same adequacy, </w:t>
      </w:r>
      <w:proofErr w:type="spellStart"/>
      <w:r w:rsidRPr="00AA0D64">
        <w:rPr>
          <w:color w:val="000000" w:themeColor="text1"/>
        </w:rPr>
        <w:t>Qd</w:t>
      </w:r>
      <w:proofErr w:type="spellEnd"/>
      <w:r w:rsidRPr="00AA0D64">
        <w:rPr>
          <w:color w:val="000000" w:themeColor="text1"/>
        </w:rPr>
        <w:t xml:space="preserve"> reduced so dialysate falls by 25 L per session, convective 25 L maintained.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Water saving. 25 L per session × 156 = 3,900 L per year.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Carbon saving from water production. 3,900 × 5.37×10⁻⁴ = 2.09 kg CO2-eq per year.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Note. Additional savings from lower pumping may add about 1 kg CO2-eq, giving the 3 to 4 kg CO2-eq range reported.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F. Electricity difference per session and %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lastRenderedPageBreak/>
        <w:t>Given energy totals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HD energy = 58,900 MJ per year.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• OLHDF energy = 62,250 MJ per year.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Difference = 3,350 MJ per year.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Per session difference = 3,350 ÷ 156 = 21.5 MJ per session.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% difference vs HD = 3,350 ÷ 58,900 × 100 = 5.69 %.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G. Summary table for Appendix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Scenario, Carbon kg CO2-eq per year, Energy MJ per year, LCIA Water m³ world-</w:t>
      </w:r>
      <w:proofErr w:type="spellStart"/>
      <w:r w:rsidRPr="00AA0D64">
        <w:rPr>
          <w:color w:val="000000" w:themeColor="text1"/>
        </w:rPr>
        <w:t>eq</w:t>
      </w:r>
      <w:proofErr w:type="spellEnd"/>
      <w:r w:rsidRPr="00AA0D64">
        <w:rPr>
          <w:color w:val="000000" w:themeColor="text1"/>
        </w:rPr>
        <w:t xml:space="preserve"> per year, Change vs baseline carbon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Baseline mix 52 % HD and 47 % OLHDF, 4,469, 60,290, 1,364, reference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HD only 0% OLHDF, 4,427, 58,900, 1,364, −42 kg, −0.94 %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OLHDF only 100%, 4,548, 62,250, 1,366, +79 kg, +1.77 %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Modality swing 0 to 100 %, +121 kg, +2.73 % vs HD-only, as above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150 sessions, 4,270, 57,940, 1,312, -199 kg vs baseline, -4.45 %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160 sessions, 4,555, 61,730, 1,384, +86 kg vs baseline, +1.92 %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 xml:space="preserve">EU grid factor 0.29 kg CO2 per kWh, 4,500, </w:t>
      </w:r>
      <w:proofErr w:type="spellStart"/>
      <w:proofErr w:type="gramStart"/>
      <w:r w:rsidRPr="00AA0D64">
        <w:rPr>
          <w:color w:val="000000" w:themeColor="text1"/>
        </w:rPr>
        <w:t>n.a</w:t>
      </w:r>
      <w:proofErr w:type="spellEnd"/>
      <w:proofErr w:type="gramEnd"/>
      <w:r w:rsidRPr="00AA0D64">
        <w:rPr>
          <w:color w:val="000000" w:themeColor="text1"/>
        </w:rPr>
        <w:t xml:space="preserve">., </w:t>
      </w:r>
      <w:proofErr w:type="spellStart"/>
      <w:r w:rsidRPr="00AA0D64">
        <w:rPr>
          <w:color w:val="000000" w:themeColor="text1"/>
        </w:rPr>
        <w:t>n.a</w:t>
      </w:r>
      <w:proofErr w:type="spellEnd"/>
      <w:r w:rsidRPr="00AA0D64">
        <w:rPr>
          <w:color w:val="000000" w:themeColor="text1"/>
        </w:rPr>
        <w:t>., +31 kg, +0.69 %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 xml:space="preserve">RO recovery 50 %, </w:t>
      </w:r>
      <w:proofErr w:type="spellStart"/>
      <w:proofErr w:type="gramStart"/>
      <w:r w:rsidRPr="00AA0D64">
        <w:rPr>
          <w:color w:val="000000" w:themeColor="text1"/>
        </w:rPr>
        <w:t>n.a</w:t>
      </w:r>
      <w:proofErr w:type="spellEnd"/>
      <w:proofErr w:type="gramEnd"/>
      <w:r w:rsidRPr="00AA0D64">
        <w:rPr>
          <w:color w:val="000000" w:themeColor="text1"/>
        </w:rPr>
        <w:t xml:space="preserve">., </w:t>
      </w:r>
      <w:proofErr w:type="spellStart"/>
      <w:r w:rsidRPr="00AA0D64">
        <w:rPr>
          <w:color w:val="000000" w:themeColor="text1"/>
        </w:rPr>
        <w:t>n.a</w:t>
      </w:r>
      <w:proofErr w:type="spellEnd"/>
      <w:r w:rsidRPr="00AA0D64">
        <w:rPr>
          <w:color w:val="000000" w:themeColor="text1"/>
        </w:rPr>
        <w:t>., HD feed 119 m³ reject 59.6 m³, OLHDF feed 128 m³ reject 63.8 m³, volumetric only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 xml:space="preserve">RO recovery 70 %, </w:t>
      </w:r>
      <w:proofErr w:type="spellStart"/>
      <w:proofErr w:type="gramStart"/>
      <w:r w:rsidRPr="00AA0D64">
        <w:rPr>
          <w:color w:val="000000" w:themeColor="text1"/>
        </w:rPr>
        <w:t>n.a</w:t>
      </w:r>
      <w:proofErr w:type="spellEnd"/>
      <w:proofErr w:type="gramEnd"/>
      <w:r w:rsidRPr="00AA0D64">
        <w:rPr>
          <w:color w:val="000000" w:themeColor="text1"/>
        </w:rPr>
        <w:t xml:space="preserve">., </w:t>
      </w:r>
      <w:proofErr w:type="spellStart"/>
      <w:r w:rsidRPr="00AA0D64">
        <w:rPr>
          <w:color w:val="000000" w:themeColor="text1"/>
        </w:rPr>
        <w:t>n.a</w:t>
      </w:r>
      <w:proofErr w:type="spellEnd"/>
      <w:r w:rsidRPr="00AA0D64">
        <w:rPr>
          <w:color w:val="000000" w:themeColor="text1"/>
        </w:rPr>
        <w:t>., HD feed 85.1 m³ reject 25.5 m³, OLHDF feed 91.1 m³ reject 27.3 m³, volumetric only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Reduced-flow OLHDF minus 25 L dialysate per session, 4,515, 60,290, 1,339, about −2 to -4 kg vs standard OLHDF for water production alone</w:t>
      </w:r>
    </w:p>
    <w:p w:rsidR="00AA0D64" w:rsidRPr="00AA0D64" w:rsidRDefault="00AA0D64" w:rsidP="00AA0D64">
      <w:pPr>
        <w:pStyle w:val="p1"/>
        <w:rPr>
          <w:color w:val="000000" w:themeColor="text1"/>
        </w:rPr>
      </w:pPr>
      <w:r w:rsidRPr="00AA0D64">
        <w:rPr>
          <w:color w:val="000000" w:themeColor="text1"/>
        </w:rPr>
        <w:t>H. Notes to replicate calculations</w:t>
      </w:r>
    </w:p>
    <w:p w:rsidR="00AA0D64" w:rsidRPr="00AA0D64" w:rsidRDefault="00AA0D64" w:rsidP="00AA0D64">
      <w:pPr>
        <w:pStyle w:val="p1"/>
        <w:numPr>
          <w:ilvl w:val="0"/>
          <w:numId w:val="1"/>
        </w:numPr>
        <w:rPr>
          <w:color w:val="000000" w:themeColor="text1"/>
        </w:rPr>
      </w:pPr>
      <w:r w:rsidRPr="00AA0D64">
        <w:rPr>
          <w:color w:val="000000" w:themeColor="text1"/>
        </w:rPr>
        <w:t>Per-session carbon values use total ÷ 156 sessions.</w:t>
      </w:r>
    </w:p>
    <w:p w:rsidR="00AA0D64" w:rsidRPr="00AA0D64" w:rsidRDefault="00AA0D64" w:rsidP="00AA0D64">
      <w:pPr>
        <w:pStyle w:val="p1"/>
        <w:numPr>
          <w:ilvl w:val="0"/>
          <w:numId w:val="1"/>
        </w:numPr>
        <w:rPr>
          <w:color w:val="000000" w:themeColor="text1"/>
        </w:rPr>
      </w:pPr>
      <w:r w:rsidRPr="00AA0D64">
        <w:rPr>
          <w:color w:val="000000" w:themeColor="text1"/>
        </w:rPr>
        <w:t>% changes use scenario minus comparator, divided by comparator.</w:t>
      </w:r>
    </w:p>
    <w:p w:rsidR="00AA0D64" w:rsidRPr="00AA0D64" w:rsidRDefault="00AA0D64" w:rsidP="00AA0D64">
      <w:pPr>
        <w:pStyle w:val="p1"/>
        <w:numPr>
          <w:ilvl w:val="0"/>
          <w:numId w:val="1"/>
        </w:numPr>
        <w:rPr>
          <w:color w:val="000000" w:themeColor="text1"/>
        </w:rPr>
      </w:pPr>
      <w:r w:rsidRPr="00AA0D64">
        <w:rPr>
          <w:color w:val="000000" w:themeColor="text1"/>
        </w:rPr>
        <w:t>RO volumes use feed = product ÷ recovery, reject = feed − product.</w:t>
      </w:r>
    </w:p>
    <w:p w:rsidR="00AA0D64" w:rsidRPr="00AA0D64" w:rsidRDefault="00AA0D64" w:rsidP="00AA0D64">
      <w:pPr>
        <w:pStyle w:val="p1"/>
        <w:numPr>
          <w:ilvl w:val="0"/>
          <w:numId w:val="1"/>
        </w:numPr>
        <w:rPr>
          <w:color w:val="000000" w:themeColor="text1"/>
        </w:rPr>
      </w:pPr>
      <w:r w:rsidRPr="00AA0D64">
        <w:rPr>
          <w:color w:val="000000" w:themeColor="text1"/>
        </w:rPr>
        <w:t>Water-production carbon factor derived from HD water production value and product-water litres.</w:t>
      </w:r>
    </w:p>
    <w:p w:rsidR="00C06982" w:rsidRPr="00AA0D64" w:rsidRDefault="00C06982">
      <w:pPr>
        <w:rPr>
          <w:color w:val="000000" w:themeColor="text1"/>
        </w:rPr>
      </w:pPr>
    </w:p>
    <w:sectPr w:rsidR="00C06982" w:rsidRPr="00AA0D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FB74D9"/>
    <w:multiLevelType w:val="multilevel"/>
    <w:tmpl w:val="D9F66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D64"/>
    <w:rsid w:val="00000C9F"/>
    <w:rsid w:val="00002BDE"/>
    <w:rsid w:val="00004746"/>
    <w:rsid w:val="00010982"/>
    <w:rsid w:val="0001116B"/>
    <w:rsid w:val="00017F65"/>
    <w:rsid w:val="00022CAC"/>
    <w:rsid w:val="00030AEA"/>
    <w:rsid w:val="0003362C"/>
    <w:rsid w:val="00042DFC"/>
    <w:rsid w:val="00043AD9"/>
    <w:rsid w:val="0004428B"/>
    <w:rsid w:val="00045E25"/>
    <w:rsid w:val="00046D46"/>
    <w:rsid w:val="0005090B"/>
    <w:rsid w:val="00050C98"/>
    <w:rsid w:val="000520AC"/>
    <w:rsid w:val="00052995"/>
    <w:rsid w:val="00053784"/>
    <w:rsid w:val="00053995"/>
    <w:rsid w:val="00056128"/>
    <w:rsid w:val="000568F5"/>
    <w:rsid w:val="000615E0"/>
    <w:rsid w:val="0007014D"/>
    <w:rsid w:val="0007022E"/>
    <w:rsid w:val="00070E4E"/>
    <w:rsid w:val="00071E74"/>
    <w:rsid w:val="00073E67"/>
    <w:rsid w:val="00076C17"/>
    <w:rsid w:val="00077F3F"/>
    <w:rsid w:val="00080B54"/>
    <w:rsid w:val="0009108E"/>
    <w:rsid w:val="00093577"/>
    <w:rsid w:val="000951ED"/>
    <w:rsid w:val="00095A1A"/>
    <w:rsid w:val="000978FD"/>
    <w:rsid w:val="00097B9F"/>
    <w:rsid w:val="000A1767"/>
    <w:rsid w:val="000A3A52"/>
    <w:rsid w:val="000A43BA"/>
    <w:rsid w:val="000A4D12"/>
    <w:rsid w:val="000A4D5D"/>
    <w:rsid w:val="000A53DB"/>
    <w:rsid w:val="000A6D38"/>
    <w:rsid w:val="000B0C3C"/>
    <w:rsid w:val="000B19D7"/>
    <w:rsid w:val="000B33D7"/>
    <w:rsid w:val="000B57FF"/>
    <w:rsid w:val="000B65A0"/>
    <w:rsid w:val="000B758B"/>
    <w:rsid w:val="000C0021"/>
    <w:rsid w:val="000C26AC"/>
    <w:rsid w:val="000C2E07"/>
    <w:rsid w:val="000C3303"/>
    <w:rsid w:val="000C6C7C"/>
    <w:rsid w:val="000D1E5D"/>
    <w:rsid w:val="000E0C01"/>
    <w:rsid w:val="000E2A14"/>
    <w:rsid w:val="000E3262"/>
    <w:rsid w:val="000E3B52"/>
    <w:rsid w:val="000E3E30"/>
    <w:rsid w:val="000E6003"/>
    <w:rsid w:val="000E7723"/>
    <w:rsid w:val="000F0414"/>
    <w:rsid w:val="000F0B70"/>
    <w:rsid w:val="000F5397"/>
    <w:rsid w:val="0010011C"/>
    <w:rsid w:val="001016B5"/>
    <w:rsid w:val="001038D1"/>
    <w:rsid w:val="00104F14"/>
    <w:rsid w:val="0010556E"/>
    <w:rsid w:val="00105A76"/>
    <w:rsid w:val="00105F09"/>
    <w:rsid w:val="00107D5B"/>
    <w:rsid w:val="001107CF"/>
    <w:rsid w:val="001123DA"/>
    <w:rsid w:val="00112A7F"/>
    <w:rsid w:val="00117D41"/>
    <w:rsid w:val="00122AD5"/>
    <w:rsid w:val="00136F3F"/>
    <w:rsid w:val="0014127F"/>
    <w:rsid w:val="00142B85"/>
    <w:rsid w:val="001436F6"/>
    <w:rsid w:val="001529D9"/>
    <w:rsid w:val="00152E5A"/>
    <w:rsid w:val="00156303"/>
    <w:rsid w:val="0017438A"/>
    <w:rsid w:val="00174D4A"/>
    <w:rsid w:val="00174F3B"/>
    <w:rsid w:val="001758FB"/>
    <w:rsid w:val="00175A6B"/>
    <w:rsid w:val="001769DB"/>
    <w:rsid w:val="00180179"/>
    <w:rsid w:val="001806E7"/>
    <w:rsid w:val="00180EDD"/>
    <w:rsid w:val="00182419"/>
    <w:rsid w:val="00185EA9"/>
    <w:rsid w:val="0018652A"/>
    <w:rsid w:val="00186E98"/>
    <w:rsid w:val="00191436"/>
    <w:rsid w:val="001933FE"/>
    <w:rsid w:val="0019539E"/>
    <w:rsid w:val="0019544A"/>
    <w:rsid w:val="001957B5"/>
    <w:rsid w:val="00197BE9"/>
    <w:rsid w:val="001A38D4"/>
    <w:rsid w:val="001A3BE3"/>
    <w:rsid w:val="001A4291"/>
    <w:rsid w:val="001A4B42"/>
    <w:rsid w:val="001A5371"/>
    <w:rsid w:val="001A7F54"/>
    <w:rsid w:val="001B35C9"/>
    <w:rsid w:val="001B45F4"/>
    <w:rsid w:val="001B6FAE"/>
    <w:rsid w:val="001C2620"/>
    <w:rsid w:val="001C2D3C"/>
    <w:rsid w:val="001C5A21"/>
    <w:rsid w:val="001D0EEE"/>
    <w:rsid w:val="001D12F0"/>
    <w:rsid w:val="001D3EC0"/>
    <w:rsid w:val="001E03B7"/>
    <w:rsid w:val="001E046F"/>
    <w:rsid w:val="001E14AE"/>
    <w:rsid w:val="001E23C4"/>
    <w:rsid w:val="001E2640"/>
    <w:rsid w:val="001E4B18"/>
    <w:rsid w:val="001E6390"/>
    <w:rsid w:val="001F1456"/>
    <w:rsid w:val="001F34CE"/>
    <w:rsid w:val="001F6155"/>
    <w:rsid w:val="001F67C5"/>
    <w:rsid w:val="002039B8"/>
    <w:rsid w:val="0020781C"/>
    <w:rsid w:val="00210619"/>
    <w:rsid w:val="00210705"/>
    <w:rsid w:val="00212357"/>
    <w:rsid w:val="00213F90"/>
    <w:rsid w:val="00222598"/>
    <w:rsid w:val="002225C7"/>
    <w:rsid w:val="00223403"/>
    <w:rsid w:val="00223462"/>
    <w:rsid w:val="00226633"/>
    <w:rsid w:val="00230437"/>
    <w:rsid w:val="00232DE0"/>
    <w:rsid w:val="0023335A"/>
    <w:rsid w:val="002334DC"/>
    <w:rsid w:val="00234DEA"/>
    <w:rsid w:val="00235C6C"/>
    <w:rsid w:val="00237678"/>
    <w:rsid w:val="00242586"/>
    <w:rsid w:val="002466CD"/>
    <w:rsid w:val="00247610"/>
    <w:rsid w:val="00253B62"/>
    <w:rsid w:val="002547C5"/>
    <w:rsid w:val="00260F7F"/>
    <w:rsid w:val="00261AB0"/>
    <w:rsid w:val="00267B1B"/>
    <w:rsid w:val="002703E1"/>
    <w:rsid w:val="0027466A"/>
    <w:rsid w:val="00277292"/>
    <w:rsid w:val="00280AA5"/>
    <w:rsid w:val="00281D8C"/>
    <w:rsid w:val="002850B0"/>
    <w:rsid w:val="00286D59"/>
    <w:rsid w:val="00291D71"/>
    <w:rsid w:val="00294DEF"/>
    <w:rsid w:val="002974DC"/>
    <w:rsid w:val="002A0645"/>
    <w:rsid w:val="002A572B"/>
    <w:rsid w:val="002B159A"/>
    <w:rsid w:val="002B2C16"/>
    <w:rsid w:val="002B5610"/>
    <w:rsid w:val="002B7D6F"/>
    <w:rsid w:val="002C0722"/>
    <w:rsid w:val="002C07DC"/>
    <w:rsid w:val="002C0887"/>
    <w:rsid w:val="002C147A"/>
    <w:rsid w:val="002C6304"/>
    <w:rsid w:val="002D268F"/>
    <w:rsid w:val="002E0227"/>
    <w:rsid w:val="002E2039"/>
    <w:rsid w:val="002E26AE"/>
    <w:rsid w:val="002E3041"/>
    <w:rsid w:val="002E3748"/>
    <w:rsid w:val="002E4013"/>
    <w:rsid w:val="002E5688"/>
    <w:rsid w:val="002E7AD7"/>
    <w:rsid w:val="002F1759"/>
    <w:rsid w:val="002F195D"/>
    <w:rsid w:val="002F57E8"/>
    <w:rsid w:val="0030006F"/>
    <w:rsid w:val="00300BF3"/>
    <w:rsid w:val="00302C59"/>
    <w:rsid w:val="00303A91"/>
    <w:rsid w:val="00312052"/>
    <w:rsid w:val="003156FD"/>
    <w:rsid w:val="003159A3"/>
    <w:rsid w:val="0031709E"/>
    <w:rsid w:val="0032038F"/>
    <w:rsid w:val="0032043A"/>
    <w:rsid w:val="00320711"/>
    <w:rsid w:val="00321BCC"/>
    <w:rsid w:val="003235A3"/>
    <w:rsid w:val="003248C6"/>
    <w:rsid w:val="0032788B"/>
    <w:rsid w:val="00330862"/>
    <w:rsid w:val="00334E0A"/>
    <w:rsid w:val="00340572"/>
    <w:rsid w:val="00342407"/>
    <w:rsid w:val="00342D10"/>
    <w:rsid w:val="00344F6C"/>
    <w:rsid w:val="00344F85"/>
    <w:rsid w:val="00347FA1"/>
    <w:rsid w:val="00353C32"/>
    <w:rsid w:val="00354ABE"/>
    <w:rsid w:val="00357299"/>
    <w:rsid w:val="003608B6"/>
    <w:rsid w:val="00361EBD"/>
    <w:rsid w:val="00363D62"/>
    <w:rsid w:val="003722BB"/>
    <w:rsid w:val="003739F2"/>
    <w:rsid w:val="00377A6E"/>
    <w:rsid w:val="00383222"/>
    <w:rsid w:val="003871B9"/>
    <w:rsid w:val="003923EC"/>
    <w:rsid w:val="00393D4B"/>
    <w:rsid w:val="003A2D62"/>
    <w:rsid w:val="003A42D5"/>
    <w:rsid w:val="003A656D"/>
    <w:rsid w:val="003A7A9D"/>
    <w:rsid w:val="003B027C"/>
    <w:rsid w:val="003C0450"/>
    <w:rsid w:val="003C0669"/>
    <w:rsid w:val="003C2492"/>
    <w:rsid w:val="003C2ADA"/>
    <w:rsid w:val="003C3FE7"/>
    <w:rsid w:val="003C737D"/>
    <w:rsid w:val="003D1779"/>
    <w:rsid w:val="003D2A03"/>
    <w:rsid w:val="003D3E88"/>
    <w:rsid w:val="003D7A9F"/>
    <w:rsid w:val="003E1531"/>
    <w:rsid w:val="003E2AEA"/>
    <w:rsid w:val="003E5126"/>
    <w:rsid w:val="003E599C"/>
    <w:rsid w:val="003F11A4"/>
    <w:rsid w:val="003F2B92"/>
    <w:rsid w:val="003F4C83"/>
    <w:rsid w:val="003F54EC"/>
    <w:rsid w:val="003F5793"/>
    <w:rsid w:val="00401B55"/>
    <w:rsid w:val="00402102"/>
    <w:rsid w:val="0040262F"/>
    <w:rsid w:val="0040280B"/>
    <w:rsid w:val="004050D4"/>
    <w:rsid w:val="0041288D"/>
    <w:rsid w:val="004129F9"/>
    <w:rsid w:val="0041418E"/>
    <w:rsid w:val="00414650"/>
    <w:rsid w:val="00414774"/>
    <w:rsid w:val="004238E7"/>
    <w:rsid w:val="004261E7"/>
    <w:rsid w:val="00426D58"/>
    <w:rsid w:val="00430EB4"/>
    <w:rsid w:val="00431823"/>
    <w:rsid w:val="00440E54"/>
    <w:rsid w:val="004419CF"/>
    <w:rsid w:val="00441BC5"/>
    <w:rsid w:val="00446245"/>
    <w:rsid w:val="00450AA4"/>
    <w:rsid w:val="0045677E"/>
    <w:rsid w:val="004568F4"/>
    <w:rsid w:val="00460C82"/>
    <w:rsid w:val="004632F5"/>
    <w:rsid w:val="004646A6"/>
    <w:rsid w:val="00464A1E"/>
    <w:rsid w:val="004677AF"/>
    <w:rsid w:val="00470355"/>
    <w:rsid w:val="00472788"/>
    <w:rsid w:val="00472A3A"/>
    <w:rsid w:val="00474B0A"/>
    <w:rsid w:val="00476041"/>
    <w:rsid w:val="0048359C"/>
    <w:rsid w:val="00484659"/>
    <w:rsid w:val="00485E43"/>
    <w:rsid w:val="0049764F"/>
    <w:rsid w:val="004A417B"/>
    <w:rsid w:val="004A46B6"/>
    <w:rsid w:val="004A555D"/>
    <w:rsid w:val="004A7FC7"/>
    <w:rsid w:val="004B1132"/>
    <w:rsid w:val="004B29F3"/>
    <w:rsid w:val="004B3775"/>
    <w:rsid w:val="004B6E59"/>
    <w:rsid w:val="004C10F0"/>
    <w:rsid w:val="004C79E6"/>
    <w:rsid w:val="004D4F2D"/>
    <w:rsid w:val="004E1E74"/>
    <w:rsid w:val="004E2367"/>
    <w:rsid w:val="004E261D"/>
    <w:rsid w:val="004E32DE"/>
    <w:rsid w:val="004E4E33"/>
    <w:rsid w:val="004E4FD7"/>
    <w:rsid w:val="004E5A90"/>
    <w:rsid w:val="004F25AE"/>
    <w:rsid w:val="004F7DEF"/>
    <w:rsid w:val="00500057"/>
    <w:rsid w:val="00501F9D"/>
    <w:rsid w:val="005050EA"/>
    <w:rsid w:val="00507F43"/>
    <w:rsid w:val="00512D1E"/>
    <w:rsid w:val="00513CE7"/>
    <w:rsid w:val="00515228"/>
    <w:rsid w:val="00516177"/>
    <w:rsid w:val="00516DEF"/>
    <w:rsid w:val="00516E8B"/>
    <w:rsid w:val="0052127E"/>
    <w:rsid w:val="00523413"/>
    <w:rsid w:val="00523A73"/>
    <w:rsid w:val="00527950"/>
    <w:rsid w:val="00527EC2"/>
    <w:rsid w:val="00531108"/>
    <w:rsid w:val="00531A53"/>
    <w:rsid w:val="00533488"/>
    <w:rsid w:val="00540BCA"/>
    <w:rsid w:val="0054100F"/>
    <w:rsid w:val="00541016"/>
    <w:rsid w:val="00541A67"/>
    <w:rsid w:val="005447D4"/>
    <w:rsid w:val="00545F8A"/>
    <w:rsid w:val="00547C36"/>
    <w:rsid w:val="00550428"/>
    <w:rsid w:val="00550936"/>
    <w:rsid w:val="00556CAE"/>
    <w:rsid w:val="0057044D"/>
    <w:rsid w:val="00575926"/>
    <w:rsid w:val="00576434"/>
    <w:rsid w:val="0058169B"/>
    <w:rsid w:val="0058203D"/>
    <w:rsid w:val="00583AD2"/>
    <w:rsid w:val="005A23ED"/>
    <w:rsid w:val="005A500D"/>
    <w:rsid w:val="005A5AB7"/>
    <w:rsid w:val="005A7615"/>
    <w:rsid w:val="005B0136"/>
    <w:rsid w:val="005B332B"/>
    <w:rsid w:val="005B3C14"/>
    <w:rsid w:val="005B4134"/>
    <w:rsid w:val="005B5B1C"/>
    <w:rsid w:val="005B5D25"/>
    <w:rsid w:val="005B5D63"/>
    <w:rsid w:val="005C0445"/>
    <w:rsid w:val="005C1139"/>
    <w:rsid w:val="005C6BA7"/>
    <w:rsid w:val="005D0219"/>
    <w:rsid w:val="005D031A"/>
    <w:rsid w:val="005D1579"/>
    <w:rsid w:val="005D23E0"/>
    <w:rsid w:val="005D2C39"/>
    <w:rsid w:val="005D4570"/>
    <w:rsid w:val="005D63A7"/>
    <w:rsid w:val="005D6CB1"/>
    <w:rsid w:val="005D7253"/>
    <w:rsid w:val="005D7B79"/>
    <w:rsid w:val="005E007F"/>
    <w:rsid w:val="005E1680"/>
    <w:rsid w:val="005E291B"/>
    <w:rsid w:val="005E2DAE"/>
    <w:rsid w:val="005E364D"/>
    <w:rsid w:val="005E40EF"/>
    <w:rsid w:val="005E4198"/>
    <w:rsid w:val="005E65B0"/>
    <w:rsid w:val="005E7D96"/>
    <w:rsid w:val="005F4097"/>
    <w:rsid w:val="006011B8"/>
    <w:rsid w:val="00601525"/>
    <w:rsid w:val="00604B7F"/>
    <w:rsid w:val="006060EE"/>
    <w:rsid w:val="006114A1"/>
    <w:rsid w:val="006150A4"/>
    <w:rsid w:val="00621AAB"/>
    <w:rsid w:val="00630057"/>
    <w:rsid w:val="0063071C"/>
    <w:rsid w:val="00631A2B"/>
    <w:rsid w:val="00637192"/>
    <w:rsid w:val="00637236"/>
    <w:rsid w:val="00637E30"/>
    <w:rsid w:val="006402DA"/>
    <w:rsid w:val="006414BC"/>
    <w:rsid w:val="006432AD"/>
    <w:rsid w:val="0064603B"/>
    <w:rsid w:val="006465F0"/>
    <w:rsid w:val="00647685"/>
    <w:rsid w:val="00647AFE"/>
    <w:rsid w:val="006529C9"/>
    <w:rsid w:val="0065399C"/>
    <w:rsid w:val="00653C0C"/>
    <w:rsid w:val="00656455"/>
    <w:rsid w:val="00656D1E"/>
    <w:rsid w:val="00660886"/>
    <w:rsid w:val="0066121E"/>
    <w:rsid w:val="006615DA"/>
    <w:rsid w:val="006668A5"/>
    <w:rsid w:val="006674CA"/>
    <w:rsid w:val="0066767B"/>
    <w:rsid w:val="00670F7F"/>
    <w:rsid w:val="006726D4"/>
    <w:rsid w:val="00672B97"/>
    <w:rsid w:val="0067404C"/>
    <w:rsid w:val="00675481"/>
    <w:rsid w:val="0067677B"/>
    <w:rsid w:val="0067770A"/>
    <w:rsid w:val="00680AD4"/>
    <w:rsid w:val="00681B1D"/>
    <w:rsid w:val="00690468"/>
    <w:rsid w:val="00691F55"/>
    <w:rsid w:val="006935E3"/>
    <w:rsid w:val="006960C5"/>
    <w:rsid w:val="006965DA"/>
    <w:rsid w:val="006A02A3"/>
    <w:rsid w:val="006A31EA"/>
    <w:rsid w:val="006B3823"/>
    <w:rsid w:val="006B5B16"/>
    <w:rsid w:val="006C2619"/>
    <w:rsid w:val="006C4602"/>
    <w:rsid w:val="006C4AC3"/>
    <w:rsid w:val="006C4AF9"/>
    <w:rsid w:val="006C5CF3"/>
    <w:rsid w:val="006C7165"/>
    <w:rsid w:val="006D1A3C"/>
    <w:rsid w:val="006D4934"/>
    <w:rsid w:val="006D5FAD"/>
    <w:rsid w:val="006E3B2D"/>
    <w:rsid w:val="006E4BD0"/>
    <w:rsid w:val="006E5A46"/>
    <w:rsid w:val="006E7347"/>
    <w:rsid w:val="006F1B3A"/>
    <w:rsid w:val="006F573D"/>
    <w:rsid w:val="006F7B45"/>
    <w:rsid w:val="00704263"/>
    <w:rsid w:val="00710B10"/>
    <w:rsid w:val="00713030"/>
    <w:rsid w:val="00716E0C"/>
    <w:rsid w:val="007233E7"/>
    <w:rsid w:val="007236A7"/>
    <w:rsid w:val="00724D04"/>
    <w:rsid w:val="007256E8"/>
    <w:rsid w:val="007308D9"/>
    <w:rsid w:val="007309C1"/>
    <w:rsid w:val="00733966"/>
    <w:rsid w:val="00737C53"/>
    <w:rsid w:val="007408DD"/>
    <w:rsid w:val="007413E0"/>
    <w:rsid w:val="007427B8"/>
    <w:rsid w:val="00744819"/>
    <w:rsid w:val="00747355"/>
    <w:rsid w:val="00747B67"/>
    <w:rsid w:val="00750639"/>
    <w:rsid w:val="00750EF4"/>
    <w:rsid w:val="007517FE"/>
    <w:rsid w:val="00753A45"/>
    <w:rsid w:val="0075487B"/>
    <w:rsid w:val="00757200"/>
    <w:rsid w:val="00762515"/>
    <w:rsid w:val="00765F1B"/>
    <w:rsid w:val="0077114A"/>
    <w:rsid w:val="00774164"/>
    <w:rsid w:val="00774783"/>
    <w:rsid w:val="00785509"/>
    <w:rsid w:val="007858C1"/>
    <w:rsid w:val="00786969"/>
    <w:rsid w:val="00790F53"/>
    <w:rsid w:val="007A448E"/>
    <w:rsid w:val="007B19E2"/>
    <w:rsid w:val="007B2115"/>
    <w:rsid w:val="007B278C"/>
    <w:rsid w:val="007B5023"/>
    <w:rsid w:val="007B5C30"/>
    <w:rsid w:val="007C0763"/>
    <w:rsid w:val="007C1EA4"/>
    <w:rsid w:val="007C5BCB"/>
    <w:rsid w:val="007C5C89"/>
    <w:rsid w:val="007C6AAA"/>
    <w:rsid w:val="007D26D4"/>
    <w:rsid w:val="007D335D"/>
    <w:rsid w:val="007D5C78"/>
    <w:rsid w:val="007D6AC5"/>
    <w:rsid w:val="007D76D2"/>
    <w:rsid w:val="007E0AD9"/>
    <w:rsid w:val="007E2A1B"/>
    <w:rsid w:val="007E4A5B"/>
    <w:rsid w:val="007E5169"/>
    <w:rsid w:val="007E7B48"/>
    <w:rsid w:val="007F2FD4"/>
    <w:rsid w:val="007F426B"/>
    <w:rsid w:val="007F51C7"/>
    <w:rsid w:val="00805A77"/>
    <w:rsid w:val="008121B4"/>
    <w:rsid w:val="00812E51"/>
    <w:rsid w:val="00813481"/>
    <w:rsid w:val="00814E9B"/>
    <w:rsid w:val="00815B0D"/>
    <w:rsid w:val="00816C88"/>
    <w:rsid w:val="00817C62"/>
    <w:rsid w:val="00822587"/>
    <w:rsid w:val="00822C0C"/>
    <w:rsid w:val="00824217"/>
    <w:rsid w:val="00824A06"/>
    <w:rsid w:val="00824F0D"/>
    <w:rsid w:val="008379F1"/>
    <w:rsid w:val="00841487"/>
    <w:rsid w:val="008415EB"/>
    <w:rsid w:val="0084415B"/>
    <w:rsid w:val="00845AD3"/>
    <w:rsid w:val="00847BFF"/>
    <w:rsid w:val="00852281"/>
    <w:rsid w:val="0085237C"/>
    <w:rsid w:val="008531B0"/>
    <w:rsid w:val="00855B71"/>
    <w:rsid w:val="00862602"/>
    <w:rsid w:val="00862CC3"/>
    <w:rsid w:val="00863476"/>
    <w:rsid w:val="00863810"/>
    <w:rsid w:val="00865ABB"/>
    <w:rsid w:val="00865E12"/>
    <w:rsid w:val="00865E5F"/>
    <w:rsid w:val="00866237"/>
    <w:rsid w:val="0086717E"/>
    <w:rsid w:val="00870CD8"/>
    <w:rsid w:val="00872720"/>
    <w:rsid w:val="008744E2"/>
    <w:rsid w:val="00880027"/>
    <w:rsid w:val="008802BE"/>
    <w:rsid w:val="00886719"/>
    <w:rsid w:val="00887707"/>
    <w:rsid w:val="00892A70"/>
    <w:rsid w:val="008975E9"/>
    <w:rsid w:val="008A2BA3"/>
    <w:rsid w:val="008A59CD"/>
    <w:rsid w:val="008A6BE4"/>
    <w:rsid w:val="008A71D1"/>
    <w:rsid w:val="008B127B"/>
    <w:rsid w:val="008B3C0A"/>
    <w:rsid w:val="008B5B48"/>
    <w:rsid w:val="008B5E49"/>
    <w:rsid w:val="008C4581"/>
    <w:rsid w:val="008C6673"/>
    <w:rsid w:val="008D3B73"/>
    <w:rsid w:val="008D4D69"/>
    <w:rsid w:val="008D7211"/>
    <w:rsid w:val="008E09F9"/>
    <w:rsid w:val="008E2D72"/>
    <w:rsid w:val="008E3DF3"/>
    <w:rsid w:val="008E5488"/>
    <w:rsid w:val="008F0043"/>
    <w:rsid w:val="008F096F"/>
    <w:rsid w:val="00901FD2"/>
    <w:rsid w:val="00902624"/>
    <w:rsid w:val="00903A74"/>
    <w:rsid w:val="00905B19"/>
    <w:rsid w:val="0091469D"/>
    <w:rsid w:val="00915BF2"/>
    <w:rsid w:val="00920F74"/>
    <w:rsid w:val="009227EF"/>
    <w:rsid w:val="0092463F"/>
    <w:rsid w:val="00930283"/>
    <w:rsid w:val="009309F8"/>
    <w:rsid w:val="009403F5"/>
    <w:rsid w:val="009408F6"/>
    <w:rsid w:val="00941DC6"/>
    <w:rsid w:val="00944879"/>
    <w:rsid w:val="009502C6"/>
    <w:rsid w:val="00951EF7"/>
    <w:rsid w:val="00957B0E"/>
    <w:rsid w:val="00961085"/>
    <w:rsid w:val="0096382C"/>
    <w:rsid w:val="00964A31"/>
    <w:rsid w:val="00966C10"/>
    <w:rsid w:val="00972345"/>
    <w:rsid w:val="00973A40"/>
    <w:rsid w:val="009768FC"/>
    <w:rsid w:val="009769AB"/>
    <w:rsid w:val="009812A2"/>
    <w:rsid w:val="00985B97"/>
    <w:rsid w:val="009907B7"/>
    <w:rsid w:val="009911E5"/>
    <w:rsid w:val="00996939"/>
    <w:rsid w:val="00996E56"/>
    <w:rsid w:val="00997221"/>
    <w:rsid w:val="00997F39"/>
    <w:rsid w:val="009A01D7"/>
    <w:rsid w:val="009A0710"/>
    <w:rsid w:val="009A497A"/>
    <w:rsid w:val="009B1226"/>
    <w:rsid w:val="009B19C6"/>
    <w:rsid w:val="009B3401"/>
    <w:rsid w:val="009B3EA9"/>
    <w:rsid w:val="009B5AA4"/>
    <w:rsid w:val="009B63E5"/>
    <w:rsid w:val="009C0545"/>
    <w:rsid w:val="009C1AA7"/>
    <w:rsid w:val="009C1D51"/>
    <w:rsid w:val="009C2630"/>
    <w:rsid w:val="009C292D"/>
    <w:rsid w:val="009C4AFF"/>
    <w:rsid w:val="009C58F7"/>
    <w:rsid w:val="009C5CA8"/>
    <w:rsid w:val="009C6393"/>
    <w:rsid w:val="009C724C"/>
    <w:rsid w:val="009D35BA"/>
    <w:rsid w:val="009D6B1B"/>
    <w:rsid w:val="009E066F"/>
    <w:rsid w:val="009E6CB3"/>
    <w:rsid w:val="009E7949"/>
    <w:rsid w:val="009F1C97"/>
    <w:rsid w:val="009F5765"/>
    <w:rsid w:val="00A061FA"/>
    <w:rsid w:val="00A135E7"/>
    <w:rsid w:val="00A146C2"/>
    <w:rsid w:val="00A174A4"/>
    <w:rsid w:val="00A176C2"/>
    <w:rsid w:val="00A24227"/>
    <w:rsid w:val="00A242DC"/>
    <w:rsid w:val="00A31AAA"/>
    <w:rsid w:val="00A3274B"/>
    <w:rsid w:val="00A3390C"/>
    <w:rsid w:val="00A35C6A"/>
    <w:rsid w:val="00A379A0"/>
    <w:rsid w:val="00A4485E"/>
    <w:rsid w:val="00A45B6A"/>
    <w:rsid w:val="00A46935"/>
    <w:rsid w:val="00A47580"/>
    <w:rsid w:val="00A50255"/>
    <w:rsid w:val="00A56403"/>
    <w:rsid w:val="00A57F65"/>
    <w:rsid w:val="00A65576"/>
    <w:rsid w:val="00A657C4"/>
    <w:rsid w:val="00A70711"/>
    <w:rsid w:val="00A711FF"/>
    <w:rsid w:val="00A738A6"/>
    <w:rsid w:val="00A73F7B"/>
    <w:rsid w:val="00A77C22"/>
    <w:rsid w:val="00A80385"/>
    <w:rsid w:val="00A824FC"/>
    <w:rsid w:val="00A82942"/>
    <w:rsid w:val="00A84840"/>
    <w:rsid w:val="00A9067C"/>
    <w:rsid w:val="00A90A9E"/>
    <w:rsid w:val="00A90B08"/>
    <w:rsid w:val="00A946D1"/>
    <w:rsid w:val="00A9534C"/>
    <w:rsid w:val="00A961A1"/>
    <w:rsid w:val="00AA0D64"/>
    <w:rsid w:val="00AA2056"/>
    <w:rsid w:val="00AA5150"/>
    <w:rsid w:val="00AB0B69"/>
    <w:rsid w:val="00AB0FEE"/>
    <w:rsid w:val="00AC04DB"/>
    <w:rsid w:val="00AC71B0"/>
    <w:rsid w:val="00AD04F4"/>
    <w:rsid w:val="00AD161A"/>
    <w:rsid w:val="00AD186E"/>
    <w:rsid w:val="00AD1CF1"/>
    <w:rsid w:val="00AD4DA4"/>
    <w:rsid w:val="00AD7476"/>
    <w:rsid w:val="00AE404F"/>
    <w:rsid w:val="00AE6A1A"/>
    <w:rsid w:val="00AE7FF0"/>
    <w:rsid w:val="00AF1F92"/>
    <w:rsid w:val="00AF2D1F"/>
    <w:rsid w:val="00AF3012"/>
    <w:rsid w:val="00AF43A8"/>
    <w:rsid w:val="00AF4E7D"/>
    <w:rsid w:val="00B00088"/>
    <w:rsid w:val="00B02299"/>
    <w:rsid w:val="00B022BA"/>
    <w:rsid w:val="00B04BCE"/>
    <w:rsid w:val="00B0519D"/>
    <w:rsid w:val="00B116FE"/>
    <w:rsid w:val="00B148C6"/>
    <w:rsid w:val="00B14E56"/>
    <w:rsid w:val="00B15FB6"/>
    <w:rsid w:val="00B16B7E"/>
    <w:rsid w:val="00B202B0"/>
    <w:rsid w:val="00B2035A"/>
    <w:rsid w:val="00B24B16"/>
    <w:rsid w:val="00B25745"/>
    <w:rsid w:val="00B25F1C"/>
    <w:rsid w:val="00B408E9"/>
    <w:rsid w:val="00B418A4"/>
    <w:rsid w:val="00B41929"/>
    <w:rsid w:val="00B453DC"/>
    <w:rsid w:val="00B45850"/>
    <w:rsid w:val="00B45893"/>
    <w:rsid w:val="00B45CA3"/>
    <w:rsid w:val="00B46B06"/>
    <w:rsid w:val="00B47B67"/>
    <w:rsid w:val="00B50CE9"/>
    <w:rsid w:val="00B53DA0"/>
    <w:rsid w:val="00B56EA5"/>
    <w:rsid w:val="00B614F0"/>
    <w:rsid w:val="00B61DE2"/>
    <w:rsid w:val="00B6543B"/>
    <w:rsid w:val="00B66C9A"/>
    <w:rsid w:val="00B70BB9"/>
    <w:rsid w:val="00B71067"/>
    <w:rsid w:val="00B73AA8"/>
    <w:rsid w:val="00B80A93"/>
    <w:rsid w:val="00B81A7C"/>
    <w:rsid w:val="00B83751"/>
    <w:rsid w:val="00B85C89"/>
    <w:rsid w:val="00B90C56"/>
    <w:rsid w:val="00B970ED"/>
    <w:rsid w:val="00BA13A0"/>
    <w:rsid w:val="00BB017E"/>
    <w:rsid w:val="00BB26B5"/>
    <w:rsid w:val="00BB3E4A"/>
    <w:rsid w:val="00BB4D98"/>
    <w:rsid w:val="00BB5084"/>
    <w:rsid w:val="00BB707F"/>
    <w:rsid w:val="00BB741A"/>
    <w:rsid w:val="00BC1318"/>
    <w:rsid w:val="00BC798E"/>
    <w:rsid w:val="00BD39F9"/>
    <w:rsid w:val="00BD5A35"/>
    <w:rsid w:val="00BE2EA2"/>
    <w:rsid w:val="00BE328F"/>
    <w:rsid w:val="00BE4576"/>
    <w:rsid w:val="00BF1006"/>
    <w:rsid w:val="00BF2B6F"/>
    <w:rsid w:val="00BF3A51"/>
    <w:rsid w:val="00BF4677"/>
    <w:rsid w:val="00BF6229"/>
    <w:rsid w:val="00BF7BF5"/>
    <w:rsid w:val="00C021C1"/>
    <w:rsid w:val="00C04214"/>
    <w:rsid w:val="00C06982"/>
    <w:rsid w:val="00C06BBF"/>
    <w:rsid w:val="00C1152E"/>
    <w:rsid w:val="00C11FB8"/>
    <w:rsid w:val="00C1470C"/>
    <w:rsid w:val="00C16B24"/>
    <w:rsid w:val="00C17D53"/>
    <w:rsid w:val="00C20B1A"/>
    <w:rsid w:val="00C21CDF"/>
    <w:rsid w:val="00C21CF5"/>
    <w:rsid w:val="00C224C5"/>
    <w:rsid w:val="00C3010F"/>
    <w:rsid w:val="00C37932"/>
    <w:rsid w:val="00C37CD7"/>
    <w:rsid w:val="00C409A8"/>
    <w:rsid w:val="00C4237F"/>
    <w:rsid w:val="00C44A74"/>
    <w:rsid w:val="00C528FE"/>
    <w:rsid w:val="00C54C3F"/>
    <w:rsid w:val="00C54C8C"/>
    <w:rsid w:val="00C6088A"/>
    <w:rsid w:val="00C6508D"/>
    <w:rsid w:val="00C65499"/>
    <w:rsid w:val="00C70298"/>
    <w:rsid w:val="00C71F2F"/>
    <w:rsid w:val="00C7346D"/>
    <w:rsid w:val="00C8012E"/>
    <w:rsid w:val="00C8407D"/>
    <w:rsid w:val="00C84652"/>
    <w:rsid w:val="00C846A5"/>
    <w:rsid w:val="00C848A0"/>
    <w:rsid w:val="00C8562C"/>
    <w:rsid w:val="00C85BBC"/>
    <w:rsid w:val="00C87F95"/>
    <w:rsid w:val="00C91AEF"/>
    <w:rsid w:val="00C92C18"/>
    <w:rsid w:val="00C93338"/>
    <w:rsid w:val="00C96337"/>
    <w:rsid w:val="00CA2903"/>
    <w:rsid w:val="00CA5057"/>
    <w:rsid w:val="00CA6988"/>
    <w:rsid w:val="00CA7909"/>
    <w:rsid w:val="00CB1328"/>
    <w:rsid w:val="00CC12FF"/>
    <w:rsid w:val="00CC14CB"/>
    <w:rsid w:val="00CC333C"/>
    <w:rsid w:val="00CC3B0F"/>
    <w:rsid w:val="00CC6CC8"/>
    <w:rsid w:val="00CD1BEE"/>
    <w:rsid w:val="00CD47AB"/>
    <w:rsid w:val="00CD61B4"/>
    <w:rsid w:val="00CE1854"/>
    <w:rsid w:val="00CE6B77"/>
    <w:rsid w:val="00CF460A"/>
    <w:rsid w:val="00CF47CF"/>
    <w:rsid w:val="00D05AB2"/>
    <w:rsid w:val="00D154C2"/>
    <w:rsid w:val="00D162F3"/>
    <w:rsid w:val="00D16EF6"/>
    <w:rsid w:val="00D23489"/>
    <w:rsid w:val="00D23673"/>
    <w:rsid w:val="00D2515C"/>
    <w:rsid w:val="00D3026B"/>
    <w:rsid w:val="00D31853"/>
    <w:rsid w:val="00D3404F"/>
    <w:rsid w:val="00D378CE"/>
    <w:rsid w:val="00D40D28"/>
    <w:rsid w:val="00D41F68"/>
    <w:rsid w:val="00D46356"/>
    <w:rsid w:val="00D52A86"/>
    <w:rsid w:val="00D5349C"/>
    <w:rsid w:val="00D617E6"/>
    <w:rsid w:val="00D626F2"/>
    <w:rsid w:val="00D70C1A"/>
    <w:rsid w:val="00D7412D"/>
    <w:rsid w:val="00D81EC3"/>
    <w:rsid w:val="00D8697B"/>
    <w:rsid w:val="00D940EB"/>
    <w:rsid w:val="00D97238"/>
    <w:rsid w:val="00DA257A"/>
    <w:rsid w:val="00DA39A0"/>
    <w:rsid w:val="00DA5B76"/>
    <w:rsid w:val="00DB1250"/>
    <w:rsid w:val="00DB4855"/>
    <w:rsid w:val="00DB5492"/>
    <w:rsid w:val="00DB5D13"/>
    <w:rsid w:val="00DB74BE"/>
    <w:rsid w:val="00DC19D3"/>
    <w:rsid w:val="00DC512A"/>
    <w:rsid w:val="00DC53EA"/>
    <w:rsid w:val="00DC6E01"/>
    <w:rsid w:val="00DD1E4F"/>
    <w:rsid w:val="00DD46B6"/>
    <w:rsid w:val="00DD4817"/>
    <w:rsid w:val="00DE06E8"/>
    <w:rsid w:val="00DE1329"/>
    <w:rsid w:val="00DE6B45"/>
    <w:rsid w:val="00DF055F"/>
    <w:rsid w:val="00DF1FBD"/>
    <w:rsid w:val="00DF26C8"/>
    <w:rsid w:val="00DF2870"/>
    <w:rsid w:val="00DF4BDF"/>
    <w:rsid w:val="00E034B8"/>
    <w:rsid w:val="00E112DF"/>
    <w:rsid w:val="00E170EF"/>
    <w:rsid w:val="00E17D8C"/>
    <w:rsid w:val="00E232F1"/>
    <w:rsid w:val="00E31CC4"/>
    <w:rsid w:val="00E3374D"/>
    <w:rsid w:val="00E339F9"/>
    <w:rsid w:val="00E343BC"/>
    <w:rsid w:val="00E3714D"/>
    <w:rsid w:val="00E405EF"/>
    <w:rsid w:val="00E40E6E"/>
    <w:rsid w:val="00E415CF"/>
    <w:rsid w:val="00E441B5"/>
    <w:rsid w:val="00E44F3D"/>
    <w:rsid w:val="00E46530"/>
    <w:rsid w:val="00E473E6"/>
    <w:rsid w:val="00E47ABC"/>
    <w:rsid w:val="00E51DCD"/>
    <w:rsid w:val="00E555BE"/>
    <w:rsid w:val="00E60235"/>
    <w:rsid w:val="00E61BDC"/>
    <w:rsid w:val="00E647E1"/>
    <w:rsid w:val="00E66B2A"/>
    <w:rsid w:val="00E6732F"/>
    <w:rsid w:val="00E71E42"/>
    <w:rsid w:val="00E77668"/>
    <w:rsid w:val="00E77DE4"/>
    <w:rsid w:val="00E80213"/>
    <w:rsid w:val="00E824EE"/>
    <w:rsid w:val="00E82FE2"/>
    <w:rsid w:val="00E86178"/>
    <w:rsid w:val="00E934B0"/>
    <w:rsid w:val="00E97293"/>
    <w:rsid w:val="00EA2985"/>
    <w:rsid w:val="00EA5864"/>
    <w:rsid w:val="00EA756B"/>
    <w:rsid w:val="00EB6687"/>
    <w:rsid w:val="00EC376A"/>
    <w:rsid w:val="00EC3AC5"/>
    <w:rsid w:val="00EC5A3E"/>
    <w:rsid w:val="00EC6458"/>
    <w:rsid w:val="00EC757F"/>
    <w:rsid w:val="00ED0952"/>
    <w:rsid w:val="00ED425F"/>
    <w:rsid w:val="00EE23E3"/>
    <w:rsid w:val="00EE2AF4"/>
    <w:rsid w:val="00EE4055"/>
    <w:rsid w:val="00EE5083"/>
    <w:rsid w:val="00EE52DF"/>
    <w:rsid w:val="00EE6274"/>
    <w:rsid w:val="00EE7790"/>
    <w:rsid w:val="00EF3F61"/>
    <w:rsid w:val="00EF46B2"/>
    <w:rsid w:val="00EF532D"/>
    <w:rsid w:val="00EF6AB9"/>
    <w:rsid w:val="00F01318"/>
    <w:rsid w:val="00F02FB5"/>
    <w:rsid w:val="00F07F87"/>
    <w:rsid w:val="00F10900"/>
    <w:rsid w:val="00F11299"/>
    <w:rsid w:val="00F14DD7"/>
    <w:rsid w:val="00F1734E"/>
    <w:rsid w:val="00F22123"/>
    <w:rsid w:val="00F251A8"/>
    <w:rsid w:val="00F30A25"/>
    <w:rsid w:val="00F34B99"/>
    <w:rsid w:val="00F34E94"/>
    <w:rsid w:val="00F36C3D"/>
    <w:rsid w:val="00F420EE"/>
    <w:rsid w:val="00F4428A"/>
    <w:rsid w:val="00F45897"/>
    <w:rsid w:val="00F45F61"/>
    <w:rsid w:val="00F5604F"/>
    <w:rsid w:val="00F5631C"/>
    <w:rsid w:val="00F611FA"/>
    <w:rsid w:val="00F6468E"/>
    <w:rsid w:val="00F6584D"/>
    <w:rsid w:val="00F65DBF"/>
    <w:rsid w:val="00F663CD"/>
    <w:rsid w:val="00F67B25"/>
    <w:rsid w:val="00F757CB"/>
    <w:rsid w:val="00F7628A"/>
    <w:rsid w:val="00F77813"/>
    <w:rsid w:val="00F862E5"/>
    <w:rsid w:val="00F9013C"/>
    <w:rsid w:val="00F93ABF"/>
    <w:rsid w:val="00F9702A"/>
    <w:rsid w:val="00FA3C42"/>
    <w:rsid w:val="00FA4E98"/>
    <w:rsid w:val="00FB3880"/>
    <w:rsid w:val="00FB39C9"/>
    <w:rsid w:val="00FB4D67"/>
    <w:rsid w:val="00FB535D"/>
    <w:rsid w:val="00FC075F"/>
    <w:rsid w:val="00FC346D"/>
    <w:rsid w:val="00FC698C"/>
    <w:rsid w:val="00FD1C1D"/>
    <w:rsid w:val="00FD3C75"/>
    <w:rsid w:val="00FD4086"/>
    <w:rsid w:val="00FD4137"/>
    <w:rsid w:val="00FD5759"/>
    <w:rsid w:val="00FE2207"/>
    <w:rsid w:val="00FE22CE"/>
    <w:rsid w:val="00FE4750"/>
    <w:rsid w:val="00FE7BB2"/>
    <w:rsid w:val="00FE7EBD"/>
    <w:rsid w:val="00FF152A"/>
    <w:rsid w:val="00FF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F72EB9-32AE-41E5-9559-0DFE1C8F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0D6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A0D64"/>
    <w:rPr>
      <w:rFonts w:eastAsiaTheme="majorEastAsia" w:cstheme="majorBidi"/>
      <w:color w:val="2E74B5" w:themeColor="accent1" w:themeShade="BF"/>
      <w:kern w:val="2"/>
      <w:sz w:val="28"/>
      <w:szCs w:val="28"/>
      <w:lang w:val="en-IE"/>
      <w14:ligatures w14:val="standardContextual"/>
    </w:rPr>
  </w:style>
  <w:style w:type="character" w:customStyle="1" w:styleId="apple-converted-space">
    <w:name w:val="apple-converted-space"/>
    <w:basedOn w:val="DefaultParagraphFont"/>
    <w:rsid w:val="00AA0D64"/>
  </w:style>
  <w:style w:type="paragraph" w:customStyle="1" w:styleId="p1">
    <w:name w:val="p1"/>
    <w:basedOn w:val="Normal"/>
    <w:rsid w:val="00AA0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GB"/>
    </w:rPr>
  </w:style>
  <w:style w:type="table" w:styleId="TableGrid">
    <w:name w:val="Table Grid"/>
    <w:basedOn w:val="TableNormal"/>
    <w:uiPriority w:val="39"/>
    <w:rsid w:val="00AA0D64"/>
    <w:pPr>
      <w:spacing w:after="0" w:line="240" w:lineRule="auto"/>
    </w:pPr>
    <w:rPr>
      <w:kern w:val="2"/>
      <w:sz w:val="24"/>
      <w:szCs w:val="24"/>
      <w:lang w:val="en-I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Code">
    <w:name w:val="HTML Code"/>
    <w:basedOn w:val="DefaultParagraphFont"/>
    <w:uiPriority w:val="99"/>
    <w:semiHidden/>
    <w:unhideWhenUsed/>
    <w:rsid w:val="00AA0D6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1022</Words>
  <Characters>5829</Characters>
  <Application>Microsoft Office Word</Application>
  <DocSecurity>0</DocSecurity>
  <Lines>48</Lines>
  <Paragraphs>13</Paragraphs>
  <ScaleCrop>false</ScaleCrop>
  <Company>HP Inc.</Company>
  <LinksUpToDate>false</LinksUpToDate>
  <CharactersWithSpaces>6838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  Ravichandran</dc:creator>
  <cp:keywords/>
  <dc:description/>
  <cp:lastModifiedBy>Priyanka  Ravichandran</cp:lastModifiedBy>
  <cp:revision>1</cp:revision>
  <dcterms:created xsi:type="dcterms:W3CDTF">2026-01-30T01:41:00Z</dcterms:created>
  <dcterms:modified xsi:type="dcterms:W3CDTF">2026-01-30T01:45:00Z</dcterms:modified>
</cp:coreProperties>
</file>