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6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Supplementary File S2. GRRAS checklist for reliability and agreement studies.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24"/>
          <w:szCs w:val="24"/>
        </w:rPr>
        <w:t xml:space="preserve">Guidelines for Reporting Reliability and Agreement Studies (GRRAS). Reporting locations refer to the submitted manuscript.</w:t>
      </w:r>
    </w:p>
    <w:tbl>
      <w:tblPr>
        <w:tblW w:type="dxa" w:w="9000"/>
        <w:tblBorders>
          <w:top w:val="single" w:color="999999" w:sz="2"/>
          <w:left w:val="single" w:color="999999" w:sz="2"/>
          <w:bottom w:val="single" w:color="999999" w:sz="2"/>
          <w:right w:val="single" w:color="999999" w:sz="2"/>
          <w:insideH w:val="single" w:color="999999" w:sz="2"/>
          <w:insideV w:val="single" w:color="999999" w:sz="2"/>
        </w:tblBorders>
      </w:tblPr>
      <w:tblGrid>
        <w:gridCol w:w="900"/>
        <w:gridCol w:w="4200"/>
        <w:gridCol w:w="3900"/>
      </w:tblGrid>
      <w:tr>
        <w:trPr>
          <w:tblHeader/>
        </w:trP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Item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Recommendation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Reported in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Identify in title or abstract that reliability or agreement was investigated.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Title; Abstract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State the rationale for the study.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Introduction, paras 2-4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construct and measurement (scale) of interest.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2.3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target population and sampling of subjects.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2.2; Results 3.1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raters/observers and their number.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2.6 (patient self-report; test and retest)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sample size rationale.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2.2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measurement instrument and procedure in detail.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2.3, 2.6; Supplementary File S3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State whether the same or different raters were used across occasions.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2.6 (same patients, two occasions)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State whether raters were blinded to earlier ratings.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2.6 (10-day interval to limit recall)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State the time interval between repeated measurements.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2.6 (10 days)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Describe the statistical analysis (ICC model, alpha).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Methods 2.6-2.7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Report the characteristics of the analysed sample.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3.1-3.2; Table 1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Report reliability/agreement estimates with confidence intervals.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Results 3.6 (ICC 0.97, 95% CI 0.95-0.98; SEM; MDC; Bland-Altman)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 the findings in the context of the intended use.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 4.5</w:t>
            </w:r>
          </w:p>
        </w:tc>
      </w:tr>
      <w:tr>
        <w:tc>
          <w:tcPr>
            <w:tcW w:type="dxa" w:w="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42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 practical implications and limitations.</w:t>
            </w:r>
          </w:p>
        </w:tc>
        <w:tc>
          <w:tcPr>
            <w:tcW w:type="dxa" w:w="3900"/>
          </w:tcPr>
          <w:p>
            <w:pPr>
              <w:spacing w:after="120" w:line="360"/>
              <w:jc w:val="left"/>
            </w:pP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Discussion 4.5-4.6; Conclusions</w:t>
            </w:r>
          </w:p>
        </w:tc>
      </w:tr>
    </w:tbl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18"/>
          <w:szCs w:val="18"/>
        </w:rPr>
        <w:t xml:space="preserve">Page and line numbers should be added against the final typeset proof.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Dergaa</dc:creator>
  <cp:lastModifiedBy>Un-named</cp:lastModifiedBy>
  <cp:revision>1</cp:revision>
  <dcterms:created xsi:type="dcterms:W3CDTF">2026-08-23T20:30:09.023Z</dcterms:created>
  <dcterms:modified xsi:type="dcterms:W3CDTF">2026-08-23T20:30:09.023Z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