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CB34E" w14:textId="77777777" w:rsidR="00715EA7" w:rsidRPr="007A2C85" w:rsidRDefault="00715EA7" w:rsidP="00715EA7">
      <w:pPr>
        <w:ind w:left="-113" w:right="-306"/>
        <w:rPr>
          <w:b/>
          <w:sz w:val="28"/>
          <w:szCs w:val="28"/>
        </w:rPr>
      </w:pPr>
      <w:r w:rsidRPr="007A2C85">
        <w:rPr>
          <w:b/>
          <w:sz w:val="28"/>
          <w:szCs w:val="28"/>
        </w:rPr>
        <w:t>Supporting Information</w:t>
      </w:r>
    </w:p>
    <w:p w14:paraId="6B47A16F" w14:textId="77777777" w:rsidR="00715EA7" w:rsidRPr="007A2C85" w:rsidRDefault="00715EA7" w:rsidP="00715EA7">
      <w:pPr>
        <w:ind w:left="-113" w:right="-306"/>
        <w:rPr>
          <w:sz w:val="28"/>
          <w:szCs w:val="28"/>
        </w:rPr>
      </w:pPr>
    </w:p>
    <w:p w14:paraId="360900F5" w14:textId="77777777" w:rsidR="00715EA7" w:rsidRPr="007A2C85" w:rsidRDefault="00715EA7" w:rsidP="00715EA7">
      <w:pPr>
        <w:ind w:left="-113" w:right="-306"/>
        <w:rPr>
          <w:sz w:val="26"/>
          <w:szCs w:val="26"/>
        </w:rPr>
      </w:pPr>
      <w:r w:rsidRPr="007A2C85">
        <w:rPr>
          <w:b/>
          <w:sz w:val="26"/>
          <w:szCs w:val="26"/>
        </w:rPr>
        <w:t>Table S1.</w:t>
      </w:r>
      <w:r w:rsidRPr="007A2C85">
        <w:rPr>
          <w:sz w:val="26"/>
          <w:szCs w:val="26"/>
        </w:rPr>
        <w:t xml:space="preserve"> Seed trait change through evolutionary time in response to changes in the climate and fire regime. A, 1 and 2 are different pathways that lead to gain of a fire-related trait and B, 1 and 2 are different pathways that lead to loss of a fire-related trait. Arillate refers to possession of a caruncle that serves as an elaiosome that is attractive to ant dispersers. Note that many of the climate and fire regime allocations are little more than estimates as fossil data are scarce; most of the traits allocations are based on ancestral-trait assignments on molecular phylogenies in the absence of accurately dated fossils and are therefore indirect (see Lamont, He and Yan 2019b for methods). Table re-arranged from Pausas and Lamont (2022) with climate aspects added here as two new columns.</w:t>
      </w:r>
    </w:p>
    <w:p w14:paraId="1276848F" w14:textId="77777777" w:rsidR="00715EA7" w:rsidRPr="007A2C85" w:rsidRDefault="00715EA7" w:rsidP="00715EA7">
      <w:pPr>
        <w:ind w:left="-113" w:right="-306"/>
        <w:rPr>
          <w:sz w:val="26"/>
          <w:szCs w:val="26"/>
        </w:rPr>
      </w:pPr>
    </w:p>
    <w:tbl>
      <w:tblPr>
        <w:tblW w:w="16302" w:type="dxa"/>
        <w:tblInd w:w="-885" w:type="dxa"/>
        <w:tblLayout w:type="fixed"/>
        <w:tblLook w:val="04A0" w:firstRow="1" w:lastRow="0" w:firstColumn="1" w:lastColumn="0" w:noHBand="0" w:noVBand="1"/>
      </w:tblPr>
      <w:tblGrid>
        <w:gridCol w:w="1277"/>
        <w:gridCol w:w="1701"/>
        <w:gridCol w:w="1276"/>
        <w:gridCol w:w="1417"/>
        <w:gridCol w:w="1985"/>
        <w:gridCol w:w="1842"/>
        <w:gridCol w:w="1560"/>
        <w:gridCol w:w="1984"/>
        <w:gridCol w:w="1276"/>
        <w:gridCol w:w="1984"/>
      </w:tblGrid>
      <w:tr w:rsidR="00715EA7" w:rsidRPr="007A2C85" w14:paraId="15DFC3FC" w14:textId="77777777" w:rsidTr="005B6A6B">
        <w:tc>
          <w:tcPr>
            <w:tcW w:w="1277" w:type="dxa"/>
            <w:tcBorders>
              <w:top w:val="single" w:sz="4" w:space="0" w:color="auto"/>
              <w:bottom w:val="single" w:sz="4" w:space="0" w:color="auto"/>
            </w:tcBorders>
            <w:shd w:val="clear" w:color="auto" w:fill="EDEDED" w:themeFill="accent3" w:themeFillTint="33"/>
          </w:tcPr>
          <w:p w14:paraId="67C81559" w14:textId="77777777" w:rsidR="00715EA7" w:rsidRPr="007A2C85" w:rsidRDefault="00715EA7" w:rsidP="005B6A6B">
            <w:pPr>
              <w:ind w:left="-57" w:right="-57"/>
              <w:rPr>
                <w:rFonts w:asciiTheme="majorHAnsi" w:hAnsiTheme="majorHAnsi"/>
                <w:b/>
                <w:sz w:val="20"/>
                <w:szCs w:val="20"/>
              </w:rPr>
            </w:pPr>
            <w:r w:rsidRPr="007A2C85">
              <w:rPr>
                <w:rFonts w:asciiTheme="majorHAnsi" w:hAnsiTheme="majorHAnsi"/>
                <w:b/>
                <w:sz w:val="20"/>
                <w:szCs w:val="20"/>
              </w:rPr>
              <w:t>Clade</w:t>
            </w:r>
          </w:p>
        </w:tc>
        <w:tc>
          <w:tcPr>
            <w:tcW w:w="1701" w:type="dxa"/>
            <w:tcBorders>
              <w:top w:val="single" w:sz="4" w:space="0" w:color="auto"/>
              <w:bottom w:val="single" w:sz="4" w:space="0" w:color="auto"/>
            </w:tcBorders>
            <w:shd w:val="clear" w:color="auto" w:fill="EDEDED" w:themeFill="accent3" w:themeFillTint="33"/>
          </w:tcPr>
          <w:p w14:paraId="01E7E867" w14:textId="77777777" w:rsidR="00715EA7" w:rsidRPr="007A2C85" w:rsidRDefault="00715EA7" w:rsidP="005B6A6B">
            <w:pPr>
              <w:ind w:left="-57" w:right="-57"/>
              <w:rPr>
                <w:rFonts w:asciiTheme="majorHAnsi" w:hAnsiTheme="majorHAnsi"/>
                <w:b/>
                <w:sz w:val="20"/>
                <w:szCs w:val="20"/>
              </w:rPr>
            </w:pPr>
            <w:r w:rsidRPr="007A2C85">
              <w:rPr>
                <w:rFonts w:asciiTheme="majorHAnsi" w:hAnsiTheme="majorHAnsi"/>
                <w:b/>
                <w:sz w:val="20"/>
                <w:szCs w:val="20"/>
              </w:rPr>
              <w:t>Early climate and location</w:t>
            </w:r>
          </w:p>
        </w:tc>
        <w:tc>
          <w:tcPr>
            <w:tcW w:w="1276" w:type="dxa"/>
            <w:tcBorders>
              <w:top w:val="single" w:sz="4" w:space="0" w:color="auto"/>
              <w:bottom w:val="single" w:sz="4" w:space="0" w:color="auto"/>
            </w:tcBorders>
            <w:shd w:val="clear" w:color="auto" w:fill="EDEDED" w:themeFill="accent3" w:themeFillTint="33"/>
          </w:tcPr>
          <w:p w14:paraId="38CB6E91" w14:textId="77777777" w:rsidR="00715EA7" w:rsidRPr="007A2C85" w:rsidRDefault="00715EA7" w:rsidP="005B6A6B">
            <w:pPr>
              <w:ind w:left="-57" w:right="-57"/>
              <w:rPr>
                <w:rFonts w:asciiTheme="majorHAnsi" w:hAnsiTheme="majorHAnsi"/>
                <w:b/>
                <w:sz w:val="20"/>
                <w:szCs w:val="20"/>
              </w:rPr>
            </w:pPr>
            <w:r w:rsidRPr="007A2C85">
              <w:rPr>
                <w:rFonts w:asciiTheme="majorHAnsi" w:hAnsiTheme="majorHAnsi"/>
                <w:b/>
                <w:sz w:val="20"/>
                <w:szCs w:val="20"/>
              </w:rPr>
              <w:t>Early habitat and fire regime</w:t>
            </w:r>
          </w:p>
        </w:tc>
        <w:tc>
          <w:tcPr>
            <w:tcW w:w="1417" w:type="dxa"/>
            <w:tcBorders>
              <w:top w:val="single" w:sz="4" w:space="0" w:color="auto"/>
              <w:bottom w:val="single" w:sz="4" w:space="0" w:color="auto"/>
            </w:tcBorders>
            <w:shd w:val="clear" w:color="auto" w:fill="EDEDED" w:themeFill="accent3" w:themeFillTint="33"/>
          </w:tcPr>
          <w:p w14:paraId="6F5D7E87" w14:textId="77777777" w:rsidR="00715EA7" w:rsidRPr="007A2C85" w:rsidRDefault="00715EA7" w:rsidP="005B6A6B">
            <w:pPr>
              <w:ind w:left="-57" w:right="-57"/>
              <w:rPr>
                <w:rFonts w:asciiTheme="majorHAnsi" w:hAnsiTheme="majorHAnsi"/>
                <w:b/>
                <w:sz w:val="20"/>
                <w:szCs w:val="20"/>
              </w:rPr>
            </w:pPr>
            <w:r w:rsidRPr="007A2C85">
              <w:rPr>
                <w:rFonts w:asciiTheme="majorHAnsi" w:hAnsiTheme="majorHAnsi"/>
                <w:b/>
                <w:sz w:val="20"/>
                <w:szCs w:val="20"/>
              </w:rPr>
              <w:t>Early seed trait</w:t>
            </w:r>
          </w:p>
        </w:tc>
        <w:tc>
          <w:tcPr>
            <w:tcW w:w="1985" w:type="dxa"/>
            <w:tcBorders>
              <w:top w:val="single" w:sz="4" w:space="0" w:color="auto"/>
              <w:bottom w:val="single" w:sz="4" w:space="0" w:color="auto"/>
            </w:tcBorders>
            <w:shd w:val="clear" w:color="auto" w:fill="EDEDED" w:themeFill="accent3" w:themeFillTint="33"/>
          </w:tcPr>
          <w:p w14:paraId="70CBE751" w14:textId="77777777" w:rsidR="00715EA7" w:rsidRPr="007A2C85" w:rsidRDefault="00715EA7" w:rsidP="005B6A6B">
            <w:pPr>
              <w:ind w:left="-57" w:right="-57"/>
              <w:rPr>
                <w:rFonts w:asciiTheme="majorHAnsi" w:hAnsiTheme="majorHAnsi"/>
                <w:b/>
                <w:sz w:val="20"/>
                <w:szCs w:val="20"/>
              </w:rPr>
            </w:pPr>
            <w:r w:rsidRPr="007A2C85">
              <w:rPr>
                <w:rFonts w:asciiTheme="majorHAnsi" w:hAnsiTheme="majorHAnsi"/>
                <w:b/>
                <w:sz w:val="20"/>
                <w:szCs w:val="20"/>
              </w:rPr>
              <w:t>Later speciation</w:t>
            </w:r>
          </w:p>
        </w:tc>
        <w:tc>
          <w:tcPr>
            <w:tcW w:w="1842" w:type="dxa"/>
            <w:tcBorders>
              <w:top w:val="single" w:sz="4" w:space="0" w:color="auto"/>
              <w:bottom w:val="single" w:sz="4" w:space="0" w:color="auto"/>
            </w:tcBorders>
            <w:shd w:val="clear" w:color="auto" w:fill="EDEDED" w:themeFill="accent3" w:themeFillTint="33"/>
          </w:tcPr>
          <w:p w14:paraId="59760C61" w14:textId="77777777" w:rsidR="00715EA7" w:rsidRPr="007A2C85" w:rsidRDefault="00715EA7" w:rsidP="005B6A6B">
            <w:pPr>
              <w:ind w:left="-57" w:right="-57"/>
              <w:rPr>
                <w:rFonts w:asciiTheme="majorHAnsi" w:hAnsiTheme="majorHAnsi"/>
                <w:b/>
                <w:sz w:val="20"/>
                <w:szCs w:val="20"/>
              </w:rPr>
            </w:pPr>
            <w:r w:rsidRPr="007A2C85">
              <w:rPr>
                <w:rFonts w:asciiTheme="majorHAnsi" w:hAnsiTheme="majorHAnsi"/>
                <w:b/>
                <w:sz w:val="20"/>
                <w:szCs w:val="20"/>
              </w:rPr>
              <w:t>New climate</w:t>
            </w:r>
          </w:p>
        </w:tc>
        <w:tc>
          <w:tcPr>
            <w:tcW w:w="1560" w:type="dxa"/>
            <w:tcBorders>
              <w:top w:val="single" w:sz="4" w:space="0" w:color="auto"/>
              <w:bottom w:val="single" w:sz="4" w:space="0" w:color="auto"/>
            </w:tcBorders>
            <w:shd w:val="clear" w:color="auto" w:fill="EDEDED" w:themeFill="accent3" w:themeFillTint="33"/>
          </w:tcPr>
          <w:p w14:paraId="20C5CC1E" w14:textId="77777777" w:rsidR="00715EA7" w:rsidRPr="007A2C85" w:rsidRDefault="00715EA7" w:rsidP="005B6A6B">
            <w:pPr>
              <w:ind w:left="-57" w:right="-57"/>
              <w:rPr>
                <w:rFonts w:asciiTheme="majorHAnsi" w:hAnsiTheme="majorHAnsi"/>
                <w:b/>
                <w:sz w:val="20"/>
                <w:szCs w:val="20"/>
              </w:rPr>
            </w:pPr>
            <w:r w:rsidRPr="007A2C85">
              <w:rPr>
                <w:rFonts w:asciiTheme="majorHAnsi" w:hAnsiTheme="majorHAnsi"/>
                <w:b/>
                <w:sz w:val="20"/>
                <w:szCs w:val="20"/>
              </w:rPr>
              <w:t>New habitat and fire regime</w:t>
            </w:r>
          </w:p>
        </w:tc>
        <w:tc>
          <w:tcPr>
            <w:tcW w:w="1984" w:type="dxa"/>
            <w:tcBorders>
              <w:top w:val="single" w:sz="4" w:space="0" w:color="auto"/>
              <w:bottom w:val="single" w:sz="4" w:space="0" w:color="auto"/>
            </w:tcBorders>
            <w:shd w:val="clear" w:color="auto" w:fill="EDEDED" w:themeFill="accent3" w:themeFillTint="33"/>
          </w:tcPr>
          <w:p w14:paraId="5F345D6F" w14:textId="77777777" w:rsidR="00715EA7" w:rsidRPr="007A2C85" w:rsidRDefault="00715EA7" w:rsidP="005B6A6B">
            <w:pPr>
              <w:ind w:left="-57" w:right="-57"/>
              <w:rPr>
                <w:rFonts w:asciiTheme="majorHAnsi" w:hAnsiTheme="majorHAnsi"/>
                <w:b/>
                <w:sz w:val="20"/>
                <w:szCs w:val="20"/>
              </w:rPr>
            </w:pPr>
            <w:r w:rsidRPr="007A2C85">
              <w:rPr>
                <w:rFonts w:asciiTheme="majorHAnsi" w:hAnsiTheme="majorHAnsi"/>
                <w:b/>
                <w:sz w:val="20"/>
                <w:szCs w:val="20"/>
              </w:rPr>
              <w:t xml:space="preserve">New seed trait </w:t>
            </w:r>
          </w:p>
          <w:p w14:paraId="76F1508D" w14:textId="77777777" w:rsidR="00715EA7" w:rsidRPr="007A2C85" w:rsidRDefault="00715EA7" w:rsidP="005B6A6B">
            <w:pPr>
              <w:ind w:left="-57" w:right="-57"/>
              <w:rPr>
                <w:rFonts w:asciiTheme="majorHAnsi" w:hAnsiTheme="majorHAnsi"/>
                <w:b/>
                <w:sz w:val="20"/>
                <w:szCs w:val="20"/>
              </w:rPr>
            </w:pPr>
          </w:p>
        </w:tc>
        <w:tc>
          <w:tcPr>
            <w:tcW w:w="1276" w:type="dxa"/>
            <w:tcBorders>
              <w:top w:val="single" w:sz="4" w:space="0" w:color="auto"/>
              <w:bottom w:val="single" w:sz="4" w:space="0" w:color="auto"/>
            </w:tcBorders>
            <w:shd w:val="clear" w:color="auto" w:fill="EDEDED" w:themeFill="accent3" w:themeFillTint="33"/>
          </w:tcPr>
          <w:p w14:paraId="22AC1A46" w14:textId="77777777" w:rsidR="00715EA7" w:rsidRPr="007A2C85" w:rsidRDefault="00715EA7" w:rsidP="005B6A6B">
            <w:pPr>
              <w:ind w:left="-57" w:right="-57"/>
              <w:rPr>
                <w:rFonts w:asciiTheme="majorHAnsi" w:hAnsiTheme="majorHAnsi"/>
                <w:b/>
                <w:sz w:val="20"/>
                <w:szCs w:val="20"/>
              </w:rPr>
            </w:pPr>
            <w:r w:rsidRPr="007A2C85">
              <w:rPr>
                <w:rFonts w:asciiTheme="majorHAnsi" w:hAnsiTheme="majorHAnsi"/>
                <w:b/>
                <w:sz w:val="20"/>
                <w:szCs w:val="20"/>
              </w:rPr>
              <w:t>Time of origin of new trait (Ma)</w:t>
            </w:r>
          </w:p>
        </w:tc>
        <w:tc>
          <w:tcPr>
            <w:tcW w:w="1984" w:type="dxa"/>
            <w:tcBorders>
              <w:top w:val="single" w:sz="4" w:space="0" w:color="auto"/>
              <w:bottom w:val="single" w:sz="4" w:space="0" w:color="auto"/>
            </w:tcBorders>
            <w:shd w:val="clear" w:color="auto" w:fill="EDEDED" w:themeFill="accent3" w:themeFillTint="33"/>
          </w:tcPr>
          <w:p w14:paraId="3F78BC62" w14:textId="77777777" w:rsidR="00715EA7" w:rsidRPr="007A2C85" w:rsidRDefault="00715EA7" w:rsidP="005B6A6B">
            <w:pPr>
              <w:ind w:left="-57" w:right="-57"/>
              <w:rPr>
                <w:rFonts w:asciiTheme="majorHAnsi" w:hAnsiTheme="majorHAnsi"/>
                <w:b/>
                <w:sz w:val="20"/>
                <w:szCs w:val="20"/>
              </w:rPr>
            </w:pPr>
            <w:r w:rsidRPr="007A2C85">
              <w:rPr>
                <w:rFonts w:asciiTheme="majorHAnsi" w:hAnsiTheme="majorHAnsi"/>
                <w:b/>
                <w:sz w:val="20"/>
                <w:szCs w:val="20"/>
              </w:rPr>
              <w:t>References</w:t>
            </w:r>
          </w:p>
        </w:tc>
      </w:tr>
      <w:tr w:rsidR="00715EA7" w:rsidRPr="007A2C85" w14:paraId="59602F12" w14:textId="77777777" w:rsidTr="005B6A6B">
        <w:tc>
          <w:tcPr>
            <w:tcW w:w="16302" w:type="dxa"/>
            <w:gridSpan w:val="10"/>
            <w:tcBorders>
              <w:top w:val="single" w:sz="4" w:space="0" w:color="auto"/>
              <w:bottom w:val="single" w:sz="4" w:space="0" w:color="auto"/>
            </w:tcBorders>
            <w:shd w:val="clear" w:color="auto" w:fill="FBE4D5" w:themeFill="accent2" w:themeFillTint="33"/>
          </w:tcPr>
          <w:p w14:paraId="446E5FDB" w14:textId="77777777" w:rsidR="00715EA7" w:rsidRPr="007A2C85" w:rsidRDefault="00715EA7" w:rsidP="005B6A6B">
            <w:pPr>
              <w:spacing w:before="120" w:after="120"/>
              <w:ind w:left="-57" w:right="-57"/>
              <w:rPr>
                <w:rFonts w:asciiTheme="majorHAnsi" w:hAnsiTheme="majorHAnsi"/>
                <w:b/>
                <w:sz w:val="20"/>
                <w:szCs w:val="20"/>
              </w:rPr>
            </w:pPr>
            <w:r w:rsidRPr="007A2C85">
              <w:rPr>
                <w:rFonts w:asciiTheme="majorHAnsi" w:hAnsiTheme="majorHAnsi"/>
                <w:b/>
                <w:sz w:val="20"/>
                <w:szCs w:val="20"/>
              </w:rPr>
              <w:t>Pathway 1A. Migration from non-fireprone to fireprone habitat (gains fire-related trait)</w:t>
            </w:r>
          </w:p>
        </w:tc>
      </w:tr>
      <w:tr w:rsidR="00715EA7" w:rsidRPr="007A2C85" w14:paraId="1FF0BFC9" w14:textId="77777777" w:rsidTr="005B6A6B">
        <w:tc>
          <w:tcPr>
            <w:tcW w:w="1277" w:type="dxa"/>
            <w:tcBorders>
              <w:top w:val="single" w:sz="4" w:space="0" w:color="auto"/>
            </w:tcBorders>
            <w:shd w:val="clear" w:color="auto" w:fill="auto"/>
          </w:tcPr>
          <w:p w14:paraId="59FAAF9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Proteaceae</w:t>
            </w:r>
          </w:p>
          <w:p w14:paraId="012E01FB" w14:textId="77777777" w:rsidR="00715EA7" w:rsidRPr="007A2C85" w:rsidRDefault="00715EA7" w:rsidP="005B6A6B">
            <w:pPr>
              <w:ind w:left="-57" w:right="-57"/>
              <w:rPr>
                <w:rFonts w:asciiTheme="majorHAnsi" w:hAnsiTheme="majorHAnsi"/>
                <w:sz w:val="20"/>
                <w:szCs w:val="20"/>
              </w:rPr>
            </w:pPr>
          </w:p>
        </w:tc>
        <w:tc>
          <w:tcPr>
            <w:tcW w:w="1701" w:type="dxa"/>
            <w:tcBorders>
              <w:top w:val="single" w:sz="4" w:space="0" w:color="auto"/>
            </w:tcBorders>
            <w:shd w:val="clear" w:color="auto" w:fill="auto"/>
          </w:tcPr>
          <w:p w14:paraId="5D0EA56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Ever-wet, hot, humid climate, Gondwana – possibly NW Africa</w:t>
            </w:r>
          </w:p>
        </w:tc>
        <w:tc>
          <w:tcPr>
            <w:tcW w:w="1276" w:type="dxa"/>
            <w:tcBorders>
              <w:top w:val="single" w:sz="4" w:space="0" w:color="auto"/>
            </w:tcBorders>
            <w:shd w:val="clear" w:color="auto" w:fill="auto"/>
          </w:tcPr>
          <w:p w14:paraId="15ECCC4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Rainforest, non-fireprone</w:t>
            </w:r>
          </w:p>
        </w:tc>
        <w:tc>
          <w:tcPr>
            <w:tcW w:w="1417" w:type="dxa"/>
            <w:tcBorders>
              <w:top w:val="single" w:sz="4" w:space="0" w:color="auto"/>
            </w:tcBorders>
            <w:shd w:val="clear" w:color="auto" w:fill="auto"/>
          </w:tcPr>
          <w:p w14:paraId="3866370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Non-soil-stored, nonserotinous</w:t>
            </w:r>
          </w:p>
        </w:tc>
        <w:tc>
          <w:tcPr>
            <w:tcW w:w="1985" w:type="dxa"/>
            <w:tcBorders>
              <w:top w:val="single" w:sz="4" w:space="0" w:color="auto"/>
            </w:tcBorders>
            <w:shd w:val="clear" w:color="auto" w:fill="auto"/>
          </w:tcPr>
          <w:p w14:paraId="445AFDC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Early Proteaceae differentiates into subfamilies, here  Proteoideae</w:t>
            </w:r>
          </w:p>
        </w:tc>
        <w:tc>
          <w:tcPr>
            <w:tcW w:w="1842" w:type="dxa"/>
            <w:tcBorders>
              <w:top w:val="single" w:sz="4" w:space="0" w:color="auto"/>
            </w:tcBorders>
          </w:tcPr>
          <w:p w14:paraId="71C7D35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greater seasonality, possibly winter drier</w:t>
            </w:r>
          </w:p>
        </w:tc>
        <w:tc>
          <w:tcPr>
            <w:tcW w:w="1560" w:type="dxa"/>
            <w:tcBorders>
              <w:top w:val="single" w:sz="4" w:space="0" w:color="auto"/>
            </w:tcBorders>
            <w:shd w:val="clear" w:color="auto" w:fill="auto"/>
          </w:tcPr>
          <w:p w14:paraId="1A0405C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Sclerophyll woodlands, drought-prone, fireprone</w:t>
            </w:r>
          </w:p>
        </w:tc>
        <w:tc>
          <w:tcPr>
            <w:tcW w:w="1984" w:type="dxa"/>
            <w:tcBorders>
              <w:top w:val="single" w:sz="4" w:space="0" w:color="auto"/>
            </w:tcBorders>
            <w:shd w:val="clear" w:color="auto" w:fill="auto"/>
          </w:tcPr>
          <w:p w14:paraId="275E744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Fire-elated: soil-stored (50% probability) and serotinous (50% probability)</w:t>
            </w:r>
          </w:p>
        </w:tc>
        <w:tc>
          <w:tcPr>
            <w:tcW w:w="1276" w:type="dxa"/>
            <w:tcBorders>
              <w:top w:val="single" w:sz="4" w:space="0" w:color="auto"/>
            </w:tcBorders>
            <w:shd w:val="clear" w:color="auto" w:fill="auto"/>
          </w:tcPr>
          <w:p w14:paraId="6DA0224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85</w:t>
            </w:r>
            <w:r w:rsidRPr="007A2C85">
              <w:rPr>
                <w:rFonts w:asciiTheme="majorHAnsi" w:hAnsiTheme="majorHAnsi"/>
                <w:sz w:val="20"/>
                <w:szCs w:val="20"/>
              </w:rPr>
              <w:sym w:font="Symbol" w:char="F02D"/>
            </w:r>
            <w:r w:rsidRPr="007A2C85">
              <w:rPr>
                <w:rFonts w:asciiTheme="majorHAnsi" w:hAnsiTheme="majorHAnsi"/>
                <w:sz w:val="20"/>
                <w:szCs w:val="20"/>
              </w:rPr>
              <w:t>80 (95</w:t>
            </w:r>
            <w:r w:rsidRPr="007A2C85">
              <w:rPr>
                <w:rFonts w:asciiTheme="majorHAnsi" w:hAnsiTheme="majorHAnsi"/>
                <w:sz w:val="20"/>
                <w:szCs w:val="20"/>
              </w:rPr>
              <w:sym w:font="Symbol" w:char="F02D"/>
            </w:r>
            <w:r w:rsidRPr="007A2C85">
              <w:rPr>
                <w:rFonts w:asciiTheme="majorHAnsi" w:hAnsiTheme="majorHAnsi"/>
                <w:sz w:val="20"/>
                <w:szCs w:val="20"/>
              </w:rPr>
              <w:t>90)</w:t>
            </w:r>
          </w:p>
          <w:p w14:paraId="3350177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(stem</w:t>
            </w:r>
            <w:r w:rsidRPr="007A2C85">
              <w:rPr>
                <w:rFonts w:asciiTheme="majorHAnsi" w:hAnsiTheme="majorHAnsi"/>
                <w:sz w:val="20"/>
                <w:szCs w:val="20"/>
              </w:rPr>
              <w:sym w:font="Symbol" w:char="F02D"/>
            </w:r>
            <w:r w:rsidRPr="007A2C85">
              <w:rPr>
                <w:rFonts w:asciiTheme="majorHAnsi" w:hAnsiTheme="majorHAnsi"/>
                <w:sz w:val="20"/>
                <w:szCs w:val="20"/>
              </w:rPr>
              <w:t>crown of Proteoideae)</w:t>
            </w:r>
          </w:p>
        </w:tc>
        <w:tc>
          <w:tcPr>
            <w:tcW w:w="1984" w:type="dxa"/>
            <w:tcBorders>
              <w:top w:val="single" w:sz="4" w:space="0" w:color="auto"/>
            </w:tcBorders>
            <w:shd w:val="clear" w:color="auto" w:fill="auto"/>
          </w:tcPr>
          <w:p w14:paraId="22A1456A" w14:textId="77777777" w:rsidR="00715EA7" w:rsidRPr="007A2C85" w:rsidRDefault="00715EA7" w:rsidP="005B6A6B">
            <w:pPr>
              <w:ind w:left="-57" w:right="-57"/>
              <w:rPr>
                <w:rFonts w:asciiTheme="majorHAnsi" w:hAnsiTheme="majorHAnsi"/>
                <w:sz w:val="20"/>
                <w:szCs w:val="20"/>
              </w:rPr>
            </w:pPr>
            <w:r w:rsidRPr="007A2C85">
              <w:rPr>
                <w:rFonts w:asciiTheme="majorHAnsi" w:eastAsia="Times New Roman" w:hAnsiTheme="majorHAnsi"/>
                <w:sz w:val="20"/>
                <w:szCs w:val="20"/>
              </w:rPr>
              <w:t>Sauquet</w:t>
            </w:r>
            <w:r w:rsidRPr="007A2C85">
              <w:rPr>
                <w:rFonts w:asciiTheme="majorHAnsi" w:hAnsiTheme="majorHAnsi"/>
                <w:sz w:val="20"/>
                <w:szCs w:val="20"/>
              </w:rPr>
              <w:t xml:space="preserve"> et al. 2009, He and Lamont 2012 (updated by T. He, unpublished)</w:t>
            </w:r>
          </w:p>
        </w:tc>
      </w:tr>
      <w:tr w:rsidR="00715EA7" w:rsidRPr="007A2C85" w14:paraId="04EACDCB" w14:textId="77777777" w:rsidTr="005B6A6B">
        <w:tc>
          <w:tcPr>
            <w:tcW w:w="1277" w:type="dxa"/>
            <w:shd w:val="clear" w:color="auto" w:fill="F2F2F2" w:themeFill="background1" w:themeFillShade="F2"/>
          </w:tcPr>
          <w:p w14:paraId="71FA586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Proteaceae, stem of series Proteae </w:t>
            </w:r>
          </w:p>
        </w:tc>
        <w:tc>
          <w:tcPr>
            <w:tcW w:w="1701" w:type="dxa"/>
            <w:shd w:val="clear" w:color="auto" w:fill="F2F2F2" w:themeFill="background1" w:themeFillShade="F2"/>
          </w:tcPr>
          <w:p w14:paraId="2C1E9E8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uniform rainfall, Cape, S Africa</w:t>
            </w:r>
          </w:p>
        </w:tc>
        <w:tc>
          <w:tcPr>
            <w:tcW w:w="1276" w:type="dxa"/>
            <w:shd w:val="clear" w:color="auto" w:fill="F2F2F2" w:themeFill="background1" w:themeFillShade="F2"/>
          </w:tcPr>
          <w:p w14:paraId="2DB511A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Forest/woodland, non-fireprone</w:t>
            </w:r>
          </w:p>
        </w:tc>
        <w:tc>
          <w:tcPr>
            <w:tcW w:w="1417" w:type="dxa"/>
            <w:shd w:val="clear" w:color="auto" w:fill="F2F2F2" w:themeFill="background1" w:themeFillShade="F2"/>
          </w:tcPr>
          <w:p w14:paraId="16727D9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Non-soil-stored, nonserotinous (like </w:t>
            </w:r>
            <w:r w:rsidRPr="007A2C85">
              <w:rPr>
                <w:rFonts w:asciiTheme="majorHAnsi" w:hAnsiTheme="majorHAnsi"/>
                <w:i/>
                <w:sz w:val="20"/>
                <w:szCs w:val="20"/>
              </w:rPr>
              <w:t>Faurea</w:t>
            </w:r>
            <w:r w:rsidRPr="007A2C85">
              <w:rPr>
                <w:rFonts w:asciiTheme="majorHAnsi" w:hAnsiTheme="majorHAnsi"/>
                <w:sz w:val="20"/>
                <w:szCs w:val="20"/>
              </w:rPr>
              <w:t>,</w:t>
            </w:r>
            <w:r w:rsidRPr="007A2C85">
              <w:rPr>
                <w:rFonts w:asciiTheme="majorHAnsi" w:hAnsiTheme="majorHAnsi"/>
                <w:i/>
                <w:sz w:val="20"/>
                <w:szCs w:val="20"/>
              </w:rPr>
              <w:t xml:space="preserve"> </w:t>
            </w:r>
            <w:r w:rsidRPr="007A2C85">
              <w:rPr>
                <w:rFonts w:asciiTheme="majorHAnsi" w:hAnsiTheme="majorHAnsi"/>
                <w:sz w:val="20"/>
                <w:szCs w:val="20"/>
              </w:rPr>
              <w:t>sister to</w:t>
            </w:r>
            <w:r w:rsidRPr="007A2C85">
              <w:rPr>
                <w:rFonts w:asciiTheme="majorHAnsi" w:hAnsiTheme="majorHAnsi"/>
                <w:i/>
                <w:sz w:val="20"/>
                <w:szCs w:val="20"/>
              </w:rPr>
              <w:t xml:space="preserve"> Protea</w:t>
            </w:r>
            <w:r w:rsidRPr="007A2C85">
              <w:rPr>
                <w:rFonts w:asciiTheme="majorHAnsi" w:hAnsiTheme="majorHAnsi"/>
                <w:sz w:val="20"/>
                <w:szCs w:val="20"/>
              </w:rPr>
              <w:t>)</w:t>
            </w:r>
          </w:p>
        </w:tc>
        <w:tc>
          <w:tcPr>
            <w:tcW w:w="1985" w:type="dxa"/>
            <w:shd w:val="clear" w:color="auto" w:fill="F2F2F2" w:themeFill="background1" w:themeFillShade="F2"/>
          </w:tcPr>
          <w:p w14:paraId="41481E5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 xml:space="preserve">Protea </w:t>
            </w:r>
            <w:r w:rsidRPr="007A2C85">
              <w:rPr>
                <w:rFonts w:asciiTheme="majorHAnsi" w:hAnsiTheme="majorHAnsi"/>
                <w:sz w:val="20"/>
                <w:szCs w:val="20"/>
              </w:rPr>
              <w:t>separates from</w:t>
            </w:r>
            <w:r w:rsidRPr="007A2C85">
              <w:rPr>
                <w:rFonts w:asciiTheme="majorHAnsi" w:hAnsiTheme="majorHAnsi"/>
                <w:i/>
                <w:sz w:val="20"/>
                <w:szCs w:val="20"/>
              </w:rPr>
              <w:t xml:space="preserve"> Faurea</w:t>
            </w:r>
          </w:p>
        </w:tc>
        <w:tc>
          <w:tcPr>
            <w:tcW w:w="1842" w:type="dxa"/>
            <w:shd w:val="clear" w:color="auto" w:fill="F2F2F2" w:themeFill="background1" w:themeFillShade="F2"/>
          </w:tcPr>
          <w:p w14:paraId="06C089F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greater seasonality, possibly winter wetter</w:t>
            </w:r>
          </w:p>
        </w:tc>
        <w:tc>
          <w:tcPr>
            <w:tcW w:w="1560" w:type="dxa"/>
            <w:shd w:val="clear" w:color="auto" w:fill="F2F2F2" w:themeFill="background1" w:themeFillShade="F2"/>
          </w:tcPr>
          <w:p w14:paraId="237A39A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Fireprone shrublands, </w:t>
            </w:r>
          </w:p>
        </w:tc>
        <w:tc>
          <w:tcPr>
            <w:tcW w:w="1984" w:type="dxa"/>
            <w:shd w:val="clear" w:color="auto" w:fill="F2F2F2" w:themeFill="background1" w:themeFillShade="F2"/>
          </w:tcPr>
          <w:p w14:paraId="230187F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Enforced dormancy (serotinous), fire-stimulated seed release</w:t>
            </w:r>
          </w:p>
        </w:tc>
        <w:tc>
          <w:tcPr>
            <w:tcW w:w="1276" w:type="dxa"/>
            <w:shd w:val="clear" w:color="auto" w:fill="F2F2F2" w:themeFill="background1" w:themeFillShade="F2"/>
          </w:tcPr>
          <w:p w14:paraId="0CCADF1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70</w:t>
            </w:r>
            <w:r w:rsidRPr="007A2C85">
              <w:rPr>
                <w:rFonts w:asciiTheme="majorHAnsi" w:hAnsiTheme="majorHAnsi"/>
                <w:sz w:val="20"/>
                <w:szCs w:val="20"/>
              </w:rPr>
              <w:sym w:font="Symbol" w:char="F02D"/>
            </w:r>
            <w:r w:rsidRPr="007A2C85">
              <w:rPr>
                <w:rFonts w:asciiTheme="majorHAnsi" w:hAnsiTheme="majorHAnsi"/>
                <w:sz w:val="20"/>
                <w:szCs w:val="20"/>
              </w:rPr>
              <w:t xml:space="preserve">28 </w:t>
            </w:r>
          </w:p>
        </w:tc>
        <w:tc>
          <w:tcPr>
            <w:tcW w:w="1984" w:type="dxa"/>
            <w:shd w:val="clear" w:color="auto" w:fill="F2F2F2" w:themeFill="background1" w:themeFillShade="F2"/>
          </w:tcPr>
          <w:p w14:paraId="5DDD113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Lamont, He and Downes 2013</w:t>
            </w:r>
          </w:p>
        </w:tc>
      </w:tr>
      <w:tr w:rsidR="00715EA7" w:rsidRPr="007A2C85" w14:paraId="2FB009E3" w14:textId="77777777" w:rsidTr="005B6A6B">
        <w:tc>
          <w:tcPr>
            <w:tcW w:w="1277" w:type="dxa"/>
            <w:shd w:val="clear" w:color="auto" w:fill="auto"/>
          </w:tcPr>
          <w:p w14:paraId="3EE5918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Proteaceae, </w:t>
            </w:r>
            <w:r w:rsidRPr="007A2C85">
              <w:rPr>
                <w:rFonts w:asciiTheme="majorHAnsi" w:hAnsiTheme="majorHAnsi"/>
                <w:i/>
                <w:sz w:val="20"/>
                <w:szCs w:val="20"/>
              </w:rPr>
              <w:t>Banksia</w:t>
            </w:r>
          </w:p>
        </w:tc>
        <w:tc>
          <w:tcPr>
            <w:tcW w:w="1701" w:type="dxa"/>
            <w:shd w:val="clear" w:color="auto" w:fill="auto"/>
          </w:tcPr>
          <w:p w14:paraId="080DBFE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Ever-wet, hot, humid climate, Australia</w:t>
            </w:r>
          </w:p>
        </w:tc>
        <w:tc>
          <w:tcPr>
            <w:tcW w:w="1276" w:type="dxa"/>
            <w:shd w:val="clear" w:color="auto" w:fill="auto"/>
          </w:tcPr>
          <w:p w14:paraId="1287565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Rainforest, non-fireprone, </w:t>
            </w:r>
          </w:p>
        </w:tc>
        <w:tc>
          <w:tcPr>
            <w:tcW w:w="1417" w:type="dxa"/>
            <w:shd w:val="clear" w:color="auto" w:fill="auto"/>
          </w:tcPr>
          <w:p w14:paraId="6D08DAA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Nonserotinous, nondormant</w:t>
            </w:r>
          </w:p>
        </w:tc>
        <w:tc>
          <w:tcPr>
            <w:tcW w:w="1985" w:type="dxa"/>
            <w:shd w:val="clear" w:color="auto" w:fill="auto"/>
          </w:tcPr>
          <w:p w14:paraId="07B9A46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 xml:space="preserve">Banksia </w:t>
            </w:r>
            <w:r w:rsidRPr="007A2C85">
              <w:rPr>
                <w:rFonts w:asciiTheme="majorHAnsi" w:hAnsiTheme="majorHAnsi"/>
                <w:sz w:val="20"/>
                <w:szCs w:val="20"/>
              </w:rPr>
              <w:t xml:space="preserve">separates from rainforest </w:t>
            </w:r>
            <w:r w:rsidRPr="007A2C85">
              <w:rPr>
                <w:rFonts w:asciiTheme="majorHAnsi" w:hAnsiTheme="majorHAnsi"/>
                <w:i/>
                <w:sz w:val="20"/>
                <w:szCs w:val="20"/>
              </w:rPr>
              <w:t>Musgravea</w:t>
            </w:r>
            <w:r w:rsidRPr="007A2C85">
              <w:rPr>
                <w:rFonts w:asciiTheme="majorHAnsi" w:hAnsiTheme="majorHAnsi"/>
                <w:sz w:val="20"/>
                <w:szCs w:val="20"/>
              </w:rPr>
              <w:t xml:space="preserve"> clade</w:t>
            </w:r>
          </w:p>
        </w:tc>
        <w:tc>
          <w:tcPr>
            <w:tcW w:w="1842" w:type="dxa"/>
          </w:tcPr>
          <w:p w14:paraId="77E47B3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seasonality</w:t>
            </w:r>
          </w:p>
        </w:tc>
        <w:tc>
          <w:tcPr>
            <w:tcW w:w="1560" w:type="dxa"/>
            <w:shd w:val="clear" w:color="auto" w:fill="auto"/>
          </w:tcPr>
          <w:p w14:paraId="135927C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sclerophyll woodland/forests, SW Australia?</w:t>
            </w:r>
          </w:p>
        </w:tc>
        <w:tc>
          <w:tcPr>
            <w:tcW w:w="1984" w:type="dxa"/>
            <w:shd w:val="clear" w:color="auto" w:fill="auto"/>
          </w:tcPr>
          <w:p w14:paraId="5E58F6D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Serotinous cones, enforced dormancy, fire-stimulated seed release</w:t>
            </w:r>
          </w:p>
        </w:tc>
        <w:tc>
          <w:tcPr>
            <w:tcW w:w="1276" w:type="dxa"/>
            <w:shd w:val="clear" w:color="auto" w:fill="auto"/>
          </w:tcPr>
          <w:p w14:paraId="1603146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61</w:t>
            </w:r>
            <w:r w:rsidRPr="007A2C85">
              <w:rPr>
                <w:rFonts w:asciiTheme="majorHAnsi" w:hAnsiTheme="majorHAnsi"/>
                <w:sz w:val="20"/>
                <w:szCs w:val="20"/>
              </w:rPr>
              <w:sym w:font="Symbol" w:char="F02D"/>
            </w:r>
            <w:r w:rsidRPr="007A2C85">
              <w:rPr>
                <w:rFonts w:asciiTheme="majorHAnsi" w:hAnsiTheme="majorHAnsi"/>
                <w:sz w:val="20"/>
                <w:szCs w:val="20"/>
              </w:rPr>
              <w:t>48 (probably an underestimate)</w:t>
            </w:r>
          </w:p>
        </w:tc>
        <w:tc>
          <w:tcPr>
            <w:tcW w:w="1984" w:type="dxa"/>
            <w:shd w:val="clear" w:color="auto" w:fill="auto"/>
          </w:tcPr>
          <w:p w14:paraId="0F32ECB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Lamont, He and Downes 2011, Lamont and He 2017b</w:t>
            </w:r>
          </w:p>
        </w:tc>
      </w:tr>
      <w:tr w:rsidR="00715EA7" w:rsidRPr="007A2C85" w14:paraId="51F32E57" w14:textId="77777777" w:rsidTr="005B6A6B">
        <w:tc>
          <w:tcPr>
            <w:tcW w:w="1277" w:type="dxa"/>
            <w:shd w:val="clear" w:color="auto" w:fill="F2F2F2" w:themeFill="background1" w:themeFillShade="F2"/>
          </w:tcPr>
          <w:p w14:paraId="0F78286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Proteaceae, Persoonieae</w:t>
            </w:r>
          </w:p>
        </w:tc>
        <w:tc>
          <w:tcPr>
            <w:tcW w:w="1701" w:type="dxa"/>
            <w:shd w:val="clear" w:color="auto" w:fill="F2F2F2" w:themeFill="background1" w:themeFillShade="F2"/>
          </w:tcPr>
          <w:p w14:paraId="0FB2B03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Ever-wet, hot, humid climate, Australia, New Zealand</w:t>
            </w:r>
          </w:p>
        </w:tc>
        <w:tc>
          <w:tcPr>
            <w:tcW w:w="1276" w:type="dxa"/>
            <w:shd w:val="clear" w:color="auto" w:fill="F2F2F2" w:themeFill="background1" w:themeFillShade="F2"/>
          </w:tcPr>
          <w:p w14:paraId="551EFBA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Rainforest, non-fireprone </w:t>
            </w:r>
          </w:p>
        </w:tc>
        <w:tc>
          <w:tcPr>
            <w:tcW w:w="1417" w:type="dxa"/>
            <w:shd w:val="clear" w:color="auto" w:fill="F2F2F2" w:themeFill="background1" w:themeFillShade="F2"/>
          </w:tcPr>
          <w:p w14:paraId="20AA29E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Nondormant, drupaceous</w:t>
            </w:r>
          </w:p>
        </w:tc>
        <w:tc>
          <w:tcPr>
            <w:tcW w:w="1985" w:type="dxa"/>
            <w:shd w:val="clear" w:color="auto" w:fill="F2F2F2" w:themeFill="background1" w:themeFillShade="F2"/>
          </w:tcPr>
          <w:p w14:paraId="3B16B87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Persoonieae in Australia separates</w:t>
            </w:r>
            <w:r w:rsidRPr="007A2C85">
              <w:rPr>
                <w:rFonts w:asciiTheme="majorHAnsi" w:hAnsiTheme="majorHAnsi"/>
                <w:i/>
                <w:sz w:val="20"/>
                <w:szCs w:val="20"/>
              </w:rPr>
              <w:t xml:space="preserve"> </w:t>
            </w:r>
            <w:r w:rsidRPr="007A2C85">
              <w:rPr>
                <w:rFonts w:asciiTheme="majorHAnsi" w:hAnsiTheme="majorHAnsi"/>
                <w:sz w:val="20"/>
                <w:szCs w:val="20"/>
              </w:rPr>
              <w:t xml:space="preserve">from rainforest </w:t>
            </w:r>
            <w:r w:rsidRPr="007A2C85">
              <w:rPr>
                <w:rFonts w:asciiTheme="majorHAnsi" w:hAnsiTheme="majorHAnsi"/>
                <w:i/>
                <w:sz w:val="20"/>
                <w:szCs w:val="20"/>
              </w:rPr>
              <w:t xml:space="preserve">Placospermum </w:t>
            </w:r>
            <w:r w:rsidRPr="007A2C85">
              <w:rPr>
                <w:rFonts w:asciiTheme="majorHAnsi" w:hAnsiTheme="majorHAnsi"/>
                <w:sz w:val="20"/>
                <w:szCs w:val="20"/>
              </w:rPr>
              <w:t xml:space="preserve">clade, and </w:t>
            </w:r>
            <w:r w:rsidRPr="007A2C85">
              <w:rPr>
                <w:rFonts w:asciiTheme="majorHAnsi" w:hAnsiTheme="majorHAnsi"/>
                <w:i/>
                <w:sz w:val="20"/>
                <w:szCs w:val="20"/>
              </w:rPr>
              <w:t xml:space="preserve">Toronia </w:t>
            </w:r>
            <w:r w:rsidRPr="007A2C85">
              <w:rPr>
                <w:rFonts w:asciiTheme="majorHAnsi" w:hAnsiTheme="majorHAnsi"/>
                <w:sz w:val="20"/>
                <w:szCs w:val="20"/>
              </w:rPr>
              <w:t>in New Zealand</w:t>
            </w:r>
          </w:p>
        </w:tc>
        <w:tc>
          <w:tcPr>
            <w:tcW w:w="1842" w:type="dxa"/>
            <w:shd w:val="clear" w:color="auto" w:fill="F2F2F2" w:themeFill="background1" w:themeFillShade="F2"/>
          </w:tcPr>
          <w:p w14:paraId="71AFB1D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seasonality</w:t>
            </w:r>
          </w:p>
        </w:tc>
        <w:tc>
          <w:tcPr>
            <w:tcW w:w="1560" w:type="dxa"/>
            <w:shd w:val="clear" w:color="auto" w:fill="F2F2F2" w:themeFill="background1" w:themeFillShade="F2"/>
          </w:tcPr>
          <w:p w14:paraId="7C46E55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sclerophyll woodland/forests</w:t>
            </w:r>
          </w:p>
        </w:tc>
        <w:tc>
          <w:tcPr>
            <w:tcW w:w="1984" w:type="dxa"/>
            <w:shd w:val="clear" w:color="auto" w:fill="F2F2F2" w:themeFill="background1" w:themeFillShade="F2"/>
          </w:tcPr>
          <w:p w14:paraId="46DA13A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Semisucculent with stony endocarp (pyrene), vertebrate-dispersed, dormant, dormancy released by fire-type heat</w:t>
            </w:r>
          </w:p>
        </w:tc>
        <w:tc>
          <w:tcPr>
            <w:tcW w:w="1276" w:type="dxa"/>
            <w:shd w:val="clear" w:color="auto" w:fill="F2F2F2" w:themeFill="background1" w:themeFillShade="F2"/>
          </w:tcPr>
          <w:p w14:paraId="3730B2A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23</w:t>
            </w:r>
            <w:r w:rsidRPr="007A2C85">
              <w:rPr>
                <w:rFonts w:asciiTheme="majorHAnsi" w:hAnsiTheme="majorHAnsi"/>
                <w:sz w:val="20"/>
                <w:szCs w:val="20"/>
              </w:rPr>
              <w:sym w:font="Symbol" w:char="F02D"/>
            </w:r>
            <w:r w:rsidRPr="007A2C85">
              <w:rPr>
                <w:rFonts w:asciiTheme="majorHAnsi" w:hAnsiTheme="majorHAnsi"/>
                <w:sz w:val="20"/>
                <w:szCs w:val="20"/>
              </w:rPr>
              <w:t>14</w:t>
            </w:r>
          </w:p>
        </w:tc>
        <w:tc>
          <w:tcPr>
            <w:tcW w:w="1984" w:type="dxa"/>
            <w:shd w:val="clear" w:color="auto" w:fill="F2F2F2" w:themeFill="background1" w:themeFillShade="F2"/>
          </w:tcPr>
          <w:p w14:paraId="62437BD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Auld, Denham and Turner 2007, Lamont and He 2012</w:t>
            </w:r>
          </w:p>
        </w:tc>
      </w:tr>
      <w:tr w:rsidR="00715EA7" w:rsidRPr="007A2C85" w14:paraId="4DC89980" w14:textId="77777777" w:rsidTr="005B6A6B">
        <w:tc>
          <w:tcPr>
            <w:tcW w:w="1277" w:type="dxa"/>
            <w:shd w:val="clear" w:color="auto" w:fill="auto"/>
          </w:tcPr>
          <w:p w14:paraId="794598C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Ecdeiocoleaceae</w:t>
            </w:r>
          </w:p>
        </w:tc>
        <w:tc>
          <w:tcPr>
            <w:tcW w:w="1701" w:type="dxa"/>
            <w:shd w:val="clear" w:color="auto" w:fill="auto"/>
          </w:tcPr>
          <w:p w14:paraId="7E029D3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High, uniform rainfall, SW Australia?</w:t>
            </w:r>
          </w:p>
        </w:tc>
        <w:tc>
          <w:tcPr>
            <w:tcW w:w="1276" w:type="dxa"/>
            <w:shd w:val="clear" w:color="auto" w:fill="auto"/>
          </w:tcPr>
          <w:p w14:paraId="4557787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(sub)tropical rainforest, non-fireprone</w:t>
            </w:r>
          </w:p>
        </w:tc>
        <w:tc>
          <w:tcPr>
            <w:tcW w:w="1417" w:type="dxa"/>
            <w:shd w:val="clear" w:color="auto" w:fill="auto"/>
          </w:tcPr>
          <w:p w14:paraId="47B458F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Drupes vertebrate-dispersed, soil-stored, dormant gradually losing dormancy</w:t>
            </w:r>
          </w:p>
        </w:tc>
        <w:tc>
          <w:tcPr>
            <w:tcW w:w="1985" w:type="dxa"/>
            <w:shd w:val="clear" w:color="auto" w:fill="auto"/>
          </w:tcPr>
          <w:p w14:paraId="6CC52A3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Ecdeiocoleaceae separates from </w:t>
            </w:r>
            <w:r w:rsidRPr="007A2C85">
              <w:rPr>
                <w:rFonts w:asciiTheme="majorHAnsi" w:hAnsiTheme="majorHAnsi"/>
                <w:i/>
                <w:sz w:val="20"/>
                <w:szCs w:val="20"/>
              </w:rPr>
              <w:t>Flagellaria-Joinvillea</w:t>
            </w:r>
          </w:p>
        </w:tc>
        <w:tc>
          <w:tcPr>
            <w:tcW w:w="1842" w:type="dxa"/>
          </w:tcPr>
          <w:p w14:paraId="62F11B7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some seasonality</w:t>
            </w:r>
          </w:p>
        </w:tc>
        <w:tc>
          <w:tcPr>
            <w:tcW w:w="1560" w:type="dxa"/>
            <w:shd w:val="clear" w:color="auto" w:fill="auto"/>
          </w:tcPr>
          <w:p w14:paraId="56B80AA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shrublands, C3 grasslands</w:t>
            </w:r>
          </w:p>
        </w:tc>
        <w:tc>
          <w:tcPr>
            <w:tcW w:w="1984" w:type="dxa"/>
            <w:shd w:val="clear" w:color="auto" w:fill="auto"/>
          </w:tcPr>
          <w:p w14:paraId="6D7CD79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Achenes, passively dispersed, soil-stored, dormancy released by smoke and postfire fluctuating temperatures</w:t>
            </w:r>
          </w:p>
        </w:tc>
        <w:tc>
          <w:tcPr>
            <w:tcW w:w="1276" w:type="dxa"/>
            <w:shd w:val="clear" w:color="auto" w:fill="auto"/>
          </w:tcPr>
          <w:p w14:paraId="6967CDE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73.5</w:t>
            </w:r>
            <w:r w:rsidRPr="007A2C85">
              <w:rPr>
                <w:rFonts w:asciiTheme="majorHAnsi" w:hAnsiTheme="majorHAnsi"/>
                <w:sz w:val="20"/>
                <w:szCs w:val="20"/>
              </w:rPr>
              <w:sym w:font="Symbol" w:char="F02D"/>
            </w:r>
            <w:r w:rsidRPr="007A2C85">
              <w:rPr>
                <w:rFonts w:asciiTheme="majorHAnsi" w:hAnsiTheme="majorHAnsi"/>
                <w:sz w:val="20"/>
                <w:szCs w:val="20"/>
              </w:rPr>
              <w:t>54</w:t>
            </w:r>
          </w:p>
        </w:tc>
        <w:tc>
          <w:tcPr>
            <w:tcW w:w="1984" w:type="dxa"/>
            <w:shd w:val="clear" w:color="auto" w:fill="auto"/>
          </w:tcPr>
          <w:p w14:paraId="4E527E6A" w14:textId="77777777" w:rsidR="00715EA7" w:rsidRPr="007A2C85" w:rsidRDefault="00715EA7" w:rsidP="005B6A6B">
            <w:pPr>
              <w:ind w:left="-57" w:right="-57"/>
              <w:rPr>
                <w:rFonts w:asciiTheme="majorHAnsi" w:hAnsiTheme="majorHAnsi"/>
                <w:sz w:val="20"/>
                <w:szCs w:val="20"/>
              </w:rPr>
            </w:pPr>
            <w:r w:rsidRPr="007A2C85">
              <w:rPr>
                <w:rFonts w:asciiTheme="majorHAnsi" w:eastAsia="Times New Roman" w:hAnsiTheme="majorHAnsi"/>
                <w:sz w:val="20"/>
                <w:szCs w:val="20"/>
              </w:rPr>
              <w:t xml:space="preserve">Randriatafika et al. 2007, Baskin et al. 2004, </w:t>
            </w:r>
            <w:r w:rsidRPr="007A2C85">
              <w:rPr>
                <w:rFonts w:asciiTheme="majorHAnsi" w:hAnsiTheme="majorHAnsi"/>
                <w:sz w:val="20"/>
                <w:szCs w:val="20"/>
              </w:rPr>
              <w:t>Lamont, He and Yan 2019b</w:t>
            </w:r>
          </w:p>
        </w:tc>
      </w:tr>
      <w:tr w:rsidR="00715EA7" w:rsidRPr="007A2C85" w14:paraId="464F1C40" w14:textId="77777777" w:rsidTr="005B6A6B">
        <w:tc>
          <w:tcPr>
            <w:tcW w:w="1277" w:type="dxa"/>
            <w:shd w:val="clear" w:color="auto" w:fill="F2F2F2" w:themeFill="background1" w:themeFillShade="F2"/>
          </w:tcPr>
          <w:p w14:paraId="23B59A0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Restionaceae</w:t>
            </w:r>
          </w:p>
        </w:tc>
        <w:tc>
          <w:tcPr>
            <w:tcW w:w="1701" w:type="dxa"/>
            <w:shd w:val="clear" w:color="auto" w:fill="F2F2F2" w:themeFill="background1" w:themeFillShade="F2"/>
          </w:tcPr>
          <w:p w14:paraId="08E369F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Uniform rainfall or permanently wet depressions? S Africa and Australia</w:t>
            </w:r>
          </w:p>
        </w:tc>
        <w:tc>
          <w:tcPr>
            <w:tcW w:w="1276" w:type="dxa"/>
            <w:shd w:val="clear" w:color="auto" w:fill="F2F2F2" w:themeFill="background1" w:themeFillShade="F2"/>
          </w:tcPr>
          <w:p w14:paraId="17651DF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Woodlands/shrublands, graminoid wetlands</w:t>
            </w:r>
          </w:p>
        </w:tc>
        <w:tc>
          <w:tcPr>
            <w:tcW w:w="1417" w:type="dxa"/>
            <w:shd w:val="clear" w:color="auto" w:fill="F2F2F2" w:themeFill="background1" w:themeFillShade="F2"/>
          </w:tcPr>
          <w:p w14:paraId="1D3C7D6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Possibly nondormant, but immediate S African ancestor unknown</w:t>
            </w:r>
          </w:p>
        </w:tc>
        <w:tc>
          <w:tcPr>
            <w:tcW w:w="1985" w:type="dxa"/>
            <w:shd w:val="clear" w:color="auto" w:fill="F2F2F2" w:themeFill="background1" w:themeFillShade="F2"/>
          </w:tcPr>
          <w:p w14:paraId="34A2BF7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Restionaceae, S African clade separates from Australian clade</w:t>
            </w:r>
          </w:p>
        </w:tc>
        <w:tc>
          <w:tcPr>
            <w:tcW w:w="1842" w:type="dxa"/>
            <w:shd w:val="clear" w:color="auto" w:fill="F2F2F2" w:themeFill="background1" w:themeFillShade="F2"/>
          </w:tcPr>
          <w:p w14:paraId="629902A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greater seasonality sites drying out over summer?</w:t>
            </w:r>
          </w:p>
        </w:tc>
        <w:tc>
          <w:tcPr>
            <w:tcW w:w="1560" w:type="dxa"/>
            <w:shd w:val="clear" w:color="auto" w:fill="F2F2F2" w:themeFill="background1" w:themeFillShade="F2"/>
          </w:tcPr>
          <w:p w14:paraId="23080EF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shrublands, graminoid (C3) wetlands</w:t>
            </w:r>
          </w:p>
        </w:tc>
        <w:tc>
          <w:tcPr>
            <w:tcW w:w="1984" w:type="dxa"/>
            <w:shd w:val="clear" w:color="auto" w:fill="F2F2F2" w:themeFill="background1" w:themeFillShade="F2"/>
          </w:tcPr>
          <w:p w14:paraId="073235E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Semihard capsules/nutlets, soil-stored, smoke-released dormancy</w:t>
            </w:r>
          </w:p>
        </w:tc>
        <w:tc>
          <w:tcPr>
            <w:tcW w:w="1276" w:type="dxa"/>
            <w:shd w:val="clear" w:color="auto" w:fill="F2F2F2" w:themeFill="background1" w:themeFillShade="F2"/>
          </w:tcPr>
          <w:p w14:paraId="2C4BA10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70</w:t>
            </w:r>
            <w:r w:rsidRPr="007A2C85">
              <w:rPr>
                <w:rFonts w:asciiTheme="majorHAnsi" w:hAnsiTheme="majorHAnsi"/>
                <w:sz w:val="20"/>
                <w:szCs w:val="20"/>
              </w:rPr>
              <w:sym w:font="Symbol" w:char="F02D"/>
            </w:r>
            <w:r w:rsidRPr="007A2C85">
              <w:rPr>
                <w:rFonts w:asciiTheme="majorHAnsi" w:hAnsiTheme="majorHAnsi"/>
                <w:sz w:val="20"/>
                <w:szCs w:val="20"/>
              </w:rPr>
              <w:t>46</w:t>
            </w:r>
            <w:r w:rsidRPr="007A2C85">
              <w:rPr>
                <w:rFonts w:asciiTheme="majorHAnsi" w:hAnsiTheme="majorHAnsi"/>
                <w:sz w:val="20"/>
                <w:szCs w:val="20"/>
                <w:vertAlign w:val="superscript"/>
              </w:rPr>
              <w:t>#</w:t>
            </w:r>
          </w:p>
        </w:tc>
        <w:tc>
          <w:tcPr>
            <w:tcW w:w="1984" w:type="dxa"/>
            <w:shd w:val="clear" w:color="auto" w:fill="F2F2F2" w:themeFill="background1" w:themeFillShade="F2"/>
          </w:tcPr>
          <w:p w14:paraId="6C6DAB3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He, Lamont and Manning 2016</w:t>
            </w:r>
          </w:p>
        </w:tc>
      </w:tr>
      <w:tr w:rsidR="00715EA7" w:rsidRPr="007A2C85" w14:paraId="46CCB02F" w14:textId="77777777" w:rsidTr="005B6A6B">
        <w:tc>
          <w:tcPr>
            <w:tcW w:w="1277" w:type="dxa"/>
            <w:shd w:val="clear" w:color="auto" w:fill="auto"/>
          </w:tcPr>
          <w:p w14:paraId="63FB9C0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Fabaceaae</w:t>
            </w:r>
          </w:p>
        </w:tc>
        <w:tc>
          <w:tcPr>
            <w:tcW w:w="1701" w:type="dxa"/>
            <w:shd w:val="clear" w:color="auto" w:fill="auto"/>
          </w:tcPr>
          <w:p w14:paraId="469E0ED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High rainfall, hot, humid, verging on monsoonal, Africa</w:t>
            </w:r>
          </w:p>
        </w:tc>
        <w:tc>
          <w:tcPr>
            <w:tcW w:w="1276" w:type="dxa"/>
            <w:shd w:val="clear" w:color="auto" w:fill="auto"/>
          </w:tcPr>
          <w:p w14:paraId="38AC147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Non-fireprone rainforests, </w:t>
            </w:r>
          </w:p>
        </w:tc>
        <w:tc>
          <w:tcPr>
            <w:tcW w:w="1417" w:type="dxa"/>
            <w:shd w:val="clear" w:color="auto" w:fill="auto"/>
          </w:tcPr>
          <w:p w14:paraId="3C99E23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Basal Polygalaceae: </w:t>
            </w:r>
            <w:r w:rsidRPr="007A2C85">
              <w:rPr>
                <w:rFonts w:asciiTheme="majorHAnsi" w:hAnsiTheme="majorHAnsi"/>
                <w:i/>
                <w:sz w:val="20"/>
                <w:szCs w:val="20"/>
              </w:rPr>
              <w:t>Xanthophyllum</w:t>
            </w:r>
            <w:r w:rsidRPr="007A2C85">
              <w:rPr>
                <w:rFonts w:asciiTheme="majorHAnsi" w:hAnsiTheme="majorHAnsi"/>
                <w:sz w:val="20"/>
                <w:szCs w:val="20"/>
              </w:rPr>
              <w:t xml:space="preserve">, </w:t>
            </w:r>
            <w:r w:rsidRPr="007A2C85">
              <w:rPr>
                <w:rFonts w:asciiTheme="majorHAnsi" w:hAnsiTheme="majorHAnsi"/>
                <w:i/>
                <w:sz w:val="20"/>
                <w:szCs w:val="20"/>
              </w:rPr>
              <w:t xml:space="preserve">Moutabea </w:t>
            </w:r>
            <w:r w:rsidRPr="007A2C85">
              <w:rPr>
                <w:rFonts w:asciiTheme="majorHAnsi" w:hAnsiTheme="majorHAnsi"/>
                <w:sz w:val="20"/>
                <w:szCs w:val="20"/>
              </w:rPr>
              <w:t xml:space="preserve">and </w:t>
            </w:r>
            <w:r w:rsidRPr="007A2C85">
              <w:rPr>
                <w:rFonts w:asciiTheme="majorHAnsi" w:hAnsiTheme="majorHAnsi"/>
                <w:i/>
                <w:sz w:val="20"/>
                <w:szCs w:val="20"/>
              </w:rPr>
              <w:t>Carpolobia</w:t>
            </w:r>
            <w:r w:rsidRPr="007A2C85">
              <w:rPr>
                <w:rFonts w:asciiTheme="majorHAnsi" w:hAnsiTheme="majorHAnsi"/>
                <w:sz w:val="20"/>
                <w:szCs w:val="20"/>
              </w:rPr>
              <w:t>, soft-seeded, non-soil-stored, no water gap</w:t>
            </w:r>
          </w:p>
        </w:tc>
        <w:tc>
          <w:tcPr>
            <w:tcW w:w="1985" w:type="dxa"/>
            <w:shd w:val="clear" w:color="auto" w:fill="auto"/>
          </w:tcPr>
          <w:p w14:paraId="7688084E"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Fabaceae separates from Polygalaceae</w:t>
            </w:r>
          </w:p>
        </w:tc>
        <w:tc>
          <w:tcPr>
            <w:tcW w:w="1842" w:type="dxa"/>
          </w:tcPr>
          <w:p w14:paraId="5BB39E9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Monsoon with some seasonality, winter dry</w:t>
            </w:r>
          </w:p>
        </w:tc>
        <w:tc>
          <w:tcPr>
            <w:tcW w:w="1560" w:type="dxa"/>
            <w:shd w:val="clear" w:color="auto" w:fill="auto"/>
          </w:tcPr>
          <w:p w14:paraId="14D88D5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forests</w:t>
            </w:r>
          </w:p>
        </w:tc>
        <w:tc>
          <w:tcPr>
            <w:tcW w:w="1984" w:type="dxa"/>
            <w:shd w:val="clear" w:color="auto" w:fill="auto"/>
          </w:tcPr>
          <w:p w14:paraId="52B2B45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 cutinized, sclerified palisade, osteosclereid layer, light line, lens (cracks on heating to create water gap)</w:t>
            </w:r>
          </w:p>
        </w:tc>
        <w:tc>
          <w:tcPr>
            <w:tcW w:w="1276" w:type="dxa"/>
            <w:shd w:val="clear" w:color="auto" w:fill="auto"/>
          </w:tcPr>
          <w:p w14:paraId="2CBE66B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109</w:t>
            </w:r>
            <w:r w:rsidRPr="007A2C85">
              <w:rPr>
                <w:rFonts w:asciiTheme="majorHAnsi" w:hAnsiTheme="majorHAnsi"/>
                <w:sz w:val="20"/>
                <w:szCs w:val="20"/>
              </w:rPr>
              <w:sym w:font="Symbol" w:char="F02D"/>
            </w:r>
            <w:r w:rsidRPr="007A2C85">
              <w:rPr>
                <w:rFonts w:asciiTheme="majorHAnsi" w:hAnsiTheme="majorHAnsi"/>
                <w:sz w:val="20"/>
                <w:szCs w:val="20"/>
              </w:rPr>
              <w:t>105 (Faboideae separates at 93</w:t>
            </w:r>
            <w:r w:rsidRPr="007A2C85">
              <w:rPr>
                <w:rFonts w:asciiTheme="majorHAnsi" w:hAnsiTheme="majorHAnsi"/>
                <w:sz w:val="20"/>
                <w:szCs w:val="20"/>
              </w:rPr>
              <w:sym w:font="Symbol" w:char="F02D"/>
            </w:r>
            <w:r w:rsidRPr="007A2C85">
              <w:rPr>
                <w:rFonts w:asciiTheme="majorHAnsi" w:hAnsiTheme="majorHAnsi"/>
                <w:sz w:val="20"/>
                <w:szCs w:val="20"/>
              </w:rPr>
              <w:t>92, many later acquiring arils in more intensely burnt regions)</w:t>
            </w:r>
          </w:p>
        </w:tc>
        <w:tc>
          <w:tcPr>
            <w:tcW w:w="1984" w:type="dxa"/>
            <w:shd w:val="clear" w:color="auto" w:fill="auto"/>
          </w:tcPr>
          <w:p w14:paraId="1F778241" w14:textId="77777777" w:rsidR="00715EA7" w:rsidRPr="007A2C85" w:rsidRDefault="00715EA7" w:rsidP="005B6A6B">
            <w:pPr>
              <w:ind w:left="-57" w:right="-57"/>
              <w:rPr>
                <w:rFonts w:asciiTheme="majorHAnsi" w:hAnsiTheme="majorHAnsi"/>
                <w:sz w:val="20"/>
                <w:szCs w:val="20"/>
              </w:rPr>
            </w:pPr>
            <w:r w:rsidRPr="007A2C85">
              <w:rPr>
                <w:rFonts w:asciiTheme="majorHAnsi" w:eastAsia="Times New Roman" w:hAnsiTheme="majorHAnsi"/>
                <w:sz w:val="20"/>
                <w:szCs w:val="20"/>
              </w:rPr>
              <w:t>Forest et al. 2007, Li et al 2015, Pausas &amp; Lamont 2022b, Lamont, He and Yan 2019b (Polygalaceae incorrectly given as hard-seeded, corrected here)</w:t>
            </w:r>
          </w:p>
        </w:tc>
      </w:tr>
      <w:tr w:rsidR="00715EA7" w:rsidRPr="007A2C85" w14:paraId="7836F4E6" w14:textId="77777777" w:rsidTr="005B6A6B">
        <w:tc>
          <w:tcPr>
            <w:tcW w:w="1277" w:type="dxa"/>
            <w:shd w:val="clear" w:color="auto" w:fill="F2F2F2" w:themeFill="background1" w:themeFillShade="F2"/>
          </w:tcPr>
          <w:p w14:paraId="358FDA3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lastRenderedPageBreak/>
              <w:t xml:space="preserve">Dipterocarpaceae </w:t>
            </w:r>
            <w:r w:rsidRPr="007A2C85">
              <w:rPr>
                <w:rFonts w:asciiTheme="majorHAnsi" w:hAnsiTheme="majorHAnsi"/>
                <w:i/>
                <w:sz w:val="20"/>
                <w:szCs w:val="20"/>
              </w:rPr>
              <w:t>sensu lato</w:t>
            </w:r>
          </w:p>
        </w:tc>
        <w:tc>
          <w:tcPr>
            <w:tcW w:w="1701" w:type="dxa"/>
            <w:shd w:val="clear" w:color="auto" w:fill="F2F2F2" w:themeFill="background1" w:themeFillShade="F2"/>
          </w:tcPr>
          <w:p w14:paraId="6AB3FD7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Ever-wet, hot, humid climate, Africa</w:t>
            </w:r>
          </w:p>
        </w:tc>
        <w:tc>
          <w:tcPr>
            <w:tcW w:w="1276" w:type="dxa"/>
            <w:shd w:val="clear" w:color="auto" w:fill="F2F2F2" w:themeFill="background1" w:themeFillShade="F2"/>
          </w:tcPr>
          <w:p w14:paraId="1610D8D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Rainforest, non-fireprone</w:t>
            </w:r>
          </w:p>
        </w:tc>
        <w:tc>
          <w:tcPr>
            <w:tcW w:w="1417" w:type="dxa"/>
            <w:shd w:val="clear" w:color="auto" w:fill="F2F2F2" w:themeFill="background1" w:themeFillShade="F2"/>
          </w:tcPr>
          <w:p w14:paraId="1F5B729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Soft testa, lacking dormancy, often recalcitrant (all and only Dipterocarpoid Dipterocarpaceae)</w:t>
            </w:r>
          </w:p>
        </w:tc>
        <w:tc>
          <w:tcPr>
            <w:tcW w:w="1985" w:type="dxa"/>
            <w:shd w:val="clear" w:color="auto" w:fill="F2F2F2" w:themeFill="background1" w:themeFillShade="F2"/>
          </w:tcPr>
          <w:p w14:paraId="124702F0"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i/>
                <w:sz w:val="20"/>
                <w:szCs w:val="20"/>
              </w:rPr>
              <w:t>Pakaraimaea</w:t>
            </w:r>
            <w:r w:rsidRPr="007A2C85">
              <w:rPr>
                <w:rFonts w:asciiTheme="majorHAnsi" w:hAnsiTheme="majorHAnsi"/>
                <w:sz w:val="20"/>
                <w:szCs w:val="20"/>
              </w:rPr>
              <w:t>-Cistaceae-(Bixaceae) separate from rainforest Dipterocarpaceae</w:t>
            </w:r>
          </w:p>
        </w:tc>
        <w:tc>
          <w:tcPr>
            <w:tcW w:w="1842" w:type="dxa"/>
            <w:shd w:val="clear" w:color="auto" w:fill="F2F2F2" w:themeFill="background1" w:themeFillShade="F2"/>
          </w:tcPr>
          <w:p w14:paraId="494877F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Monsoon with some seasonality, winter dry</w:t>
            </w:r>
          </w:p>
        </w:tc>
        <w:tc>
          <w:tcPr>
            <w:tcW w:w="1560" w:type="dxa"/>
            <w:shd w:val="clear" w:color="auto" w:fill="F2F2F2" w:themeFill="background1" w:themeFillShade="F2"/>
          </w:tcPr>
          <w:p w14:paraId="7C303E0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Fireprone forests </w:t>
            </w:r>
          </w:p>
        </w:tc>
        <w:tc>
          <w:tcPr>
            <w:tcW w:w="1984" w:type="dxa"/>
            <w:shd w:val="clear" w:color="auto" w:fill="F2F2F2" w:themeFill="background1" w:themeFillShade="F2"/>
          </w:tcPr>
          <w:p w14:paraId="61C9D02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testa, possibly fire-type heat-released dormancy (benefit from scarification)</w:t>
            </w:r>
          </w:p>
        </w:tc>
        <w:tc>
          <w:tcPr>
            <w:tcW w:w="1276" w:type="dxa"/>
            <w:shd w:val="clear" w:color="auto" w:fill="F2F2F2" w:themeFill="background1" w:themeFillShade="F2"/>
          </w:tcPr>
          <w:p w14:paraId="1642D750" w14:textId="77777777" w:rsidR="00715EA7" w:rsidRPr="007A2C85" w:rsidRDefault="00715EA7" w:rsidP="005B6A6B">
            <w:pPr>
              <w:ind w:left="-57" w:right="-57"/>
              <w:rPr>
                <w:rFonts w:asciiTheme="majorHAnsi" w:eastAsia="Times New Roman" w:hAnsiTheme="majorHAnsi"/>
                <w:sz w:val="20"/>
                <w:szCs w:val="20"/>
              </w:rPr>
            </w:pPr>
            <w:r w:rsidRPr="007A2C85">
              <w:rPr>
                <w:rFonts w:asciiTheme="majorHAnsi" w:eastAsia="Times New Roman" w:hAnsiTheme="majorHAnsi"/>
                <w:sz w:val="20"/>
                <w:szCs w:val="20"/>
              </w:rPr>
              <w:t>77</w:t>
            </w:r>
            <w:r w:rsidRPr="007A2C85">
              <w:rPr>
                <w:rFonts w:asciiTheme="majorHAnsi" w:hAnsiTheme="majorHAnsi"/>
                <w:sz w:val="20"/>
                <w:szCs w:val="20"/>
              </w:rPr>
              <w:sym w:font="Symbol" w:char="F02D"/>
            </w:r>
            <w:r w:rsidRPr="007A2C85">
              <w:rPr>
                <w:rFonts w:asciiTheme="majorHAnsi" w:eastAsia="Times New Roman" w:hAnsiTheme="majorHAnsi"/>
                <w:sz w:val="20"/>
                <w:szCs w:val="20"/>
              </w:rPr>
              <w:t xml:space="preserve">61 (probably underestimated – see under </w:t>
            </w:r>
            <w:r w:rsidRPr="007A2C85">
              <w:rPr>
                <w:rFonts w:asciiTheme="majorHAnsi" w:eastAsia="Times New Roman" w:hAnsiTheme="majorHAnsi"/>
                <w:i/>
                <w:sz w:val="20"/>
                <w:szCs w:val="20"/>
              </w:rPr>
              <w:t xml:space="preserve">Pakaraimaea </w:t>
            </w:r>
            <w:r w:rsidRPr="007A2C85">
              <w:rPr>
                <w:rFonts w:asciiTheme="majorHAnsi" w:eastAsia="Times New Roman" w:hAnsiTheme="majorHAnsi"/>
                <w:sz w:val="20"/>
                <w:szCs w:val="20"/>
              </w:rPr>
              <w:t>below))</w:t>
            </w:r>
          </w:p>
          <w:p w14:paraId="1D4AD090" w14:textId="77777777" w:rsidR="00715EA7" w:rsidRPr="007A2C85" w:rsidRDefault="00715EA7" w:rsidP="005B6A6B">
            <w:pPr>
              <w:ind w:left="-57" w:right="-57"/>
              <w:rPr>
                <w:rFonts w:asciiTheme="majorHAnsi" w:hAnsiTheme="majorHAnsi"/>
                <w:sz w:val="20"/>
                <w:szCs w:val="20"/>
              </w:rPr>
            </w:pPr>
          </w:p>
        </w:tc>
        <w:tc>
          <w:tcPr>
            <w:tcW w:w="1984" w:type="dxa"/>
            <w:shd w:val="clear" w:color="auto" w:fill="F2F2F2" w:themeFill="background1" w:themeFillShade="F2"/>
          </w:tcPr>
          <w:p w14:paraId="5A2FD623" w14:textId="77777777" w:rsidR="00715EA7" w:rsidRPr="007A2C85" w:rsidRDefault="00715EA7" w:rsidP="005B6A6B">
            <w:pPr>
              <w:ind w:left="-57" w:right="-57"/>
              <w:rPr>
                <w:rFonts w:asciiTheme="majorHAnsi" w:hAnsiTheme="majorHAnsi"/>
                <w:sz w:val="20"/>
                <w:szCs w:val="20"/>
              </w:rPr>
            </w:pPr>
            <w:r w:rsidRPr="007A2C85">
              <w:rPr>
                <w:rFonts w:asciiTheme="majorHAnsi" w:eastAsia="Times New Roman" w:hAnsiTheme="majorHAnsi"/>
                <w:sz w:val="20"/>
                <w:szCs w:val="20"/>
              </w:rPr>
              <w:t>Tompsett and Kemp 1996 in Apannah and Turnbull 1998, Thanos et al. 1992, Nandi 1998, Heckenhauer et al. 2017, unpublished</w:t>
            </w:r>
          </w:p>
        </w:tc>
      </w:tr>
      <w:tr w:rsidR="00715EA7" w:rsidRPr="007A2C85" w14:paraId="6D6717A3" w14:textId="77777777" w:rsidTr="005B6A6B">
        <w:tc>
          <w:tcPr>
            <w:tcW w:w="1277" w:type="dxa"/>
            <w:shd w:val="clear" w:color="auto" w:fill="auto"/>
          </w:tcPr>
          <w:p w14:paraId="6F5E02E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Poaceae</w:t>
            </w:r>
          </w:p>
        </w:tc>
        <w:tc>
          <w:tcPr>
            <w:tcW w:w="1701" w:type="dxa"/>
            <w:shd w:val="clear" w:color="auto" w:fill="auto"/>
          </w:tcPr>
          <w:p w14:paraId="04A15E2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uniform rainfall</w:t>
            </w:r>
          </w:p>
        </w:tc>
        <w:tc>
          <w:tcPr>
            <w:tcW w:w="1276" w:type="dxa"/>
            <w:shd w:val="clear" w:color="auto" w:fill="auto"/>
          </w:tcPr>
          <w:p w14:paraId="3DA61E7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Open vegetation, rarely fireprone?</w:t>
            </w:r>
          </w:p>
        </w:tc>
        <w:tc>
          <w:tcPr>
            <w:tcW w:w="1417" w:type="dxa"/>
            <w:shd w:val="clear" w:color="auto" w:fill="auto"/>
          </w:tcPr>
          <w:p w14:paraId="28EA9CD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Seed type permeable and nondormant</w:t>
            </w:r>
          </w:p>
        </w:tc>
        <w:tc>
          <w:tcPr>
            <w:tcW w:w="1985" w:type="dxa"/>
            <w:shd w:val="clear" w:color="auto" w:fill="auto"/>
          </w:tcPr>
          <w:p w14:paraId="4B8F71A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C3 grasses separate from non-fireprone C3 grasses and from fireprone Ecdeiocoleaceae</w:t>
            </w:r>
          </w:p>
        </w:tc>
        <w:tc>
          <w:tcPr>
            <w:tcW w:w="1842" w:type="dxa"/>
          </w:tcPr>
          <w:p w14:paraId="5908823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with some seasonality</w:t>
            </w:r>
          </w:p>
        </w:tc>
        <w:tc>
          <w:tcPr>
            <w:tcW w:w="1560" w:type="dxa"/>
            <w:shd w:val="clear" w:color="auto" w:fill="auto"/>
          </w:tcPr>
          <w:p w14:paraId="3679453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shrubland to open woodlands</w:t>
            </w:r>
          </w:p>
        </w:tc>
        <w:tc>
          <w:tcPr>
            <w:tcW w:w="1984" w:type="dxa"/>
            <w:shd w:val="clear" w:color="auto" w:fill="auto"/>
          </w:tcPr>
          <w:p w14:paraId="656012E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Seeds dormant, remain permeable to water but now smoke sensitive for breaking dormancy </w:t>
            </w:r>
          </w:p>
        </w:tc>
        <w:tc>
          <w:tcPr>
            <w:tcW w:w="1276" w:type="dxa"/>
            <w:shd w:val="clear" w:color="auto" w:fill="auto"/>
          </w:tcPr>
          <w:p w14:paraId="31C251A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73.5</w:t>
            </w:r>
            <w:r w:rsidRPr="007A2C85">
              <w:rPr>
                <w:rFonts w:asciiTheme="majorHAnsi" w:hAnsiTheme="majorHAnsi"/>
                <w:sz w:val="20"/>
                <w:szCs w:val="20"/>
              </w:rPr>
              <w:sym w:font="Symbol" w:char="F02D"/>
            </w:r>
            <w:r w:rsidRPr="007A2C85">
              <w:rPr>
                <w:rFonts w:asciiTheme="majorHAnsi" w:hAnsiTheme="majorHAnsi"/>
                <w:sz w:val="20"/>
                <w:szCs w:val="20"/>
              </w:rPr>
              <w:t xml:space="preserve">55 (no ancestral trait assignments made so most likely dates unclear) </w:t>
            </w:r>
          </w:p>
        </w:tc>
        <w:tc>
          <w:tcPr>
            <w:tcW w:w="1984" w:type="dxa"/>
            <w:shd w:val="clear" w:color="auto" w:fill="auto"/>
          </w:tcPr>
          <w:p w14:paraId="06C2774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Lamont et al. 2019b</w:t>
            </w:r>
          </w:p>
        </w:tc>
      </w:tr>
      <w:tr w:rsidR="00715EA7" w:rsidRPr="007A2C85" w14:paraId="314CC803" w14:textId="77777777" w:rsidTr="005B6A6B">
        <w:tc>
          <w:tcPr>
            <w:tcW w:w="1277" w:type="dxa"/>
            <w:shd w:val="clear" w:color="auto" w:fill="F2F2F2" w:themeFill="background1" w:themeFillShade="F2"/>
          </w:tcPr>
          <w:p w14:paraId="2702CC8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Pomaderreae, Rhamnaceae</w:t>
            </w:r>
          </w:p>
        </w:tc>
        <w:tc>
          <w:tcPr>
            <w:tcW w:w="1701" w:type="dxa"/>
            <w:shd w:val="clear" w:color="auto" w:fill="F2F2F2" w:themeFill="background1" w:themeFillShade="F2"/>
          </w:tcPr>
          <w:p w14:paraId="316D9B9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 Ever-wet, hot, humid climate sister and ancestors, SE Gondwana – S America-Antarctica-Australia?</w:t>
            </w:r>
          </w:p>
        </w:tc>
        <w:tc>
          <w:tcPr>
            <w:tcW w:w="1276" w:type="dxa"/>
            <w:shd w:val="clear" w:color="auto" w:fill="F2F2F2" w:themeFill="background1" w:themeFillShade="F2"/>
          </w:tcPr>
          <w:p w14:paraId="54F6679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Non-fireprone (non-sclerophyllous) rainforest </w:t>
            </w:r>
          </w:p>
        </w:tc>
        <w:tc>
          <w:tcPr>
            <w:tcW w:w="1417" w:type="dxa"/>
            <w:shd w:val="clear" w:color="auto" w:fill="F2F2F2" w:themeFill="background1" w:themeFillShade="F2"/>
          </w:tcPr>
          <w:p w14:paraId="0BF1CCA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Nondormant (soft) or dormant (hard) that does not respond to heat, nonarillate</w:t>
            </w:r>
          </w:p>
        </w:tc>
        <w:tc>
          <w:tcPr>
            <w:tcW w:w="1985" w:type="dxa"/>
            <w:shd w:val="clear" w:color="auto" w:fill="F2F2F2" w:themeFill="background1" w:themeFillShade="F2"/>
          </w:tcPr>
          <w:p w14:paraId="5643E0C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Tribe Pomaderreae (more sclerophyllous) separates from Colletieae </w:t>
            </w:r>
          </w:p>
        </w:tc>
        <w:tc>
          <w:tcPr>
            <w:tcW w:w="1842" w:type="dxa"/>
            <w:shd w:val="clear" w:color="auto" w:fill="F2F2F2" w:themeFill="background1" w:themeFillShade="F2"/>
          </w:tcPr>
          <w:p w14:paraId="051222A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seasonal (winter-wet?)</w:t>
            </w:r>
          </w:p>
        </w:tc>
        <w:tc>
          <w:tcPr>
            <w:tcW w:w="1560" w:type="dxa"/>
            <w:shd w:val="clear" w:color="auto" w:fill="F2F2F2" w:themeFill="background1" w:themeFillShade="F2"/>
          </w:tcPr>
          <w:p w14:paraId="23C8590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Highly fireprone, woodland/forests</w:t>
            </w:r>
          </w:p>
        </w:tc>
        <w:tc>
          <w:tcPr>
            <w:tcW w:w="1984" w:type="dxa"/>
            <w:shd w:val="clear" w:color="auto" w:fill="F2F2F2" w:themeFill="background1" w:themeFillShade="F2"/>
          </w:tcPr>
          <w:p w14:paraId="580B4A4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Dormant, hard, arillate, heat-stimulated dormancy breakage</w:t>
            </w:r>
          </w:p>
        </w:tc>
        <w:tc>
          <w:tcPr>
            <w:tcW w:w="1276" w:type="dxa"/>
            <w:shd w:val="clear" w:color="auto" w:fill="F2F2F2" w:themeFill="background1" w:themeFillShade="F2"/>
          </w:tcPr>
          <w:p w14:paraId="442CD07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50</w:t>
            </w:r>
            <w:r w:rsidRPr="007A2C85">
              <w:rPr>
                <w:rFonts w:asciiTheme="majorHAnsi" w:hAnsiTheme="majorHAnsi"/>
                <w:sz w:val="20"/>
                <w:szCs w:val="20"/>
              </w:rPr>
              <w:sym w:font="Symbol" w:char="F02D"/>
            </w:r>
            <w:r w:rsidRPr="007A2C85">
              <w:rPr>
                <w:rFonts w:asciiTheme="majorHAnsi" w:hAnsiTheme="majorHAnsi"/>
                <w:sz w:val="20"/>
                <w:szCs w:val="20"/>
              </w:rPr>
              <w:t>43</w:t>
            </w:r>
          </w:p>
        </w:tc>
        <w:tc>
          <w:tcPr>
            <w:tcW w:w="1984" w:type="dxa"/>
            <w:shd w:val="clear" w:color="auto" w:fill="F2F2F2" w:themeFill="background1" w:themeFillShade="F2"/>
          </w:tcPr>
          <w:p w14:paraId="064572A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Onstein and Linder 2016, Pausas &amp; Lamont 2022b  (all  32 fireprone Pomaderreae examined heat-responsive, arillate)</w:t>
            </w:r>
          </w:p>
        </w:tc>
      </w:tr>
      <w:tr w:rsidR="00715EA7" w:rsidRPr="007A2C85" w14:paraId="32A46CE0" w14:textId="77777777" w:rsidTr="005B6A6B">
        <w:tc>
          <w:tcPr>
            <w:tcW w:w="1277" w:type="dxa"/>
            <w:shd w:val="clear" w:color="auto" w:fill="auto"/>
          </w:tcPr>
          <w:p w14:paraId="69A1F64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Ceanothus</w:t>
            </w:r>
            <w:r w:rsidRPr="007A2C85">
              <w:rPr>
                <w:rFonts w:asciiTheme="majorHAnsi" w:hAnsiTheme="majorHAnsi"/>
                <w:sz w:val="20"/>
                <w:szCs w:val="20"/>
              </w:rPr>
              <w:t>, Rhamnaceae</w:t>
            </w:r>
          </w:p>
        </w:tc>
        <w:tc>
          <w:tcPr>
            <w:tcW w:w="1701" w:type="dxa"/>
            <w:shd w:val="clear" w:color="auto" w:fill="auto"/>
          </w:tcPr>
          <w:p w14:paraId="0571DDC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Ever-wet, hot, humid climate or monsoon savanna sister and ancestors, Africa-N America- Eurasia?</w:t>
            </w:r>
          </w:p>
        </w:tc>
        <w:tc>
          <w:tcPr>
            <w:tcW w:w="1276" w:type="dxa"/>
            <w:shd w:val="clear" w:color="auto" w:fill="auto"/>
          </w:tcPr>
          <w:p w14:paraId="7C5703C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Non-fireprone rainforest (non-sclerophyllous) </w:t>
            </w:r>
          </w:p>
        </w:tc>
        <w:tc>
          <w:tcPr>
            <w:tcW w:w="1417" w:type="dxa"/>
            <w:shd w:val="clear" w:color="auto" w:fill="auto"/>
          </w:tcPr>
          <w:p w14:paraId="313897E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Nondormant (soft) or dormant (hard) that does not respond to heat</w:t>
            </w:r>
          </w:p>
        </w:tc>
        <w:tc>
          <w:tcPr>
            <w:tcW w:w="1985" w:type="dxa"/>
            <w:shd w:val="clear" w:color="auto" w:fill="auto"/>
          </w:tcPr>
          <w:p w14:paraId="63282BC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Ceanothus</w:t>
            </w:r>
            <w:r w:rsidRPr="007A2C85">
              <w:rPr>
                <w:rFonts w:asciiTheme="majorHAnsi" w:hAnsiTheme="majorHAnsi"/>
                <w:sz w:val="20"/>
                <w:szCs w:val="20"/>
              </w:rPr>
              <w:t xml:space="preserve"> (sclerophyllous) separates from tribes </w:t>
            </w:r>
            <w:r w:rsidRPr="007A2C85">
              <w:rPr>
                <w:rFonts w:asciiTheme="majorHAnsi" w:hAnsiTheme="majorHAnsi"/>
                <w:sz w:val="20"/>
                <w:szCs w:val="20"/>
                <w:lang w:val="en-US"/>
              </w:rPr>
              <w:t>Gouanieae and Paliureae</w:t>
            </w:r>
            <w:r w:rsidRPr="007A2C85">
              <w:rPr>
                <w:rFonts w:asciiTheme="majorHAnsi" w:hAnsiTheme="majorHAnsi"/>
                <w:sz w:val="20"/>
                <w:szCs w:val="20"/>
              </w:rPr>
              <w:t xml:space="preserve"> (</w:t>
            </w:r>
            <w:r w:rsidRPr="007A2C85">
              <w:rPr>
                <w:rFonts w:asciiTheme="majorHAnsi" w:hAnsiTheme="majorHAnsi"/>
                <w:i/>
                <w:sz w:val="20"/>
                <w:szCs w:val="20"/>
              </w:rPr>
              <w:t>Ziziphus</w:t>
            </w:r>
            <w:r w:rsidRPr="007A2C85">
              <w:rPr>
                <w:rFonts w:asciiTheme="majorHAnsi" w:hAnsiTheme="majorHAnsi"/>
                <w:sz w:val="20"/>
                <w:szCs w:val="20"/>
              </w:rPr>
              <w:t>)</w:t>
            </w:r>
          </w:p>
        </w:tc>
        <w:tc>
          <w:tcPr>
            <w:tcW w:w="1842" w:type="dxa"/>
          </w:tcPr>
          <w:p w14:paraId="1724F16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seasonal (winter-wet?)</w:t>
            </w:r>
          </w:p>
        </w:tc>
        <w:tc>
          <w:tcPr>
            <w:tcW w:w="1560" w:type="dxa"/>
            <w:shd w:val="clear" w:color="auto" w:fill="auto"/>
          </w:tcPr>
          <w:p w14:paraId="7F4DAA0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Highly fireprone, woodland/forests</w:t>
            </w:r>
          </w:p>
        </w:tc>
        <w:tc>
          <w:tcPr>
            <w:tcW w:w="1984" w:type="dxa"/>
            <w:shd w:val="clear" w:color="auto" w:fill="auto"/>
          </w:tcPr>
          <w:p w14:paraId="61817FF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Dormant, hard, heat-stimulated dormancy breakage</w:t>
            </w:r>
          </w:p>
        </w:tc>
        <w:tc>
          <w:tcPr>
            <w:tcW w:w="1276" w:type="dxa"/>
            <w:shd w:val="clear" w:color="auto" w:fill="auto"/>
          </w:tcPr>
          <w:p w14:paraId="4016753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44</w:t>
            </w:r>
            <w:r w:rsidRPr="007A2C85">
              <w:rPr>
                <w:rFonts w:asciiTheme="majorHAnsi" w:hAnsiTheme="majorHAnsi"/>
                <w:sz w:val="20"/>
                <w:szCs w:val="20"/>
              </w:rPr>
              <w:sym w:font="Symbol" w:char="F02D"/>
            </w:r>
            <w:r w:rsidRPr="007A2C85">
              <w:rPr>
                <w:rFonts w:asciiTheme="majorHAnsi" w:hAnsiTheme="majorHAnsi"/>
                <w:sz w:val="20"/>
                <w:szCs w:val="20"/>
              </w:rPr>
              <w:t>23</w:t>
            </w:r>
          </w:p>
        </w:tc>
        <w:tc>
          <w:tcPr>
            <w:tcW w:w="1984" w:type="dxa"/>
            <w:shd w:val="clear" w:color="auto" w:fill="auto"/>
          </w:tcPr>
          <w:p w14:paraId="389B234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Onstein and Linder 2016, Pausas &amp; Lamont 2022b  (all 27 </w:t>
            </w:r>
            <w:r w:rsidRPr="007A2C85">
              <w:rPr>
                <w:rFonts w:asciiTheme="majorHAnsi" w:hAnsiTheme="majorHAnsi"/>
                <w:i/>
                <w:sz w:val="20"/>
                <w:szCs w:val="20"/>
              </w:rPr>
              <w:t>Ceanothus</w:t>
            </w:r>
            <w:r w:rsidRPr="007A2C85">
              <w:rPr>
                <w:rFonts w:asciiTheme="majorHAnsi" w:hAnsiTheme="majorHAnsi"/>
                <w:sz w:val="20"/>
                <w:szCs w:val="20"/>
              </w:rPr>
              <w:t xml:space="preserve"> spp examined heat-responsive)</w:t>
            </w:r>
          </w:p>
        </w:tc>
      </w:tr>
      <w:tr w:rsidR="00715EA7" w:rsidRPr="007A2C85" w14:paraId="5D6514D0" w14:textId="77777777" w:rsidTr="005B6A6B">
        <w:tc>
          <w:tcPr>
            <w:tcW w:w="1277" w:type="dxa"/>
            <w:shd w:val="clear" w:color="auto" w:fill="F2F2F2" w:themeFill="background1" w:themeFillShade="F2"/>
          </w:tcPr>
          <w:p w14:paraId="68F1954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Polygalaceae, fireprone clade</w:t>
            </w:r>
          </w:p>
        </w:tc>
        <w:tc>
          <w:tcPr>
            <w:tcW w:w="1701" w:type="dxa"/>
            <w:shd w:val="clear" w:color="auto" w:fill="F2F2F2" w:themeFill="background1" w:themeFillShade="F2"/>
          </w:tcPr>
          <w:p w14:paraId="16F9B99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Ever-wet, hot, humid climate, Africa, S America, SE Asia</w:t>
            </w:r>
          </w:p>
        </w:tc>
        <w:tc>
          <w:tcPr>
            <w:tcW w:w="1276" w:type="dxa"/>
            <w:shd w:val="clear" w:color="auto" w:fill="F2F2F2" w:themeFill="background1" w:themeFillShade="F2"/>
          </w:tcPr>
          <w:p w14:paraId="0550963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Non-fireprone rainforest in Africa, S America, SE Asia</w:t>
            </w:r>
          </w:p>
        </w:tc>
        <w:tc>
          <w:tcPr>
            <w:tcW w:w="1417" w:type="dxa"/>
            <w:shd w:val="clear" w:color="auto" w:fill="F2F2F2" w:themeFill="background1" w:themeFillShade="F2"/>
          </w:tcPr>
          <w:p w14:paraId="7F9E973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Nondormant (soft), nonarillate, non-soil-stored</w:t>
            </w:r>
          </w:p>
        </w:tc>
        <w:tc>
          <w:tcPr>
            <w:tcW w:w="1985" w:type="dxa"/>
            <w:shd w:val="clear" w:color="auto" w:fill="F2F2F2" w:themeFill="background1" w:themeFillShade="F2"/>
          </w:tcPr>
          <w:p w14:paraId="021BE26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Basal </w:t>
            </w:r>
            <w:r w:rsidRPr="007A2C85">
              <w:rPr>
                <w:rFonts w:asciiTheme="majorHAnsi" w:hAnsiTheme="majorHAnsi"/>
                <w:i/>
                <w:sz w:val="20"/>
                <w:szCs w:val="20"/>
              </w:rPr>
              <w:t>Xanthophyllum</w:t>
            </w:r>
            <w:r w:rsidRPr="007A2C85">
              <w:rPr>
                <w:rFonts w:asciiTheme="majorHAnsi" w:hAnsiTheme="majorHAnsi"/>
                <w:sz w:val="20"/>
                <w:szCs w:val="20"/>
              </w:rPr>
              <w:t xml:space="preserve">, </w:t>
            </w:r>
            <w:r w:rsidRPr="007A2C85">
              <w:rPr>
                <w:rFonts w:asciiTheme="majorHAnsi" w:hAnsiTheme="majorHAnsi"/>
                <w:i/>
                <w:sz w:val="20"/>
                <w:szCs w:val="20"/>
              </w:rPr>
              <w:t>Moutabea</w:t>
            </w:r>
            <w:r w:rsidRPr="007A2C85">
              <w:rPr>
                <w:rFonts w:asciiTheme="majorHAnsi" w:hAnsiTheme="majorHAnsi"/>
                <w:sz w:val="20"/>
                <w:szCs w:val="20"/>
              </w:rPr>
              <w:t xml:space="preserve">, </w:t>
            </w:r>
            <w:r w:rsidRPr="007A2C85">
              <w:rPr>
                <w:rFonts w:asciiTheme="majorHAnsi" w:hAnsiTheme="majorHAnsi"/>
                <w:i/>
                <w:sz w:val="20"/>
                <w:szCs w:val="20"/>
              </w:rPr>
              <w:t xml:space="preserve">Atroxima-Carpolobia </w:t>
            </w:r>
            <w:r w:rsidRPr="007A2C85">
              <w:rPr>
                <w:rFonts w:asciiTheme="majorHAnsi" w:hAnsiTheme="majorHAnsi"/>
                <w:sz w:val="20"/>
                <w:szCs w:val="20"/>
              </w:rPr>
              <w:t xml:space="preserve">lineages separate from derived Polygalaceae: </w:t>
            </w:r>
            <w:r w:rsidRPr="007A2C85">
              <w:rPr>
                <w:rFonts w:asciiTheme="majorHAnsi" w:hAnsiTheme="majorHAnsi"/>
                <w:i/>
                <w:sz w:val="20"/>
                <w:szCs w:val="20"/>
              </w:rPr>
              <w:t>Polygala</w:t>
            </w:r>
            <w:r w:rsidRPr="007A2C85">
              <w:rPr>
                <w:rFonts w:asciiTheme="majorHAnsi" w:hAnsiTheme="majorHAnsi"/>
                <w:sz w:val="20"/>
                <w:szCs w:val="20"/>
              </w:rPr>
              <w:t xml:space="preserve">, </w:t>
            </w:r>
            <w:r w:rsidRPr="007A2C85">
              <w:rPr>
                <w:rFonts w:asciiTheme="majorHAnsi" w:hAnsiTheme="majorHAnsi"/>
                <w:i/>
                <w:sz w:val="20"/>
                <w:szCs w:val="20"/>
              </w:rPr>
              <w:t>Muraltia</w:t>
            </w:r>
          </w:p>
        </w:tc>
        <w:tc>
          <w:tcPr>
            <w:tcW w:w="1842" w:type="dxa"/>
            <w:shd w:val="clear" w:color="auto" w:fill="F2F2F2" w:themeFill="background1" w:themeFillShade="F2"/>
          </w:tcPr>
          <w:p w14:paraId="02C9B04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seasonal (winter-wet?)</w:t>
            </w:r>
          </w:p>
        </w:tc>
        <w:tc>
          <w:tcPr>
            <w:tcW w:w="1560" w:type="dxa"/>
            <w:shd w:val="clear" w:color="auto" w:fill="F2F2F2" w:themeFill="background1" w:themeFillShade="F2"/>
          </w:tcPr>
          <w:p w14:paraId="0E7CA7B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woodland/forests</w:t>
            </w:r>
          </w:p>
        </w:tc>
        <w:tc>
          <w:tcPr>
            <w:tcW w:w="1984" w:type="dxa"/>
            <w:shd w:val="clear" w:color="auto" w:fill="F2F2F2" w:themeFill="background1" w:themeFillShade="F2"/>
          </w:tcPr>
          <w:p w14:paraId="5F3A844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dormant, soil-stored, arillate (ant-dispersed), possibly smoke-stimulated dormancy break (trait poorly studied among fireprone members)</w:t>
            </w:r>
          </w:p>
        </w:tc>
        <w:tc>
          <w:tcPr>
            <w:tcW w:w="1276" w:type="dxa"/>
            <w:shd w:val="clear" w:color="auto" w:fill="F2F2F2" w:themeFill="background1" w:themeFillShade="F2"/>
          </w:tcPr>
          <w:p w14:paraId="62F216A4" w14:textId="77777777" w:rsidR="00715EA7" w:rsidRPr="007A2C85" w:rsidRDefault="00715EA7" w:rsidP="005B6A6B">
            <w:pPr>
              <w:ind w:left="-57" w:right="-57"/>
              <w:rPr>
                <w:rFonts w:asciiTheme="majorHAnsi" w:hAnsiTheme="majorHAnsi"/>
                <w:sz w:val="20"/>
                <w:szCs w:val="20"/>
                <w:vertAlign w:val="superscript"/>
              </w:rPr>
            </w:pPr>
            <w:r w:rsidRPr="007A2C85">
              <w:rPr>
                <w:rFonts w:asciiTheme="majorHAnsi" w:hAnsiTheme="majorHAnsi"/>
                <w:sz w:val="20"/>
                <w:szCs w:val="20"/>
              </w:rPr>
              <w:t>56.3</w:t>
            </w:r>
            <w:r w:rsidRPr="007A2C85">
              <w:rPr>
                <w:rFonts w:asciiTheme="majorHAnsi" w:hAnsiTheme="majorHAnsi"/>
                <w:sz w:val="20"/>
                <w:szCs w:val="20"/>
              </w:rPr>
              <w:sym w:font="Symbol" w:char="F02D"/>
            </w:r>
            <w:r w:rsidRPr="007A2C85">
              <w:rPr>
                <w:rFonts w:asciiTheme="majorHAnsi" w:hAnsiTheme="majorHAnsi"/>
                <w:sz w:val="20"/>
                <w:szCs w:val="20"/>
              </w:rPr>
              <w:t>54</w:t>
            </w:r>
          </w:p>
        </w:tc>
        <w:tc>
          <w:tcPr>
            <w:tcW w:w="1984" w:type="dxa"/>
            <w:shd w:val="clear" w:color="auto" w:fill="F2F2F2" w:themeFill="background1" w:themeFillShade="F2"/>
          </w:tcPr>
          <w:p w14:paraId="7C5B80B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cs="Lucida Grande"/>
                <w:sz w:val="20"/>
                <w:szCs w:val="20"/>
              </w:rPr>
              <w:t xml:space="preserve">Forest et al. 2007 [in addition, </w:t>
            </w:r>
            <w:r w:rsidRPr="007A2C85">
              <w:rPr>
                <w:rFonts w:asciiTheme="majorHAnsi" w:hAnsiTheme="majorHAnsi" w:cs="Lucida Grande"/>
                <w:i/>
                <w:sz w:val="20"/>
                <w:szCs w:val="20"/>
              </w:rPr>
              <w:t>Comesperma</w:t>
            </w:r>
            <w:r w:rsidRPr="007A2C85">
              <w:rPr>
                <w:rFonts w:asciiTheme="majorHAnsi" w:hAnsiTheme="majorHAnsi" w:cs="Lucida Grande"/>
                <w:sz w:val="20"/>
                <w:szCs w:val="20"/>
              </w:rPr>
              <w:t xml:space="preserve"> is ant-dispersed (Berg 1975) whereas </w:t>
            </w:r>
            <w:r w:rsidRPr="007A2C85">
              <w:rPr>
                <w:rFonts w:asciiTheme="majorHAnsi" w:hAnsiTheme="majorHAnsi" w:cs="Lucida Grande"/>
                <w:i/>
                <w:sz w:val="20"/>
                <w:szCs w:val="20"/>
              </w:rPr>
              <w:t>Bredemeyera</w:t>
            </w:r>
            <w:r w:rsidRPr="007A2C85">
              <w:rPr>
                <w:rFonts w:asciiTheme="majorHAnsi" w:hAnsiTheme="majorHAnsi" w:cs="Lucida Grande"/>
                <w:sz w:val="20"/>
                <w:szCs w:val="20"/>
              </w:rPr>
              <w:t xml:space="preserve"> is not (Verdecke 1985)], Pastore, and Abbott 2012</w:t>
            </w:r>
          </w:p>
        </w:tc>
      </w:tr>
      <w:tr w:rsidR="00715EA7" w:rsidRPr="007A2C85" w14:paraId="34DCB4CF" w14:textId="77777777" w:rsidTr="005B6A6B">
        <w:tc>
          <w:tcPr>
            <w:tcW w:w="1277" w:type="dxa"/>
            <w:tcBorders>
              <w:bottom w:val="single" w:sz="4" w:space="0" w:color="auto"/>
            </w:tcBorders>
            <w:shd w:val="clear" w:color="auto" w:fill="auto"/>
          </w:tcPr>
          <w:p w14:paraId="09DC5BF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Rutaceae, Amyridoideae</w:t>
            </w:r>
          </w:p>
        </w:tc>
        <w:tc>
          <w:tcPr>
            <w:tcW w:w="1701" w:type="dxa"/>
            <w:tcBorders>
              <w:bottom w:val="single" w:sz="4" w:space="0" w:color="auto"/>
            </w:tcBorders>
            <w:shd w:val="clear" w:color="auto" w:fill="auto"/>
          </w:tcPr>
          <w:p w14:paraId="65C1A60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Ever-wet, hot, humid climate, Africa-Australia?</w:t>
            </w:r>
          </w:p>
        </w:tc>
        <w:tc>
          <w:tcPr>
            <w:tcW w:w="1276" w:type="dxa"/>
            <w:tcBorders>
              <w:bottom w:val="single" w:sz="4" w:space="0" w:color="auto"/>
            </w:tcBorders>
            <w:shd w:val="clear" w:color="auto" w:fill="auto"/>
          </w:tcPr>
          <w:p w14:paraId="510ACEA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Non-fireprone rainforest </w:t>
            </w:r>
          </w:p>
        </w:tc>
        <w:tc>
          <w:tcPr>
            <w:tcW w:w="1417" w:type="dxa"/>
            <w:tcBorders>
              <w:bottom w:val="single" w:sz="4" w:space="0" w:color="auto"/>
            </w:tcBorders>
            <w:shd w:val="clear" w:color="auto" w:fill="auto"/>
          </w:tcPr>
          <w:p w14:paraId="26A5D4E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Nondormant, nonarillate, non-soil-stored, bird-dispersed</w:t>
            </w:r>
          </w:p>
        </w:tc>
        <w:tc>
          <w:tcPr>
            <w:tcW w:w="1985" w:type="dxa"/>
            <w:tcBorders>
              <w:bottom w:val="single" w:sz="4" w:space="0" w:color="auto"/>
            </w:tcBorders>
            <w:shd w:val="clear" w:color="auto" w:fill="auto"/>
          </w:tcPr>
          <w:p w14:paraId="42E5504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Basal tree-form </w:t>
            </w:r>
            <w:r w:rsidRPr="007A2C85">
              <w:rPr>
                <w:rFonts w:asciiTheme="majorHAnsi" w:hAnsiTheme="majorHAnsi"/>
                <w:i/>
                <w:sz w:val="20"/>
                <w:szCs w:val="20"/>
              </w:rPr>
              <w:t>Vepris</w:t>
            </w:r>
            <w:r w:rsidRPr="007A2C85">
              <w:rPr>
                <w:rFonts w:asciiTheme="majorHAnsi" w:hAnsiTheme="majorHAnsi"/>
                <w:sz w:val="20"/>
                <w:szCs w:val="20"/>
              </w:rPr>
              <w:t xml:space="preserve"> (Africa), </w:t>
            </w:r>
            <w:r w:rsidRPr="007A2C85">
              <w:rPr>
                <w:rFonts w:asciiTheme="majorHAnsi" w:hAnsiTheme="majorHAnsi"/>
                <w:i/>
                <w:sz w:val="20"/>
                <w:szCs w:val="20"/>
              </w:rPr>
              <w:t>Flindersia</w:t>
            </w:r>
            <w:r w:rsidRPr="007A2C85">
              <w:rPr>
                <w:rFonts w:asciiTheme="majorHAnsi" w:hAnsiTheme="majorHAnsi"/>
                <w:sz w:val="20"/>
                <w:szCs w:val="20"/>
              </w:rPr>
              <w:t xml:space="preserve">, </w:t>
            </w:r>
            <w:r w:rsidRPr="007A2C85">
              <w:rPr>
                <w:rFonts w:asciiTheme="majorHAnsi" w:hAnsiTheme="majorHAnsi"/>
                <w:i/>
                <w:sz w:val="20"/>
                <w:szCs w:val="20"/>
              </w:rPr>
              <w:t xml:space="preserve">Lunasia </w:t>
            </w:r>
            <w:r w:rsidRPr="007A2C85">
              <w:rPr>
                <w:rFonts w:asciiTheme="majorHAnsi" w:hAnsiTheme="majorHAnsi"/>
                <w:sz w:val="20"/>
                <w:szCs w:val="20"/>
              </w:rPr>
              <w:t>separate from xeromorphic shrubby Boroniaeae (</w:t>
            </w:r>
            <w:r w:rsidRPr="007A2C85">
              <w:rPr>
                <w:rFonts w:asciiTheme="majorHAnsi" w:hAnsiTheme="majorHAnsi"/>
                <w:i/>
                <w:sz w:val="20"/>
                <w:szCs w:val="20"/>
              </w:rPr>
              <w:t>Boronia</w:t>
            </w:r>
            <w:r w:rsidRPr="007A2C85">
              <w:rPr>
                <w:rFonts w:asciiTheme="majorHAnsi" w:hAnsiTheme="majorHAnsi"/>
                <w:sz w:val="20"/>
                <w:szCs w:val="20"/>
              </w:rPr>
              <w:t xml:space="preserve">, </w:t>
            </w:r>
            <w:r w:rsidRPr="007A2C85">
              <w:rPr>
                <w:rFonts w:asciiTheme="majorHAnsi" w:hAnsiTheme="majorHAnsi"/>
                <w:i/>
                <w:sz w:val="20"/>
                <w:szCs w:val="20"/>
              </w:rPr>
              <w:t>Zieria</w:t>
            </w:r>
            <w:r w:rsidRPr="007A2C85">
              <w:rPr>
                <w:rFonts w:asciiTheme="majorHAnsi" w:hAnsiTheme="majorHAnsi"/>
                <w:sz w:val="20"/>
                <w:szCs w:val="20"/>
              </w:rPr>
              <w:t xml:space="preserve">) and </w:t>
            </w:r>
            <w:r w:rsidRPr="007A2C85">
              <w:rPr>
                <w:rFonts w:asciiTheme="majorHAnsi" w:hAnsiTheme="majorHAnsi"/>
                <w:i/>
                <w:sz w:val="20"/>
                <w:szCs w:val="20"/>
              </w:rPr>
              <w:t>Eriostemon</w:t>
            </w:r>
            <w:r w:rsidRPr="007A2C85">
              <w:rPr>
                <w:rFonts w:asciiTheme="majorHAnsi" w:hAnsiTheme="majorHAnsi"/>
                <w:sz w:val="20"/>
                <w:szCs w:val="20"/>
              </w:rPr>
              <w:t xml:space="preserve"> clades</w:t>
            </w:r>
          </w:p>
        </w:tc>
        <w:tc>
          <w:tcPr>
            <w:tcW w:w="1842" w:type="dxa"/>
            <w:tcBorders>
              <w:bottom w:val="single" w:sz="4" w:space="0" w:color="auto"/>
            </w:tcBorders>
          </w:tcPr>
          <w:p w14:paraId="72465E2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seasonal (winter-wet? or summer wet if fire only occasional?)</w:t>
            </w:r>
          </w:p>
        </w:tc>
        <w:tc>
          <w:tcPr>
            <w:tcW w:w="1560" w:type="dxa"/>
            <w:tcBorders>
              <w:bottom w:val="single" w:sz="4" w:space="0" w:color="auto"/>
            </w:tcBorders>
            <w:shd w:val="clear" w:color="auto" w:fill="auto"/>
          </w:tcPr>
          <w:p w14:paraId="1097099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Highly fireprone sclerophyll shrubland, woodland to forests</w:t>
            </w:r>
          </w:p>
        </w:tc>
        <w:tc>
          <w:tcPr>
            <w:tcW w:w="1984" w:type="dxa"/>
            <w:tcBorders>
              <w:bottom w:val="single" w:sz="4" w:space="0" w:color="auto"/>
            </w:tcBorders>
            <w:shd w:val="clear" w:color="auto" w:fill="auto"/>
          </w:tcPr>
          <w:p w14:paraId="0D5880D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Dormant, soil-stored, arillate, smoke-stimulated dormancy breakage</w:t>
            </w:r>
          </w:p>
        </w:tc>
        <w:tc>
          <w:tcPr>
            <w:tcW w:w="1276" w:type="dxa"/>
            <w:tcBorders>
              <w:bottom w:val="single" w:sz="4" w:space="0" w:color="auto"/>
            </w:tcBorders>
            <w:shd w:val="clear" w:color="auto" w:fill="auto"/>
          </w:tcPr>
          <w:p w14:paraId="175453F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45</w:t>
            </w:r>
            <w:r w:rsidRPr="007A2C85">
              <w:rPr>
                <w:rFonts w:asciiTheme="majorHAnsi" w:hAnsiTheme="majorHAnsi"/>
                <w:sz w:val="20"/>
                <w:szCs w:val="20"/>
              </w:rPr>
              <w:sym w:font="Symbol" w:char="F02D"/>
            </w:r>
            <w:r w:rsidRPr="007A2C85">
              <w:rPr>
                <w:rFonts w:asciiTheme="majorHAnsi" w:hAnsiTheme="majorHAnsi"/>
                <w:sz w:val="20"/>
                <w:szCs w:val="20"/>
              </w:rPr>
              <w:t>41</w:t>
            </w:r>
          </w:p>
        </w:tc>
        <w:tc>
          <w:tcPr>
            <w:tcW w:w="1984" w:type="dxa"/>
            <w:tcBorders>
              <w:bottom w:val="single" w:sz="4" w:space="0" w:color="auto"/>
            </w:tcBorders>
            <w:shd w:val="clear" w:color="auto" w:fill="auto"/>
          </w:tcPr>
          <w:p w14:paraId="1924D3C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cs="Lucida Grande"/>
                <w:sz w:val="20"/>
                <w:szCs w:val="20"/>
              </w:rPr>
              <w:t xml:space="preserve">Bayly et al. 2013, Paetzold et al. 2018, Pausas &amp; Lamont 2022b (interpretation assisted by Tianhua He) </w:t>
            </w:r>
          </w:p>
        </w:tc>
      </w:tr>
      <w:tr w:rsidR="00715EA7" w:rsidRPr="007A2C85" w14:paraId="3B28E999" w14:textId="77777777" w:rsidTr="005B6A6B">
        <w:tc>
          <w:tcPr>
            <w:tcW w:w="16302" w:type="dxa"/>
            <w:gridSpan w:val="10"/>
            <w:tcBorders>
              <w:top w:val="single" w:sz="4" w:space="0" w:color="auto"/>
              <w:bottom w:val="single" w:sz="4" w:space="0" w:color="auto"/>
            </w:tcBorders>
            <w:shd w:val="clear" w:color="auto" w:fill="FBE4D5" w:themeFill="accent2" w:themeFillTint="33"/>
          </w:tcPr>
          <w:p w14:paraId="1211424B" w14:textId="77777777" w:rsidR="00715EA7" w:rsidRPr="007A2C85" w:rsidRDefault="00715EA7" w:rsidP="005B6A6B">
            <w:pPr>
              <w:spacing w:before="120" w:after="120"/>
              <w:ind w:left="-57" w:right="-57"/>
              <w:rPr>
                <w:rFonts w:asciiTheme="majorHAnsi" w:hAnsiTheme="majorHAnsi" w:cs="Lucida Grande"/>
                <w:sz w:val="20"/>
                <w:szCs w:val="20"/>
              </w:rPr>
            </w:pPr>
            <w:r w:rsidRPr="007A2C85">
              <w:rPr>
                <w:rFonts w:asciiTheme="majorHAnsi" w:hAnsiTheme="majorHAnsi" w:cs="Lucida Grande"/>
                <w:b/>
                <w:sz w:val="20"/>
                <w:szCs w:val="20"/>
              </w:rPr>
              <w:t>Pathway 1B.</w:t>
            </w:r>
            <w:r w:rsidRPr="007A2C85">
              <w:rPr>
                <w:rFonts w:asciiTheme="majorHAnsi" w:hAnsiTheme="majorHAnsi" w:cs="Lucida Grande"/>
                <w:sz w:val="20"/>
                <w:szCs w:val="20"/>
              </w:rPr>
              <w:t xml:space="preserve"> </w:t>
            </w:r>
            <w:r w:rsidRPr="007A2C85">
              <w:rPr>
                <w:rFonts w:asciiTheme="majorHAnsi" w:hAnsiTheme="majorHAnsi"/>
                <w:b/>
                <w:sz w:val="20"/>
                <w:szCs w:val="20"/>
              </w:rPr>
              <w:t>Migration from one fireprone habitat type to a crown-fire-type (gains different fire-related trait)</w:t>
            </w:r>
          </w:p>
        </w:tc>
      </w:tr>
      <w:tr w:rsidR="00715EA7" w:rsidRPr="007A2C85" w14:paraId="6A99E9FF" w14:textId="77777777" w:rsidTr="005B6A6B">
        <w:trPr>
          <w:trHeight w:val="274"/>
        </w:trPr>
        <w:tc>
          <w:tcPr>
            <w:tcW w:w="1277" w:type="dxa"/>
            <w:tcBorders>
              <w:top w:val="single" w:sz="4" w:space="0" w:color="auto"/>
            </w:tcBorders>
            <w:shd w:val="clear" w:color="auto" w:fill="auto"/>
          </w:tcPr>
          <w:p w14:paraId="2B966ED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Pinaceae, </w:t>
            </w:r>
            <w:r w:rsidRPr="007A2C85">
              <w:rPr>
                <w:rFonts w:asciiTheme="majorHAnsi" w:hAnsiTheme="majorHAnsi"/>
                <w:i/>
                <w:sz w:val="20"/>
                <w:szCs w:val="20"/>
              </w:rPr>
              <w:t>Pinus</w:t>
            </w:r>
          </w:p>
        </w:tc>
        <w:tc>
          <w:tcPr>
            <w:tcW w:w="1701" w:type="dxa"/>
            <w:tcBorders>
              <w:top w:val="single" w:sz="4" w:space="0" w:color="auto"/>
            </w:tcBorders>
            <w:shd w:val="clear" w:color="auto" w:fill="auto"/>
          </w:tcPr>
          <w:p w14:paraId="452638C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Moderate-low rainfall, winter drought, N Hemisphere</w:t>
            </w:r>
          </w:p>
        </w:tc>
        <w:tc>
          <w:tcPr>
            <w:tcW w:w="1276" w:type="dxa"/>
            <w:tcBorders>
              <w:top w:val="single" w:sz="4" w:space="0" w:color="auto"/>
            </w:tcBorders>
            <w:shd w:val="clear" w:color="auto" w:fill="auto"/>
          </w:tcPr>
          <w:p w14:paraId="665CA62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Open woodland (savanna) with surface fires</w:t>
            </w:r>
          </w:p>
        </w:tc>
        <w:tc>
          <w:tcPr>
            <w:tcW w:w="1417" w:type="dxa"/>
            <w:tcBorders>
              <w:top w:val="single" w:sz="4" w:space="0" w:color="auto"/>
            </w:tcBorders>
            <w:shd w:val="clear" w:color="auto" w:fill="auto"/>
          </w:tcPr>
          <w:p w14:paraId="0B5FC03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Nondormant, nonserotinous</w:t>
            </w:r>
          </w:p>
        </w:tc>
        <w:tc>
          <w:tcPr>
            <w:tcW w:w="1985" w:type="dxa"/>
            <w:tcBorders>
              <w:top w:val="single" w:sz="4" w:space="0" w:color="auto"/>
            </w:tcBorders>
            <w:shd w:val="clear" w:color="auto" w:fill="auto"/>
          </w:tcPr>
          <w:p w14:paraId="735D32AD"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i/>
                <w:sz w:val="20"/>
                <w:szCs w:val="20"/>
              </w:rPr>
              <w:t>Pinus</w:t>
            </w:r>
            <w:r w:rsidRPr="007A2C85">
              <w:rPr>
                <w:rFonts w:asciiTheme="majorHAnsi" w:hAnsiTheme="majorHAnsi"/>
                <w:sz w:val="20"/>
                <w:szCs w:val="20"/>
              </w:rPr>
              <w:t xml:space="preserve">, subgenus </w:t>
            </w:r>
            <w:r w:rsidRPr="007A2C85">
              <w:rPr>
                <w:rFonts w:asciiTheme="majorHAnsi" w:hAnsiTheme="majorHAnsi"/>
                <w:i/>
                <w:sz w:val="20"/>
                <w:szCs w:val="20"/>
              </w:rPr>
              <w:t>Pinus</w:t>
            </w:r>
          </w:p>
        </w:tc>
        <w:tc>
          <w:tcPr>
            <w:tcW w:w="1842" w:type="dxa"/>
            <w:tcBorders>
              <w:top w:val="single" w:sz="4" w:space="0" w:color="auto"/>
            </w:tcBorders>
          </w:tcPr>
          <w:p w14:paraId="596E01F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Moderately high rainfall, strongly seasonal, winter drought?</w:t>
            </w:r>
          </w:p>
        </w:tc>
        <w:tc>
          <w:tcPr>
            <w:tcW w:w="1560" w:type="dxa"/>
            <w:tcBorders>
              <w:top w:val="single" w:sz="4" w:space="0" w:color="auto"/>
            </w:tcBorders>
            <w:shd w:val="clear" w:color="auto" w:fill="auto"/>
          </w:tcPr>
          <w:p w14:paraId="6C4F63E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Denser forest with less frequent, intensified (crown) fires</w:t>
            </w:r>
          </w:p>
        </w:tc>
        <w:tc>
          <w:tcPr>
            <w:tcW w:w="1984" w:type="dxa"/>
            <w:tcBorders>
              <w:top w:val="single" w:sz="4" w:space="0" w:color="auto"/>
            </w:tcBorders>
            <w:shd w:val="clear" w:color="auto" w:fill="auto"/>
          </w:tcPr>
          <w:p w14:paraId="3CB7C38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Enforced dormancy (serotiny)</w:t>
            </w:r>
          </w:p>
        </w:tc>
        <w:tc>
          <w:tcPr>
            <w:tcW w:w="1276" w:type="dxa"/>
            <w:tcBorders>
              <w:top w:val="single" w:sz="4" w:space="0" w:color="auto"/>
            </w:tcBorders>
            <w:shd w:val="clear" w:color="auto" w:fill="auto"/>
          </w:tcPr>
          <w:p w14:paraId="70D5A1C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114 (stem)</w:t>
            </w:r>
            <w:r w:rsidRPr="007A2C85">
              <w:rPr>
                <w:rFonts w:asciiTheme="majorHAnsi" w:hAnsiTheme="majorHAnsi"/>
                <w:sz w:val="20"/>
                <w:szCs w:val="20"/>
              </w:rPr>
              <w:sym w:font="Symbol" w:char="F02D"/>
            </w:r>
            <w:r w:rsidRPr="007A2C85">
              <w:rPr>
                <w:rFonts w:asciiTheme="majorHAnsi" w:hAnsiTheme="majorHAnsi"/>
                <w:sz w:val="20"/>
                <w:szCs w:val="20"/>
              </w:rPr>
              <w:t xml:space="preserve"> </w:t>
            </w:r>
            <w:r w:rsidRPr="007A2C85">
              <w:rPr>
                <w:rFonts w:asciiTheme="majorHAnsi" w:hAnsiTheme="majorHAnsi"/>
                <w:sz w:val="20"/>
                <w:szCs w:val="20"/>
              </w:rPr>
              <w:sym w:font="Symbol" w:char="F02D"/>
            </w:r>
            <w:r w:rsidRPr="007A2C85">
              <w:rPr>
                <w:rFonts w:asciiTheme="majorHAnsi" w:hAnsiTheme="majorHAnsi"/>
                <w:sz w:val="20"/>
                <w:szCs w:val="20"/>
              </w:rPr>
              <w:t xml:space="preserve">84 (crown) </w:t>
            </w:r>
          </w:p>
        </w:tc>
        <w:tc>
          <w:tcPr>
            <w:tcW w:w="1984" w:type="dxa"/>
            <w:tcBorders>
              <w:top w:val="single" w:sz="4" w:space="0" w:color="auto"/>
            </w:tcBorders>
            <w:shd w:val="clear" w:color="auto" w:fill="auto"/>
          </w:tcPr>
          <w:p w14:paraId="4EAD54C5" w14:textId="77777777" w:rsidR="00715EA7" w:rsidRPr="007A2C85" w:rsidRDefault="00715EA7" w:rsidP="005B6A6B">
            <w:pPr>
              <w:ind w:left="-57" w:right="-57"/>
              <w:rPr>
                <w:rFonts w:asciiTheme="majorHAnsi" w:eastAsia="Times New Roman" w:hAnsiTheme="majorHAnsi"/>
                <w:sz w:val="20"/>
                <w:szCs w:val="20"/>
              </w:rPr>
            </w:pPr>
            <w:r w:rsidRPr="007A2C85">
              <w:rPr>
                <w:rFonts w:asciiTheme="majorHAnsi" w:hAnsiTheme="majorHAnsi"/>
                <w:sz w:val="20"/>
                <w:szCs w:val="20"/>
              </w:rPr>
              <w:t>He et al. 2012, dates updated in Lamont, He and Yan 2019a</w:t>
            </w:r>
          </w:p>
        </w:tc>
      </w:tr>
      <w:tr w:rsidR="00715EA7" w:rsidRPr="007A2C85" w14:paraId="1629CEBC" w14:textId="77777777" w:rsidTr="005B6A6B">
        <w:trPr>
          <w:trHeight w:val="274"/>
        </w:trPr>
        <w:tc>
          <w:tcPr>
            <w:tcW w:w="1277" w:type="dxa"/>
            <w:shd w:val="clear" w:color="auto" w:fill="F2F2F2" w:themeFill="background1" w:themeFillShade="F2"/>
          </w:tcPr>
          <w:p w14:paraId="2DB2D31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Proteaceae, Proteoideae</w:t>
            </w:r>
          </w:p>
        </w:tc>
        <w:tc>
          <w:tcPr>
            <w:tcW w:w="1701" w:type="dxa"/>
            <w:shd w:val="clear" w:color="auto" w:fill="F2F2F2" w:themeFill="background1" w:themeFillShade="F2"/>
          </w:tcPr>
          <w:p w14:paraId="405847E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seasonality, Cape, S Africa, SW Australia?</w:t>
            </w:r>
          </w:p>
        </w:tc>
        <w:tc>
          <w:tcPr>
            <w:tcW w:w="1276" w:type="dxa"/>
            <w:shd w:val="clear" w:color="auto" w:fill="F2F2F2" w:themeFill="background1" w:themeFillShade="F2"/>
          </w:tcPr>
          <w:p w14:paraId="15CB7E7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sclerophyll shrublands</w:t>
            </w:r>
          </w:p>
        </w:tc>
        <w:tc>
          <w:tcPr>
            <w:tcW w:w="1417" w:type="dxa"/>
            <w:shd w:val="clear" w:color="auto" w:fill="F2F2F2" w:themeFill="background1" w:themeFillShade="F2"/>
          </w:tcPr>
          <w:p w14:paraId="3ABFD71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Stored (whether soil or canopy unclear)</w:t>
            </w:r>
          </w:p>
        </w:tc>
        <w:tc>
          <w:tcPr>
            <w:tcW w:w="1985" w:type="dxa"/>
            <w:shd w:val="clear" w:color="auto" w:fill="F2F2F2" w:themeFill="background1" w:themeFillShade="F2"/>
          </w:tcPr>
          <w:p w14:paraId="6CAADC0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Frankandia</w:t>
            </w:r>
            <w:r w:rsidRPr="007A2C85">
              <w:rPr>
                <w:rFonts w:asciiTheme="majorHAnsi" w:hAnsiTheme="majorHAnsi"/>
                <w:sz w:val="20"/>
                <w:szCs w:val="20"/>
              </w:rPr>
              <w:t>/</w:t>
            </w:r>
            <w:r w:rsidRPr="007A2C85">
              <w:rPr>
                <w:rFonts w:asciiTheme="majorHAnsi" w:hAnsiTheme="majorHAnsi"/>
                <w:i/>
                <w:sz w:val="20"/>
                <w:szCs w:val="20"/>
              </w:rPr>
              <w:t>Isopogon</w:t>
            </w:r>
            <w:r w:rsidRPr="007A2C85">
              <w:rPr>
                <w:rFonts w:asciiTheme="majorHAnsi" w:hAnsiTheme="majorHAnsi"/>
                <w:sz w:val="20"/>
                <w:szCs w:val="20"/>
              </w:rPr>
              <w:t>/Adenanthinae separate from rest of Proteoideae</w:t>
            </w:r>
          </w:p>
        </w:tc>
        <w:tc>
          <w:tcPr>
            <w:tcW w:w="1842" w:type="dxa"/>
            <w:shd w:val="clear" w:color="auto" w:fill="F2F2F2" w:themeFill="background1" w:themeFillShade="F2"/>
          </w:tcPr>
          <w:p w14:paraId="71C8CAF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greater seasonality, possibly winter drier</w:t>
            </w:r>
          </w:p>
        </w:tc>
        <w:tc>
          <w:tcPr>
            <w:tcW w:w="1560" w:type="dxa"/>
            <w:shd w:val="clear" w:color="auto" w:fill="F2F2F2" w:themeFill="background1" w:themeFillShade="F2"/>
          </w:tcPr>
          <w:p w14:paraId="3F205E3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Fireprone shrubland, intensified fire? </w:t>
            </w:r>
          </w:p>
        </w:tc>
        <w:tc>
          <w:tcPr>
            <w:tcW w:w="1984" w:type="dxa"/>
            <w:shd w:val="clear" w:color="auto" w:fill="F2F2F2" w:themeFill="background1" w:themeFillShade="F2"/>
          </w:tcPr>
          <w:p w14:paraId="57CC66F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Soil-stored, </w:t>
            </w:r>
          </w:p>
          <w:p w14:paraId="5797B20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dormancy released by smoke</w:t>
            </w:r>
          </w:p>
        </w:tc>
        <w:tc>
          <w:tcPr>
            <w:tcW w:w="1276" w:type="dxa"/>
            <w:shd w:val="clear" w:color="auto" w:fill="F2F2F2" w:themeFill="background1" w:themeFillShade="F2"/>
          </w:tcPr>
          <w:p w14:paraId="71969B2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80</w:t>
            </w:r>
            <w:r w:rsidRPr="007A2C85">
              <w:rPr>
                <w:rFonts w:asciiTheme="majorHAnsi" w:hAnsiTheme="majorHAnsi"/>
                <w:sz w:val="20"/>
                <w:szCs w:val="20"/>
              </w:rPr>
              <w:sym w:font="Symbol" w:char="F02D"/>
            </w:r>
            <w:r w:rsidRPr="007A2C85">
              <w:rPr>
                <w:rFonts w:asciiTheme="majorHAnsi" w:hAnsiTheme="majorHAnsi"/>
                <w:sz w:val="20"/>
                <w:szCs w:val="20"/>
              </w:rPr>
              <w:t>71</w:t>
            </w:r>
          </w:p>
        </w:tc>
        <w:tc>
          <w:tcPr>
            <w:tcW w:w="1984" w:type="dxa"/>
            <w:shd w:val="clear" w:color="auto" w:fill="F2F2F2" w:themeFill="background1" w:themeFillShade="F2"/>
          </w:tcPr>
          <w:p w14:paraId="39CA04E0" w14:textId="77777777" w:rsidR="00715EA7" w:rsidRPr="007A2C85" w:rsidRDefault="00715EA7" w:rsidP="005B6A6B">
            <w:pPr>
              <w:ind w:left="-57" w:right="-57"/>
              <w:rPr>
                <w:rFonts w:asciiTheme="majorHAnsi" w:hAnsiTheme="majorHAnsi"/>
                <w:sz w:val="20"/>
                <w:szCs w:val="20"/>
              </w:rPr>
            </w:pPr>
            <w:r w:rsidRPr="007A2C85">
              <w:rPr>
                <w:rFonts w:asciiTheme="majorHAnsi" w:eastAsia="Times New Roman" w:hAnsiTheme="majorHAnsi"/>
                <w:sz w:val="20"/>
                <w:szCs w:val="20"/>
              </w:rPr>
              <w:t>Sauquet</w:t>
            </w:r>
            <w:r w:rsidRPr="007A2C85">
              <w:rPr>
                <w:rFonts w:asciiTheme="majorHAnsi" w:hAnsiTheme="majorHAnsi"/>
                <w:sz w:val="20"/>
                <w:szCs w:val="20"/>
              </w:rPr>
              <w:t xml:space="preserve"> et al. 2009, Lamont and He 2012</w:t>
            </w:r>
          </w:p>
        </w:tc>
      </w:tr>
      <w:tr w:rsidR="00715EA7" w:rsidRPr="007A2C85" w14:paraId="529A5ED4" w14:textId="77777777" w:rsidTr="005B6A6B">
        <w:trPr>
          <w:trHeight w:val="274"/>
        </w:trPr>
        <w:tc>
          <w:tcPr>
            <w:tcW w:w="1277" w:type="dxa"/>
            <w:shd w:val="clear" w:color="auto" w:fill="auto"/>
          </w:tcPr>
          <w:p w14:paraId="5CECAF1A"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Proteaceae, Proteoideae</w:t>
            </w:r>
          </w:p>
        </w:tc>
        <w:tc>
          <w:tcPr>
            <w:tcW w:w="1701" w:type="dxa"/>
            <w:shd w:val="clear" w:color="auto" w:fill="auto"/>
          </w:tcPr>
          <w:p w14:paraId="7F066A1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seasonality, Cape, S Africa, SW Australia?</w:t>
            </w:r>
          </w:p>
        </w:tc>
        <w:tc>
          <w:tcPr>
            <w:tcW w:w="1276" w:type="dxa"/>
            <w:shd w:val="clear" w:color="auto" w:fill="auto"/>
          </w:tcPr>
          <w:p w14:paraId="3421A31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sclerophyll shrublands</w:t>
            </w:r>
          </w:p>
        </w:tc>
        <w:tc>
          <w:tcPr>
            <w:tcW w:w="1417" w:type="dxa"/>
            <w:shd w:val="clear" w:color="auto" w:fill="auto"/>
          </w:tcPr>
          <w:p w14:paraId="0979966D" w14:textId="77777777" w:rsidR="00715EA7" w:rsidRPr="007A2C85" w:rsidRDefault="00715EA7" w:rsidP="005B6A6B">
            <w:pPr>
              <w:ind w:left="-57" w:right="-57"/>
              <w:rPr>
                <w:rFonts w:asciiTheme="majorHAnsi" w:eastAsia="Times New Roman" w:hAnsiTheme="majorHAnsi"/>
                <w:sz w:val="20"/>
                <w:szCs w:val="20"/>
              </w:rPr>
            </w:pPr>
            <w:r w:rsidRPr="007A2C85">
              <w:rPr>
                <w:rFonts w:asciiTheme="majorHAnsi" w:hAnsiTheme="majorHAnsi"/>
                <w:sz w:val="20"/>
                <w:szCs w:val="20"/>
              </w:rPr>
              <w:t>Stored (whether soil or canopy unclear)</w:t>
            </w:r>
          </w:p>
        </w:tc>
        <w:tc>
          <w:tcPr>
            <w:tcW w:w="1985" w:type="dxa"/>
            <w:shd w:val="clear" w:color="auto" w:fill="auto"/>
          </w:tcPr>
          <w:p w14:paraId="188C7F8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Petrophile</w:t>
            </w:r>
            <w:r w:rsidRPr="007A2C85">
              <w:rPr>
                <w:rFonts w:asciiTheme="majorHAnsi" w:hAnsiTheme="majorHAnsi"/>
                <w:sz w:val="20"/>
                <w:szCs w:val="20"/>
              </w:rPr>
              <w:t>/</w:t>
            </w:r>
            <w:r w:rsidRPr="007A2C85">
              <w:rPr>
                <w:rFonts w:asciiTheme="majorHAnsi" w:hAnsiTheme="majorHAnsi"/>
                <w:i/>
                <w:sz w:val="20"/>
                <w:szCs w:val="20"/>
              </w:rPr>
              <w:t xml:space="preserve">Aulax </w:t>
            </w:r>
            <w:r w:rsidRPr="007A2C85">
              <w:rPr>
                <w:rFonts w:asciiTheme="majorHAnsi" w:hAnsiTheme="majorHAnsi"/>
                <w:sz w:val="20"/>
                <w:szCs w:val="20"/>
              </w:rPr>
              <w:t>separate from rest of Proteoideae</w:t>
            </w:r>
          </w:p>
        </w:tc>
        <w:tc>
          <w:tcPr>
            <w:tcW w:w="1842" w:type="dxa"/>
          </w:tcPr>
          <w:p w14:paraId="610462A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greater seasonality, possibly winter drier</w:t>
            </w:r>
          </w:p>
        </w:tc>
        <w:tc>
          <w:tcPr>
            <w:tcW w:w="1560" w:type="dxa"/>
            <w:shd w:val="clear" w:color="auto" w:fill="auto"/>
          </w:tcPr>
          <w:p w14:paraId="0048DAD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Fireprone shrubland, intensified fire? </w:t>
            </w:r>
          </w:p>
        </w:tc>
        <w:tc>
          <w:tcPr>
            <w:tcW w:w="1984" w:type="dxa"/>
            <w:shd w:val="clear" w:color="auto" w:fill="auto"/>
          </w:tcPr>
          <w:p w14:paraId="0600127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Serotinous cones, </w:t>
            </w:r>
          </w:p>
          <w:p w14:paraId="4BD241F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fire-stimulated seed release </w:t>
            </w:r>
          </w:p>
        </w:tc>
        <w:tc>
          <w:tcPr>
            <w:tcW w:w="1276" w:type="dxa"/>
            <w:shd w:val="clear" w:color="auto" w:fill="auto"/>
          </w:tcPr>
          <w:p w14:paraId="5C389E6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71</w:t>
            </w:r>
            <w:r w:rsidRPr="007A2C85">
              <w:rPr>
                <w:rFonts w:asciiTheme="majorHAnsi" w:hAnsiTheme="majorHAnsi"/>
                <w:sz w:val="20"/>
                <w:szCs w:val="20"/>
              </w:rPr>
              <w:sym w:font="Symbol" w:char="F02D"/>
            </w:r>
            <w:r w:rsidRPr="007A2C85">
              <w:rPr>
                <w:rFonts w:asciiTheme="majorHAnsi" w:hAnsiTheme="majorHAnsi"/>
                <w:sz w:val="20"/>
                <w:szCs w:val="20"/>
              </w:rPr>
              <w:t>50</w:t>
            </w:r>
          </w:p>
        </w:tc>
        <w:tc>
          <w:tcPr>
            <w:tcW w:w="1984" w:type="dxa"/>
            <w:shd w:val="clear" w:color="auto" w:fill="auto"/>
          </w:tcPr>
          <w:p w14:paraId="032236BB" w14:textId="77777777" w:rsidR="00715EA7" w:rsidRPr="007A2C85" w:rsidRDefault="00715EA7" w:rsidP="005B6A6B">
            <w:pPr>
              <w:ind w:left="-57" w:right="-57"/>
              <w:rPr>
                <w:rFonts w:asciiTheme="majorHAnsi" w:eastAsia="Times New Roman" w:hAnsiTheme="majorHAnsi"/>
                <w:sz w:val="20"/>
                <w:szCs w:val="20"/>
              </w:rPr>
            </w:pPr>
            <w:r w:rsidRPr="007A2C85">
              <w:rPr>
                <w:rFonts w:asciiTheme="majorHAnsi" w:eastAsia="Times New Roman" w:hAnsiTheme="majorHAnsi"/>
                <w:sz w:val="20"/>
                <w:szCs w:val="20"/>
              </w:rPr>
              <w:t>Sauquet</w:t>
            </w:r>
            <w:r w:rsidRPr="007A2C85">
              <w:rPr>
                <w:rFonts w:asciiTheme="majorHAnsi" w:hAnsiTheme="majorHAnsi"/>
                <w:sz w:val="20"/>
                <w:szCs w:val="20"/>
              </w:rPr>
              <w:t xml:space="preserve"> et al. 2009, Lamont and He 2012</w:t>
            </w:r>
          </w:p>
        </w:tc>
      </w:tr>
      <w:tr w:rsidR="00715EA7" w:rsidRPr="007A2C85" w14:paraId="7F229973" w14:textId="77777777" w:rsidTr="005B6A6B">
        <w:tc>
          <w:tcPr>
            <w:tcW w:w="1277" w:type="dxa"/>
            <w:shd w:val="clear" w:color="auto" w:fill="F2F2F2" w:themeFill="background1" w:themeFillShade="F2"/>
          </w:tcPr>
          <w:p w14:paraId="0734BC0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lastRenderedPageBreak/>
              <w:t>Proteaceae, Adenanthinae</w:t>
            </w:r>
          </w:p>
        </w:tc>
        <w:tc>
          <w:tcPr>
            <w:tcW w:w="1701" w:type="dxa"/>
            <w:shd w:val="clear" w:color="auto" w:fill="F2F2F2" w:themeFill="background1" w:themeFillShade="F2"/>
          </w:tcPr>
          <w:p w14:paraId="0D1DBD7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seasonality, Cape, S Africa, SW Australia?</w:t>
            </w:r>
          </w:p>
        </w:tc>
        <w:tc>
          <w:tcPr>
            <w:tcW w:w="1276" w:type="dxa"/>
            <w:shd w:val="clear" w:color="auto" w:fill="F2F2F2" w:themeFill="background1" w:themeFillShade="F2"/>
          </w:tcPr>
          <w:p w14:paraId="48FB750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sclerophyll shrublands</w:t>
            </w:r>
          </w:p>
        </w:tc>
        <w:tc>
          <w:tcPr>
            <w:tcW w:w="1417" w:type="dxa"/>
            <w:shd w:val="clear" w:color="auto" w:fill="F2F2F2" w:themeFill="background1" w:themeFillShade="F2"/>
          </w:tcPr>
          <w:p w14:paraId="71C5306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Soil-stored, </w:t>
            </w:r>
          </w:p>
          <w:p w14:paraId="34DE0B3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dormancy released by smoke, nonarillate</w:t>
            </w:r>
          </w:p>
        </w:tc>
        <w:tc>
          <w:tcPr>
            <w:tcW w:w="1985" w:type="dxa"/>
            <w:shd w:val="clear" w:color="auto" w:fill="F2F2F2" w:themeFill="background1" w:themeFillShade="F2"/>
          </w:tcPr>
          <w:p w14:paraId="4560771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Adenanthinae separates from sisters </w:t>
            </w:r>
            <w:r w:rsidRPr="007A2C85">
              <w:rPr>
                <w:rFonts w:asciiTheme="majorHAnsi" w:hAnsiTheme="majorHAnsi"/>
                <w:i/>
                <w:sz w:val="20"/>
                <w:szCs w:val="20"/>
              </w:rPr>
              <w:t>Isopogon</w:t>
            </w:r>
            <w:r w:rsidRPr="007A2C85">
              <w:rPr>
                <w:rFonts w:asciiTheme="majorHAnsi" w:hAnsiTheme="majorHAnsi"/>
                <w:sz w:val="20"/>
                <w:szCs w:val="20"/>
              </w:rPr>
              <w:t>/</w:t>
            </w:r>
            <w:r w:rsidRPr="007A2C85">
              <w:rPr>
                <w:rFonts w:asciiTheme="majorHAnsi" w:hAnsiTheme="majorHAnsi"/>
                <w:i/>
                <w:sz w:val="20"/>
                <w:szCs w:val="20"/>
              </w:rPr>
              <w:t>Franklandia</w:t>
            </w:r>
          </w:p>
        </w:tc>
        <w:tc>
          <w:tcPr>
            <w:tcW w:w="1842" w:type="dxa"/>
            <w:shd w:val="clear" w:color="auto" w:fill="F2F2F2" w:themeFill="background1" w:themeFillShade="F2"/>
          </w:tcPr>
          <w:p w14:paraId="20C4DBB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increased seasonality, possibly winter drier</w:t>
            </w:r>
          </w:p>
        </w:tc>
        <w:tc>
          <w:tcPr>
            <w:tcW w:w="1560" w:type="dxa"/>
            <w:shd w:val="clear" w:color="auto" w:fill="F2F2F2" w:themeFill="background1" w:themeFillShade="F2"/>
          </w:tcPr>
          <w:p w14:paraId="3B2CA2D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Fireprone shrubland, intensified fire? </w:t>
            </w:r>
          </w:p>
        </w:tc>
        <w:tc>
          <w:tcPr>
            <w:tcW w:w="1984" w:type="dxa"/>
            <w:shd w:val="clear" w:color="auto" w:fill="F2F2F2" w:themeFill="background1" w:themeFillShade="F2"/>
          </w:tcPr>
          <w:p w14:paraId="3A70CD6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Soil-stored, arillate (ant-dispersed), smoke-released dormancy</w:t>
            </w:r>
          </w:p>
        </w:tc>
        <w:tc>
          <w:tcPr>
            <w:tcW w:w="1276" w:type="dxa"/>
            <w:shd w:val="clear" w:color="auto" w:fill="F2F2F2" w:themeFill="background1" w:themeFillShade="F2"/>
          </w:tcPr>
          <w:p w14:paraId="1484CF7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45</w:t>
            </w:r>
            <w:r w:rsidRPr="007A2C85">
              <w:rPr>
                <w:rFonts w:asciiTheme="majorHAnsi" w:hAnsiTheme="majorHAnsi"/>
                <w:sz w:val="20"/>
                <w:szCs w:val="20"/>
              </w:rPr>
              <w:sym w:font="Symbol" w:char="F02D"/>
            </w:r>
            <w:r w:rsidRPr="007A2C85">
              <w:rPr>
                <w:rFonts w:asciiTheme="majorHAnsi" w:hAnsiTheme="majorHAnsi"/>
                <w:sz w:val="20"/>
                <w:szCs w:val="20"/>
              </w:rPr>
              <w:t>36</w:t>
            </w:r>
          </w:p>
        </w:tc>
        <w:tc>
          <w:tcPr>
            <w:tcW w:w="1984" w:type="dxa"/>
            <w:shd w:val="clear" w:color="auto" w:fill="F2F2F2" w:themeFill="background1" w:themeFillShade="F2"/>
          </w:tcPr>
          <w:p w14:paraId="461718E3" w14:textId="77777777" w:rsidR="00715EA7" w:rsidRPr="007A2C85" w:rsidRDefault="00715EA7" w:rsidP="005B6A6B">
            <w:pPr>
              <w:ind w:left="-57" w:right="-57"/>
              <w:rPr>
                <w:rFonts w:asciiTheme="majorHAnsi" w:hAnsiTheme="majorHAnsi"/>
                <w:sz w:val="20"/>
                <w:szCs w:val="20"/>
              </w:rPr>
            </w:pPr>
            <w:r w:rsidRPr="007A2C85">
              <w:rPr>
                <w:rFonts w:asciiTheme="majorHAnsi" w:eastAsia="Times New Roman" w:hAnsiTheme="majorHAnsi"/>
                <w:sz w:val="20"/>
                <w:szCs w:val="20"/>
              </w:rPr>
              <w:t>Sauquet</w:t>
            </w:r>
            <w:r w:rsidRPr="007A2C85">
              <w:rPr>
                <w:rFonts w:asciiTheme="majorHAnsi" w:hAnsiTheme="majorHAnsi"/>
                <w:sz w:val="20"/>
                <w:szCs w:val="20"/>
              </w:rPr>
              <w:t xml:space="preserve"> et al. 2009, Lamont and He 2012</w:t>
            </w:r>
          </w:p>
        </w:tc>
      </w:tr>
      <w:tr w:rsidR="00715EA7" w:rsidRPr="007A2C85" w14:paraId="61AA9DF6" w14:textId="77777777" w:rsidTr="005B6A6B">
        <w:tc>
          <w:tcPr>
            <w:tcW w:w="1277" w:type="dxa"/>
            <w:shd w:val="clear" w:color="auto" w:fill="auto"/>
          </w:tcPr>
          <w:p w14:paraId="6D65BA9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Proteaceae, </w:t>
            </w:r>
            <w:r w:rsidRPr="007A2C85">
              <w:rPr>
                <w:rFonts w:asciiTheme="majorHAnsi" w:hAnsiTheme="majorHAnsi"/>
                <w:i/>
                <w:sz w:val="20"/>
                <w:szCs w:val="20"/>
              </w:rPr>
              <w:t>Hakea</w:t>
            </w:r>
          </w:p>
        </w:tc>
        <w:tc>
          <w:tcPr>
            <w:tcW w:w="1701" w:type="dxa"/>
            <w:shd w:val="clear" w:color="auto" w:fill="auto"/>
          </w:tcPr>
          <w:p w14:paraId="72B3858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uniform to winter-dry, SW Australia</w:t>
            </w:r>
          </w:p>
        </w:tc>
        <w:tc>
          <w:tcPr>
            <w:tcW w:w="1276" w:type="dxa"/>
            <w:shd w:val="clear" w:color="auto" w:fill="auto"/>
          </w:tcPr>
          <w:p w14:paraId="6C1643B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shrub/woodland</w:t>
            </w:r>
          </w:p>
        </w:tc>
        <w:tc>
          <w:tcPr>
            <w:tcW w:w="1417" w:type="dxa"/>
            <w:shd w:val="clear" w:color="auto" w:fill="auto"/>
          </w:tcPr>
          <w:p w14:paraId="2D309BD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Non-serotinous, seeds released at maturity, seeds semihard, winged in soft follicle (</w:t>
            </w:r>
            <w:r w:rsidRPr="007A2C85">
              <w:rPr>
                <w:rFonts w:asciiTheme="majorHAnsi" w:hAnsiTheme="majorHAnsi"/>
                <w:i/>
                <w:sz w:val="20"/>
                <w:szCs w:val="20"/>
              </w:rPr>
              <w:t>Grevillea</w:t>
            </w:r>
            <w:r w:rsidRPr="007A2C85">
              <w:rPr>
                <w:rFonts w:asciiTheme="majorHAnsi" w:hAnsiTheme="majorHAnsi"/>
                <w:sz w:val="20"/>
                <w:szCs w:val="20"/>
              </w:rPr>
              <w:t>-type)</w:t>
            </w:r>
          </w:p>
        </w:tc>
        <w:tc>
          <w:tcPr>
            <w:tcW w:w="1985" w:type="dxa"/>
            <w:shd w:val="clear" w:color="auto" w:fill="auto"/>
          </w:tcPr>
          <w:p w14:paraId="3CD6A71F"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i/>
                <w:sz w:val="20"/>
                <w:szCs w:val="20"/>
              </w:rPr>
              <w:t>Hakea</w:t>
            </w:r>
            <w:r w:rsidRPr="007A2C85">
              <w:rPr>
                <w:rFonts w:asciiTheme="majorHAnsi" w:hAnsiTheme="majorHAnsi"/>
                <w:sz w:val="20"/>
                <w:szCs w:val="20"/>
              </w:rPr>
              <w:t xml:space="preserve"> separates from </w:t>
            </w:r>
            <w:r w:rsidRPr="007A2C85">
              <w:rPr>
                <w:rFonts w:asciiTheme="majorHAnsi" w:hAnsiTheme="majorHAnsi"/>
                <w:i/>
                <w:sz w:val="20"/>
                <w:szCs w:val="20"/>
              </w:rPr>
              <w:t>Grevillea</w:t>
            </w:r>
          </w:p>
        </w:tc>
        <w:tc>
          <w:tcPr>
            <w:tcW w:w="1842" w:type="dxa"/>
          </w:tcPr>
          <w:p w14:paraId="11D6365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increasingly seasonal, probably winter wet (mediterr-anean climate)</w:t>
            </w:r>
          </w:p>
        </w:tc>
        <w:tc>
          <w:tcPr>
            <w:tcW w:w="1560" w:type="dxa"/>
            <w:shd w:val="clear" w:color="auto" w:fill="auto"/>
          </w:tcPr>
          <w:p w14:paraId="61EE840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Highly fireprone sclerophyll shrublands/</w:t>
            </w:r>
          </w:p>
          <w:p w14:paraId="164C397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woodlands/forest</w:t>
            </w:r>
          </w:p>
        </w:tc>
        <w:tc>
          <w:tcPr>
            <w:tcW w:w="1984" w:type="dxa"/>
            <w:shd w:val="clear" w:color="auto" w:fill="auto"/>
          </w:tcPr>
          <w:p w14:paraId="05456F2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Seeds soft, winged, serotinous – enforced dormancy in woody follicle, fire-stimulated seed release</w:t>
            </w:r>
          </w:p>
        </w:tc>
        <w:tc>
          <w:tcPr>
            <w:tcW w:w="1276" w:type="dxa"/>
            <w:shd w:val="clear" w:color="auto" w:fill="auto"/>
          </w:tcPr>
          <w:p w14:paraId="53C6451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23</w:t>
            </w:r>
            <w:r w:rsidRPr="007A2C85">
              <w:rPr>
                <w:rFonts w:asciiTheme="majorHAnsi" w:hAnsiTheme="majorHAnsi"/>
                <w:sz w:val="20"/>
                <w:szCs w:val="20"/>
              </w:rPr>
              <w:sym w:font="Symbol" w:char="F02D"/>
            </w:r>
            <w:r w:rsidRPr="007A2C85">
              <w:rPr>
                <w:rFonts w:asciiTheme="majorHAnsi" w:hAnsiTheme="majorHAnsi"/>
                <w:sz w:val="20"/>
                <w:szCs w:val="20"/>
              </w:rPr>
              <w:t>18</w:t>
            </w:r>
          </w:p>
        </w:tc>
        <w:tc>
          <w:tcPr>
            <w:tcW w:w="1984" w:type="dxa"/>
            <w:shd w:val="clear" w:color="auto" w:fill="auto"/>
          </w:tcPr>
          <w:p w14:paraId="7854A0D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Lamont et al. 2016, 2017, backdated according to Austin Mast (pers. comm.)</w:t>
            </w:r>
          </w:p>
        </w:tc>
      </w:tr>
      <w:tr w:rsidR="00715EA7" w:rsidRPr="007A2C85" w14:paraId="78BB15E6" w14:textId="77777777" w:rsidTr="005B6A6B">
        <w:tc>
          <w:tcPr>
            <w:tcW w:w="1277" w:type="dxa"/>
            <w:shd w:val="clear" w:color="auto" w:fill="F2F2F2" w:themeFill="background1" w:themeFillShade="F2"/>
          </w:tcPr>
          <w:p w14:paraId="697AC20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Proteaceae, </w:t>
            </w:r>
            <w:r w:rsidRPr="007A2C85">
              <w:rPr>
                <w:rFonts w:asciiTheme="majorHAnsi" w:hAnsiTheme="majorHAnsi"/>
                <w:i/>
                <w:sz w:val="20"/>
                <w:szCs w:val="20"/>
              </w:rPr>
              <w:t>Leucadendron</w:t>
            </w:r>
          </w:p>
        </w:tc>
        <w:tc>
          <w:tcPr>
            <w:tcW w:w="1701" w:type="dxa"/>
            <w:shd w:val="clear" w:color="auto" w:fill="F2F2F2" w:themeFill="background1" w:themeFillShade="F2"/>
          </w:tcPr>
          <w:p w14:paraId="25717FD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seasonality, Cape, S Africa</w:t>
            </w:r>
          </w:p>
        </w:tc>
        <w:tc>
          <w:tcPr>
            <w:tcW w:w="1276" w:type="dxa"/>
            <w:shd w:val="clear" w:color="auto" w:fill="F2F2F2" w:themeFill="background1" w:themeFillShade="F2"/>
          </w:tcPr>
          <w:p w14:paraId="0E4184D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shrublands</w:t>
            </w:r>
          </w:p>
        </w:tc>
        <w:tc>
          <w:tcPr>
            <w:tcW w:w="1417" w:type="dxa"/>
            <w:shd w:val="clear" w:color="auto" w:fill="F2F2F2" w:themeFill="background1" w:themeFillShade="F2"/>
          </w:tcPr>
          <w:p w14:paraId="0292E981" w14:textId="77777777" w:rsidR="00715EA7" w:rsidRPr="007A2C85" w:rsidRDefault="00715EA7" w:rsidP="005B6A6B">
            <w:pPr>
              <w:ind w:left="-57" w:right="-57"/>
              <w:rPr>
                <w:rFonts w:asciiTheme="majorHAnsi" w:eastAsia="Times New Roman" w:hAnsiTheme="majorHAnsi"/>
                <w:sz w:val="20"/>
                <w:szCs w:val="20"/>
              </w:rPr>
            </w:pPr>
            <w:r w:rsidRPr="007A2C85">
              <w:rPr>
                <w:rFonts w:asciiTheme="majorHAnsi" w:hAnsiTheme="majorHAnsi"/>
                <w:sz w:val="20"/>
                <w:szCs w:val="20"/>
              </w:rPr>
              <w:t>Seeds (fruits) released at maturity</w:t>
            </w:r>
          </w:p>
        </w:tc>
        <w:tc>
          <w:tcPr>
            <w:tcW w:w="1985" w:type="dxa"/>
            <w:shd w:val="clear" w:color="auto" w:fill="F2F2F2" w:themeFill="background1" w:themeFillShade="F2"/>
          </w:tcPr>
          <w:p w14:paraId="5914BDD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Leucadendron</w:t>
            </w:r>
            <w:r w:rsidRPr="007A2C85">
              <w:rPr>
                <w:rFonts w:asciiTheme="majorHAnsi" w:hAnsiTheme="majorHAnsi"/>
                <w:sz w:val="20"/>
                <w:szCs w:val="20"/>
              </w:rPr>
              <w:t xml:space="preserve"> separates from sisters</w:t>
            </w:r>
          </w:p>
        </w:tc>
        <w:tc>
          <w:tcPr>
            <w:tcW w:w="1842" w:type="dxa"/>
            <w:shd w:val="clear" w:color="auto" w:fill="F2F2F2" w:themeFill="background1" w:themeFillShade="F2"/>
          </w:tcPr>
          <w:p w14:paraId="0BC317D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greater seasonality, winter wet?</w:t>
            </w:r>
          </w:p>
        </w:tc>
        <w:tc>
          <w:tcPr>
            <w:tcW w:w="1560" w:type="dxa"/>
            <w:shd w:val="clear" w:color="auto" w:fill="F2F2F2" w:themeFill="background1" w:themeFillShade="F2"/>
          </w:tcPr>
          <w:p w14:paraId="5675F82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Fireprone shrubland, more frequent/regular fire? </w:t>
            </w:r>
          </w:p>
        </w:tc>
        <w:tc>
          <w:tcPr>
            <w:tcW w:w="1984" w:type="dxa"/>
            <w:shd w:val="clear" w:color="auto" w:fill="F2F2F2" w:themeFill="background1" w:themeFillShade="F2"/>
          </w:tcPr>
          <w:p w14:paraId="06BCFB3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Seed soft, winged (later wingless, rounded) held in serotinous cones</w:t>
            </w:r>
          </w:p>
        </w:tc>
        <w:tc>
          <w:tcPr>
            <w:tcW w:w="1276" w:type="dxa"/>
            <w:shd w:val="clear" w:color="auto" w:fill="F2F2F2" w:themeFill="background1" w:themeFillShade="F2"/>
          </w:tcPr>
          <w:p w14:paraId="1AFDE55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28</w:t>
            </w:r>
            <w:r w:rsidRPr="007A2C85">
              <w:rPr>
                <w:rFonts w:asciiTheme="majorHAnsi" w:hAnsiTheme="majorHAnsi"/>
                <w:sz w:val="20"/>
                <w:szCs w:val="20"/>
              </w:rPr>
              <w:sym w:font="Symbol" w:char="F02D"/>
            </w:r>
            <w:r w:rsidRPr="007A2C85">
              <w:rPr>
                <w:rFonts w:asciiTheme="majorHAnsi" w:hAnsiTheme="majorHAnsi"/>
                <w:sz w:val="20"/>
                <w:szCs w:val="20"/>
              </w:rPr>
              <w:t>18</w:t>
            </w:r>
          </w:p>
        </w:tc>
        <w:tc>
          <w:tcPr>
            <w:tcW w:w="1984" w:type="dxa"/>
            <w:shd w:val="clear" w:color="auto" w:fill="F2F2F2" w:themeFill="background1" w:themeFillShade="F2"/>
          </w:tcPr>
          <w:p w14:paraId="1954003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He and Lamont 2012, Tonnabel et al. 2014,</w:t>
            </w:r>
          </w:p>
          <w:p w14:paraId="46990E0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Newton et al 2021</w:t>
            </w:r>
          </w:p>
        </w:tc>
      </w:tr>
      <w:tr w:rsidR="00715EA7" w:rsidRPr="007A2C85" w14:paraId="2030F8A0" w14:textId="77777777" w:rsidTr="005B6A6B">
        <w:tc>
          <w:tcPr>
            <w:tcW w:w="1277" w:type="dxa"/>
            <w:shd w:val="clear" w:color="auto" w:fill="auto"/>
          </w:tcPr>
          <w:p w14:paraId="3C441B15"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 xml:space="preserve">Proteaceae, </w:t>
            </w:r>
            <w:r w:rsidRPr="007A2C85">
              <w:rPr>
                <w:rFonts w:asciiTheme="majorHAnsi" w:hAnsiTheme="majorHAnsi"/>
                <w:i/>
                <w:sz w:val="20"/>
                <w:szCs w:val="20"/>
              </w:rPr>
              <w:t>Leucadendron</w:t>
            </w:r>
          </w:p>
        </w:tc>
        <w:tc>
          <w:tcPr>
            <w:tcW w:w="1701" w:type="dxa"/>
            <w:shd w:val="clear" w:color="auto" w:fill="auto"/>
          </w:tcPr>
          <w:p w14:paraId="1BCFB84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winter-wet, Cape, S Africa</w:t>
            </w:r>
          </w:p>
        </w:tc>
        <w:tc>
          <w:tcPr>
            <w:tcW w:w="1276" w:type="dxa"/>
            <w:shd w:val="clear" w:color="auto" w:fill="auto"/>
          </w:tcPr>
          <w:p w14:paraId="0ADDC98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shrublands</w:t>
            </w:r>
          </w:p>
        </w:tc>
        <w:tc>
          <w:tcPr>
            <w:tcW w:w="1417" w:type="dxa"/>
            <w:shd w:val="clear" w:color="auto" w:fill="auto"/>
          </w:tcPr>
          <w:p w14:paraId="7989D17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Serotinous, nonarillate, enforced dormancy </w:t>
            </w:r>
          </w:p>
        </w:tc>
        <w:tc>
          <w:tcPr>
            <w:tcW w:w="1985" w:type="dxa"/>
            <w:shd w:val="clear" w:color="auto" w:fill="auto"/>
          </w:tcPr>
          <w:p w14:paraId="373547E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Advanced </w:t>
            </w:r>
            <w:r w:rsidRPr="007A2C85">
              <w:rPr>
                <w:rFonts w:asciiTheme="majorHAnsi" w:hAnsiTheme="majorHAnsi"/>
                <w:i/>
                <w:sz w:val="20"/>
                <w:szCs w:val="20"/>
              </w:rPr>
              <w:t>Leuca-dendron</w:t>
            </w:r>
            <w:r w:rsidRPr="007A2C85">
              <w:rPr>
                <w:rFonts w:asciiTheme="majorHAnsi" w:hAnsiTheme="majorHAnsi"/>
                <w:sz w:val="20"/>
                <w:szCs w:val="20"/>
              </w:rPr>
              <w:t>, clades D and F of Tonnabel et al. 2014</w:t>
            </w:r>
          </w:p>
        </w:tc>
        <w:tc>
          <w:tcPr>
            <w:tcW w:w="1842" w:type="dxa"/>
          </w:tcPr>
          <w:p w14:paraId="12152172"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Moderate rainfall, strong seasonality, winter wet</w:t>
            </w:r>
          </w:p>
        </w:tc>
        <w:tc>
          <w:tcPr>
            <w:tcW w:w="1560" w:type="dxa"/>
            <w:shd w:val="clear" w:color="auto" w:fill="auto"/>
          </w:tcPr>
          <w:p w14:paraId="4FB0DDC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Fire-prone shrubland, intensified fire? </w:t>
            </w:r>
          </w:p>
        </w:tc>
        <w:tc>
          <w:tcPr>
            <w:tcW w:w="1984" w:type="dxa"/>
            <w:shd w:val="clear" w:color="auto" w:fill="auto"/>
          </w:tcPr>
          <w:p w14:paraId="4F39843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Soil-stored, arillate (ant-dispersed), smoke-released dormancy </w:t>
            </w:r>
          </w:p>
        </w:tc>
        <w:tc>
          <w:tcPr>
            <w:tcW w:w="1276" w:type="dxa"/>
            <w:shd w:val="clear" w:color="auto" w:fill="auto"/>
          </w:tcPr>
          <w:p w14:paraId="6C93340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4.9</w:t>
            </w:r>
            <w:r w:rsidRPr="007A2C85">
              <w:rPr>
                <w:rFonts w:asciiTheme="majorHAnsi" w:hAnsiTheme="majorHAnsi"/>
                <w:sz w:val="20"/>
                <w:szCs w:val="20"/>
              </w:rPr>
              <w:sym w:font="Symbol" w:char="F02D"/>
            </w:r>
            <w:r w:rsidRPr="007A2C85">
              <w:rPr>
                <w:rFonts w:asciiTheme="majorHAnsi" w:hAnsiTheme="majorHAnsi"/>
                <w:sz w:val="20"/>
                <w:szCs w:val="20"/>
              </w:rPr>
              <w:t>0.35</w:t>
            </w:r>
          </w:p>
        </w:tc>
        <w:tc>
          <w:tcPr>
            <w:tcW w:w="1984" w:type="dxa"/>
            <w:shd w:val="clear" w:color="auto" w:fill="auto"/>
          </w:tcPr>
          <w:p w14:paraId="663F29B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He and Lamont 2012, Tonnabel et al. 2014</w:t>
            </w:r>
          </w:p>
        </w:tc>
      </w:tr>
      <w:tr w:rsidR="00715EA7" w:rsidRPr="007A2C85" w14:paraId="272FE98D" w14:textId="77777777" w:rsidTr="005B6A6B">
        <w:tc>
          <w:tcPr>
            <w:tcW w:w="1277" w:type="dxa"/>
            <w:shd w:val="clear" w:color="auto" w:fill="F2F2F2" w:themeFill="background1" w:themeFillShade="F2"/>
          </w:tcPr>
          <w:p w14:paraId="11BED81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Restionaceae</w:t>
            </w:r>
          </w:p>
        </w:tc>
        <w:tc>
          <w:tcPr>
            <w:tcW w:w="1701" w:type="dxa"/>
            <w:shd w:val="clear" w:color="auto" w:fill="F2F2F2" w:themeFill="background1" w:themeFillShade="F2"/>
          </w:tcPr>
          <w:p w14:paraId="617576A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winter-wet, Cape, S Africa</w:t>
            </w:r>
          </w:p>
        </w:tc>
        <w:tc>
          <w:tcPr>
            <w:tcW w:w="1276" w:type="dxa"/>
            <w:shd w:val="clear" w:color="auto" w:fill="F2F2F2" w:themeFill="background1" w:themeFillShade="F2"/>
          </w:tcPr>
          <w:p w14:paraId="72568FC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shrubland, winter wetland</w:t>
            </w:r>
          </w:p>
        </w:tc>
        <w:tc>
          <w:tcPr>
            <w:tcW w:w="1417" w:type="dxa"/>
            <w:shd w:val="clear" w:color="auto" w:fill="F2F2F2" w:themeFill="background1" w:themeFillShade="F2"/>
          </w:tcPr>
          <w:p w14:paraId="7DD6C9B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Soil-stored, nonarillate, smoke-released dormancy</w:t>
            </w:r>
          </w:p>
        </w:tc>
        <w:tc>
          <w:tcPr>
            <w:tcW w:w="1985" w:type="dxa"/>
            <w:shd w:val="clear" w:color="auto" w:fill="F2F2F2" w:themeFill="background1" w:themeFillShade="F2"/>
          </w:tcPr>
          <w:p w14:paraId="340463A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Terminal genera, </w:t>
            </w:r>
            <w:r w:rsidRPr="007A2C85">
              <w:rPr>
                <w:rFonts w:asciiTheme="majorHAnsi" w:hAnsiTheme="majorHAnsi"/>
                <w:i/>
                <w:sz w:val="20"/>
                <w:szCs w:val="20"/>
              </w:rPr>
              <w:t xml:space="preserve">Ceratocaryum </w:t>
            </w:r>
            <w:r w:rsidRPr="007A2C85">
              <w:rPr>
                <w:rFonts w:asciiTheme="majorHAnsi" w:hAnsiTheme="majorHAnsi"/>
                <w:sz w:val="20"/>
                <w:szCs w:val="20"/>
              </w:rPr>
              <w:t>to</w:t>
            </w:r>
            <w:r w:rsidRPr="007A2C85">
              <w:rPr>
                <w:rFonts w:asciiTheme="majorHAnsi" w:hAnsiTheme="majorHAnsi"/>
                <w:i/>
                <w:sz w:val="20"/>
                <w:szCs w:val="20"/>
              </w:rPr>
              <w:t xml:space="preserve"> Mastersiella</w:t>
            </w:r>
            <w:r w:rsidRPr="007A2C85">
              <w:rPr>
                <w:rFonts w:asciiTheme="majorHAnsi" w:hAnsiTheme="majorHAnsi"/>
                <w:sz w:val="20"/>
                <w:szCs w:val="20"/>
              </w:rPr>
              <w:t xml:space="preserve">, in </w:t>
            </w:r>
            <w:r w:rsidRPr="007A2C85">
              <w:rPr>
                <w:rFonts w:asciiTheme="majorHAnsi" w:hAnsiTheme="majorHAnsi"/>
                <w:i/>
                <w:sz w:val="20"/>
                <w:szCs w:val="20"/>
              </w:rPr>
              <w:t>Wllldenowia</w:t>
            </w:r>
            <w:r w:rsidRPr="007A2C85">
              <w:rPr>
                <w:rFonts w:asciiTheme="majorHAnsi" w:hAnsiTheme="majorHAnsi"/>
                <w:sz w:val="20"/>
                <w:szCs w:val="20"/>
              </w:rPr>
              <w:t xml:space="preserve"> clade</w:t>
            </w:r>
          </w:p>
        </w:tc>
        <w:tc>
          <w:tcPr>
            <w:tcW w:w="1842" w:type="dxa"/>
            <w:shd w:val="clear" w:color="auto" w:fill="F2F2F2" w:themeFill="background1" w:themeFillShade="F2"/>
          </w:tcPr>
          <w:p w14:paraId="276F6A6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strong seasonality, winter wet</w:t>
            </w:r>
          </w:p>
        </w:tc>
        <w:tc>
          <w:tcPr>
            <w:tcW w:w="1560" w:type="dxa"/>
            <w:shd w:val="clear" w:color="auto" w:fill="F2F2F2" w:themeFill="background1" w:themeFillShade="F2"/>
          </w:tcPr>
          <w:p w14:paraId="7852243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Fire-prone shrubland, winter wetland, intensified fire? </w:t>
            </w:r>
          </w:p>
        </w:tc>
        <w:tc>
          <w:tcPr>
            <w:tcW w:w="1984" w:type="dxa"/>
            <w:shd w:val="clear" w:color="auto" w:fill="F2F2F2" w:themeFill="background1" w:themeFillShade="F2"/>
          </w:tcPr>
          <w:p w14:paraId="02437B2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Soil-stored, arillate (ant-dispersed), smoke-released dormancy</w:t>
            </w:r>
          </w:p>
        </w:tc>
        <w:tc>
          <w:tcPr>
            <w:tcW w:w="1276" w:type="dxa"/>
            <w:shd w:val="clear" w:color="auto" w:fill="F2F2F2" w:themeFill="background1" w:themeFillShade="F2"/>
          </w:tcPr>
          <w:p w14:paraId="71D7D9F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18</w:t>
            </w:r>
            <w:r w:rsidRPr="007A2C85">
              <w:rPr>
                <w:rFonts w:asciiTheme="majorHAnsi" w:hAnsiTheme="majorHAnsi"/>
                <w:sz w:val="20"/>
                <w:szCs w:val="20"/>
              </w:rPr>
              <w:sym w:font="Symbol" w:char="F02D"/>
            </w:r>
            <w:r w:rsidRPr="007A2C85">
              <w:rPr>
                <w:rFonts w:asciiTheme="majorHAnsi" w:hAnsiTheme="majorHAnsi"/>
                <w:sz w:val="20"/>
                <w:szCs w:val="20"/>
              </w:rPr>
              <w:t>6</w:t>
            </w:r>
          </w:p>
        </w:tc>
        <w:tc>
          <w:tcPr>
            <w:tcW w:w="1984" w:type="dxa"/>
            <w:shd w:val="clear" w:color="auto" w:fill="F2F2F2" w:themeFill="background1" w:themeFillShade="F2"/>
          </w:tcPr>
          <w:p w14:paraId="00D2847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Linder 1991, Brown et al. 1994, He, Lamont and Manning 2016</w:t>
            </w:r>
          </w:p>
        </w:tc>
      </w:tr>
      <w:tr w:rsidR="00715EA7" w:rsidRPr="007A2C85" w14:paraId="45F0FE25" w14:textId="77777777" w:rsidTr="005B6A6B">
        <w:tc>
          <w:tcPr>
            <w:tcW w:w="1277" w:type="dxa"/>
            <w:shd w:val="clear" w:color="auto" w:fill="auto"/>
          </w:tcPr>
          <w:p w14:paraId="741F7B6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Chloridoideae, Poaceae</w:t>
            </w:r>
          </w:p>
        </w:tc>
        <w:tc>
          <w:tcPr>
            <w:tcW w:w="1701" w:type="dxa"/>
            <w:shd w:val="clear" w:color="auto" w:fill="auto"/>
          </w:tcPr>
          <w:p w14:paraId="76CEC23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seasonality, (sub)tropical regions throughout the world)</w:t>
            </w:r>
          </w:p>
        </w:tc>
        <w:tc>
          <w:tcPr>
            <w:tcW w:w="1276" w:type="dxa"/>
            <w:shd w:val="clear" w:color="auto" w:fill="auto"/>
          </w:tcPr>
          <w:p w14:paraId="74FE012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fireprone C3 (often annual) grasslands </w:t>
            </w:r>
          </w:p>
        </w:tc>
        <w:tc>
          <w:tcPr>
            <w:tcW w:w="1417" w:type="dxa"/>
            <w:shd w:val="clear" w:color="auto" w:fill="auto"/>
          </w:tcPr>
          <w:p w14:paraId="4F7F76D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Dormant, water-permeable lacking smoke-sensitivity to breaking dormancy (e.g., </w:t>
            </w:r>
            <w:r w:rsidRPr="007A2C85">
              <w:rPr>
                <w:rFonts w:asciiTheme="majorHAnsi" w:hAnsiTheme="majorHAnsi"/>
                <w:i/>
                <w:sz w:val="20"/>
                <w:szCs w:val="20"/>
              </w:rPr>
              <w:t>Danthonia</w:t>
            </w:r>
            <w:r w:rsidRPr="007A2C85">
              <w:rPr>
                <w:rFonts w:asciiTheme="majorHAnsi" w:hAnsiTheme="majorHAnsi"/>
                <w:sz w:val="20"/>
                <w:szCs w:val="20"/>
              </w:rPr>
              <w:t>)</w:t>
            </w:r>
          </w:p>
        </w:tc>
        <w:tc>
          <w:tcPr>
            <w:tcW w:w="1985" w:type="dxa"/>
            <w:shd w:val="clear" w:color="auto" w:fill="auto"/>
          </w:tcPr>
          <w:p w14:paraId="67FF9E3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Core C4 clade (includes Chloridoideae) arises from C3 ancestor, and/or possibly when </w:t>
            </w:r>
            <w:r w:rsidRPr="007A2C85">
              <w:rPr>
                <w:rFonts w:asciiTheme="majorHAnsi" w:hAnsiTheme="majorHAnsi"/>
                <w:i/>
                <w:sz w:val="20"/>
                <w:szCs w:val="20"/>
              </w:rPr>
              <w:t>Eriachne</w:t>
            </w:r>
            <w:r w:rsidRPr="007A2C85">
              <w:rPr>
                <w:rFonts w:asciiTheme="majorHAnsi" w:hAnsiTheme="majorHAnsi"/>
                <w:sz w:val="20"/>
                <w:szCs w:val="20"/>
              </w:rPr>
              <w:t xml:space="preserve"> separated from Micrairoideae </w:t>
            </w:r>
          </w:p>
        </w:tc>
        <w:tc>
          <w:tcPr>
            <w:tcW w:w="1842" w:type="dxa"/>
          </w:tcPr>
          <w:p w14:paraId="5465FBC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Onset of summer-wet, savanna-type climates </w:t>
            </w:r>
          </w:p>
        </w:tc>
        <w:tc>
          <w:tcPr>
            <w:tcW w:w="1560" w:type="dxa"/>
            <w:shd w:val="clear" w:color="auto" w:fill="auto"/>
          </w:tcPr>
          <w:p w14:paraId="6778B99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C4 grasslands (usually perennial) with frequent fire</w:t>
            </w:r>
          </w:p>
        </w:tc>
        <w:tc>
          <w:tcPr>
            <w:tcW w:w="1984" w:type="dxa"/>
            <w:shd w:val="clear" w:color="auto" w:fill="auto"/>
          </w:tcPr>
          <w:p w14:paraId="1D73B2F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Dormant, with gain of smoke sensitivity for breaking dormancy</w:t>
            </w:r>
          </w:p>
        </w:tc>
        <w:tc>
          <w:tcPr>
            <w:tcW w:w="1276" w:type="dxa"/>
            <w:shd w:val="clear" w:color="auto" w:fill="auto"/>
          </w:tcPr>
          <w:p w14:paraId="7AA5658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32</w:t>
            </w:r>
            <w:r w:rsidRPr="007A2C85">
              <w:rPr>
                <w:rFonts w:asciiTheme="majorHAnsi" w:hAnsiTheme="majorHAnsi"/>
                <w:sz w:val="20"/>
                <w:szCs w:val="20"/>
              </w:rPr>
              <w:sym w:font="Symbol" w:char="F02D"/>
            </w:r>
            <w:r w:rsidRPr="007A2C85">
              <w:rPr>
                <w:rFonts w:asciiTheme="majorHAnsi" w:hAnsiTheme="majorHAnsi"/>
                <w:sz w:val="20"/>
                <w:szCs w:val="20"/>
              </w:rPr>
              <w:t xml:space="preserve">25 (includes </w:t>
            </w:r>
            <w:r w:rsidRPr="007A2C85">
              <w:rPr>
                <w:rFonts w:asciiTheme="majorHAnsi" w:hAnsiTheme="majorHAnsi"/>
                <w:i/>
                <w:sz w:val="20"/>
                <w:szCs w:val="20"/>
              </w:rPr>
              <w:t>Eragrostis</w:t>
            </w:r>
            <w:r w:rsidRPr="007A2C85">
              <w:rPr>
                <w:rFonts w:asciiTheme="majorHAnsi" w:hAnsiTheme="majorHAnsi"/>
                <w:sz w:val="20"/>
                <w:szCs w:val="20"/>
              </w:rPr>
              <w:t xml:space="preserve">, </w:t>
            </w:r>
            <w:r w:rsidRPr="007A2C85">
              <w:rPr>
                <w:rFonts w:asciiTheme="majorHAnsi" w:hAnsiTheme="majorHAnsi"/>
                <w:i/>
                <w:sz w:val="20"/>
                <w:szCs w:val="20"/>
              </w:rPr>
              <w:t>Sporobolus</w:t>
            </w:r>
            <w:r w:rsidRPr="007A2C85">
              <w:rPr>
                <w:rFonts w:asciiTheme="majorHAnsi" w:hAnsiTheme="majorHAnsi"/>
                <w:sz w:val="20"/>
                <w:szCs w:val="20"/>
              </w:rPr>
              <w:t>,</w:t>
            </w:r>
            <w:r w:rsidRPr="007A2C85">
              <w:rPr>
                <w:rFonts w:asciiTheme="majorHAnsi" w:hAnsiTheme="majorHAnsi"/>
                <w:i/>
                <w:sz w:val="20"/>
                <w:szCs w:val="20"/>
              </w:rPr>
              <w:t xml:space="preserve"> </w:t>
            </w:r>
            <w:r w:rsidRPr="007A2C85">
              <w:rPr>
                <w:rFonts w:asciiTheme="majorHAnsi" w:hAnsiTheme="majorHAnsi"/>
                <w:sz w:val="20"/>
                <w:szCs w:val="20"/>
              </w:rPr>
              <w:t>no ancestral trait assignment made so most likely dates and relations unclear</w:t>
            </w:r>
          </w:p>
        </w:tc>
        <w:tc>
          <w:tcPr>
            <w:tcW w:w="1984" w:type="dxa"/>
            <w:shd w:val="clear" w:color="auto" w:fill="auto"/>
          </w:tcPr>
          <w:p w14:paraId="3635B86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Edwards et al. 2010, Morrone et al. 2012, Pausas &amp; Lamont 2022b</w:t>
            </w:r>
          </w:p>
        </w:tc>
      </w:tr>
      <w:tr w:rsidR="00715EA7" w:rsidRPr="007A2C85" w14:paraId="13D78023" w14:textId="77777777" w:rsidTr="005B6A6B">
        <w:tc>
          <w:tcPr>
            <w:tcW w:w="1277" w:type="dxa"/>
            <w:shd w:val="clear" w:color="auto" w:fill="F2F2F2" w:themeFill="background1" w:themeFillShade="F2"/>
          </w:tcPr>
          <w:p w14:paraId="4952B56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Triodia</w:t>
            </w:r>
            <w:r w:rsidRPr="007A2C85">
              <w:rPr>
                <w:rFonts w:asciiTheme="majorHAnsi" w:hAnsiTheme="majorHAnsi"/>
                <w:sz w:val="20"/>
                <w:szCs w:val="20"/>
              </w:rPr>
              <w:t>, Poaceae</w:t>
            </w:r>
          </w:p>
          <w:p w14:paraId="0505C95F" w14:textId="77777777" w:rsidR="00715EA7" w:rsidRPr="007A2C85" w:rsidRDefault="00715EA7" w:rsidP="005B6A6B">
            <w:pPr>
              <w:ind w:left="-57" w:right="-57"/>
              <w:rPr>
                <w:rFonts w:asciiTheme="majorHAnsi" w:hAnsiTheme="majorHAnsi"/>
                <w:sz w:val="20"/>
                <w:szCs w:val="20"/>
              </w:rPr>
            </w:pPr>
          </w:p>
        </w:tc>
        <w:tc>
          <w:tcPr>
            <w:tcW w:w="1701" w:type="dxa"/>
            <w:shd w:val="clear" w:color="auto" w:fill="F2F2F2" w:themeFill="background1" w:themeFillShade="F2"/>
          </w:tcPr>
          <w:p w14:paraId="4A0B07A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Frequently burnt savanna, summer wet, central Australia</w:t>
            </w:r>
          </w:p>
        </w:tc>
        <w:tc>
          <w:tcPr>
            <w:tcW w:w="1276" w:type="dxa"/>
            <w:shd w:val="clear" w:color="auto" w:fill="F2F2F2" w:themeFill="background1" w:themeFillShade="F2"/>
          </w:tcPr>
          <w:p w14:paraId="24311F6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C4 grassland, savanna </w:t>
            </w:r>
          </w:p>
        </w:tc>
        <w:tc>
          <w:tcPr>
            <w:tcW w:w="1417" w:type="dxa"/>
            <w:shd w:val="clear" w:color="auto" w:fill="F2F2F2" w:themeFill="background1" w:themeFillShade="F2"/>
          </w:tcPr>
          <w:p w14:paraId="0B8DAF4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Non-dormant, smoke not required to break dormancy</w:t>
            </w:r>
          </w:p>
        </w:tc>
        <w:tc>
          <w:tcPr>
            <w:tcW w:w="1985" w:type="dxa"/>
            <w:shd w:val="clear" w:color="auto" w:fill="F2F2F2" w:themeFill="background1" w:themeFillShade="F2"/>
          </w:tcPr>
          <w:p w14:paraId="558AAF0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 xml:space="preserve">Triodia </w:t>
            </w:r>
            <w:r w:rsidRPr="007A2C85">
              <w:rPr>
                <w:rFonts w:asciiTheme="majorHAnsi" w:hAnsiTheme="majorHAnsi"/>
                <w:sz w:val="20"/>
                <w:szCs w:val="20"/>
              </w:rPr>
              <w:t xml:space="preserve">(all spp C4) separates from other C4 grasses </w:t>
            </w:r>
          </w:p>
        </w:tc>
        <w:tc>
          <w:tcPr>
            <w:tcW w:w="1842" w:type="dxa"/>
            <w:shd w:val="clear" w:color="auto" w:fill="F2F2F2" w:themeFill="background1" w:themeFillShade="F2"/>
          </w:tcPr>
          <w:p w14:paraId="4469972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Increasing aridity (decreasing rainfall and regularity) still with summer rainfall maximum </w:t>
            </w:r>
          </w:p>
        </w:tc>
        <w:tc>
          <w:tcPr>
            <w:tcW w:w="1560" w:type="dxa"/>
            <w:shd w:val="clear" w:color="auto" w:fill="F2F2F2" w:themeFill="background1" w:themeFillShade="F2"/>
          </w:tcPr>
          <w:p w14:paraId="21D7A2E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hummock grasslands/</w:t>
            </w:r>
          </w:p>
          <w:p w14:paraId="68926B6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shrublands, reduction in fire frequency</w:t>
            </w:r>
          </w:p>
        </w:tc>
        <w:tc>
          <w:tcPr>
            <w:tcW w:w="1984" w:type="dxa"/>
            <w:shd w:val="clear" w:color="auto" w:fill="F2F2F2" w:themeFill="background1" w:themeFillShade="F2"/>
          </w:tcPr>
          <w:p w14:paraId="542F8B0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Restoration of smoke-sensitivity for breaking dormancy accompanies xerophytic changes</w:t>
            </w:r>
          </w:p>
        </w:tc>
        <w:tc>
          <w:tcPr>
            <w:tcW w:w="1276" w:type="dxa"/>
            <w:shd w:val="clear" w:color="auto" w:fill="F2F2F2" w:themeFill="background1" w:themeFillShade="F2"/>
          </w:tcPr>
          <w:p w14:paraId="3EF4D33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22</w:t>
            </w:r>
            <w:r w:rsidRPr="007A2C85">
              <w:rPr>
                <w:rFonts w:asciiTheme="majorHAnsi" w:hAnsiTheme="majorHAnsi"/>
                <w:sz w:val="20"/>
                <w:szCs w:val="20"/>
              </w:rPr>
              <w:sym w:font="Symbol" w:char="F02D"/>
            </w:r>
            <w:r w:rsidRPr="007A2C85">
              <w:rPr>
                <w:rFonts w:asciiTheme="majorHAnsi" w:hAnsiTheme="majorHAnsi"/>
                <w:sz w:val="20"/>
                <w:szCs w:val="20"/>
              </w:rPr>
              <w:t>14.5 (no ancestral trait assignments made so most likely dates unclear)</w:t>
            </w:r>
          </w:p>
        </w:tc>
        <w:tc>
          <w:tcPr>
            <w:tcW w:w="1984" w:type="dxa"/>
            <w:shd w:val="clear" w:color="auto" w:fill="F2F2F2" w:themeFill="background1" w:themeFillShade="F2"/>
          </w:tcPr>
          <w:p w14:paraId="51570E9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Edwards et al. 2010, </w:t>
            </w:r>
            <w:r w:rsidRPr="007A2C85">
              <w:rPr>
                <w:rFonts w:asciiTheme="majorHAnsi" w:eastAsia="Times New Roman" w:hAnsiTheme="majorHAnsi"/>
                <w:sz w:val="20"/>
                <w:szCs w:val="20"/>
              </w:rPr>
              <w:t>Erickson 2015 (all, and only, 7 spp examined smoke-sensitive among 22 grasses), Toon et al. 201</w:t>
            </w:r>
            <w:r>
              <w:rPr>
                <w:rFonts w:asciiTheme="majorHAnsi" w:eastAsia="Times New Roman" w:hAnsiTheme="majorHAnsi"/>
                <w:sz w:val="20"/>
                <w:szCs w:val="20"/>
              </w:rPr>
              <w:t>5</w:t>
            </w:r>
          </w:p>
        </w:tc>
      </w:tr>
      <w:tr w:rsidR="00715EA7" w:rsidRPr="007A2C85" w14:paraId="5CCCFA49" w14:textId="77777777" w:rsidTr="005B6A6B">
        <w:tc>
          <w:tcPr>
            <w:tcW w:w="1277" w:type="dxa"/>
            <w:shd w:val="clear" w:color="auto" w:fill="auto"/>
          </w:tcPr>
          <w:p w14:paraId="4D5B8AE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Fabaceaae,</w:t>
            </w:r>
          </w:p>
          <w:p w14:paraId="4BED28C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Daviesia</w:t>
            </w:r>
          </w:p>
        </w:tc>
        <w:tc>
          <w:tcPr>
            <w:tcW w:w="1701" w:type="dxa"/>
            <w:shd w:val="clear" w:color="auto" w:fill="auto"/>
          </w:tcPr>
          <w:p w14:paraId="6442E24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 Moderate rainfall, minor seasonality, SW Australia</w:t>
            </w:r>
          </w:p>
        </w:tc>
        <w:tc>
          <w:tcPr>
            <w:tcW w:w="1276" w:type="dxa"/>
            <w:shd w:val="clear" w:color="auto" w:fill="auto"/>
          </w:tcPr>
          <w:p w14:paraId="74EF217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Fireprone shrubland to forest </w:t>
            </w:r>
          </w:p>
        </w:tc>
        <w:tc>
          <w:tcPr>
            <w:tcW w:w="1417" w:type="dxa"/>
            <w:shd w:val="clear" w:color="auto" w:fill="auto"/>
          </w:tcPr>
          <w:p w14:paraId="14E3DF7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Immediate ancestor of </w:t>
            </w:r>
            <w:r w:rsidRPr="007A2C85">
              <w:rPr>
                <w:rFonts w:asciiTheme="majorHAnsi" w:hAnsiTheme="majorHAnsi"/>
                <w:i/>
                <w:sz w:val="20"/>
                <w:szCs w:val="20"/>
              </w:rPr>
              <w:t>Daviesia</w:t>
            </w:r>
            <w:r w:rsidRPr="007A2C85">
              <w:rPr>
                <w:rFonts w:asciiTheme="majorHAnsi" w:hAnsiTheme="majorHAnsi"/>
                <w:sz w:val="20"/>
                <w:szCs w:val="20"/>
              </w:rPr>
              <w:t xml:space="preserve"> hard-seeded but non-arillate</w:t>
            </w:r>
          </w:p>
        </w:tc>
        <w:tc>
          <w:tcPr>
            <w:tcW w:w="1985" w:type="dxa"/>
            <w:shd w:val="clear" w:color="auto" w:fill="auto"/>
          </w:tcPr>
          <w:p w14:paraId="0500E79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Daviesia separates from nearest relative</w:t>
            </w:r>
          </w:p>
        </w:tc>
        <w:tc>
          <w:tcPr>
            <w:tcW w:w="1842" w:type="dxa"/>
          </w:tcPr>
          <w:p w14:paraId="0EC091E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Moderate rainfall, stronger seasonality, winter maximum? </w:t>
            </w:r>
          </w:p>
        </w:tc>
        <w:tc>
          <w:tcPr>
            <w:tcW w:w="1560" w:type="dxa"/>
            <w:shd w:val="clear" w:color="auto" w:fill="auto"/>
          </w:tcPr>
          <w:p w14:paraId="0CA8FCF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Shrubland/woodland under intensifying fire</w:t>
            </w:r>
          </w:p>
        </w:tc>
        <w:tc>
          <w:tcPr>
            <w:tcW w:w="1984" w:type="dxa"/>
            <w:shd w:val="clear" w:color="auto" w:fill="auto"/>
          </w:tcPr>
          <w:p w14:paraId="49FC76B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seed, arillate</w:t>
            </w:r>
          </w:p>
        </w:tc>
        <w:tc>
          <w:tcPr>
            <w:tcW w:w="1276" w:type="dxa"/>
            <w:shd w:val="clear" w:color="auto" w:fill="auto"/>
          </w:tcPr>
          <w:p w14:paraId="75639AD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33</w:t>
            </w:r>
            <w:r w:rsidRPr="007A2C85">
              <w:rPr>
                <w:rFonts w:asciiTheme="majorHAnsi" w:hAnsiTheme="majorHAnsi"/>
                <w:sz w:val="20"/>
                <w:szCs w:val="20"/>
              </w:rPr>
              <w:sym w:font="Symbol" w:char="F02D"/>
            </w:r>
            <w:r w:rsidRPr="007A2C85">
              <w:rPr>
                <w:rFonts w:asciiTheme="majorHAnsi" w:hAnsiTheme="majorHAnsi"/>
                <w:sz w:val="20"/>
                <w:szCs w:val="20"/>
              </w:rPr>
              <w:t xml:space="preserve">27  </w:t>
            </w:r>
          </w:p>
        </w:tc>
        <w:tc>
          <w:tcPr>
            <w:tcW w:w="1984" w:type="dxa"/>
            <w:shd w:val="clear" w:color="auto" w:fill="auto"/>
          </w:tcPr>
          <w:p w14:paraId="0938A2DF" w14:textId="77777777" w:rsidR="00715EA7" w:rsidRPr="007A2C85" w:rsidRDefault="00715EA7" w:rsidP="005B6A6B">
            <w:pPr>
              <w:ind w:left="-57" w:right="-57"/>
              <w:rPr>
                <w:rFonts w:asciiTheme="majorHAnsi" w:hAnsiTheme="majorHAnsi"/>
                <w:sz w:val="20"/>
                <w:szCs w:val="20"/>
              </w:rPr>
            </w:pPr>
            <w:r w:rsidRPr="007A2C85">
              <w:rPr>
                <w:rFonts w:asciiTheme="majorHAnsi" w:eastAsia="Times New Roman" w:hAnsiTheme="majorHAnsi"/>
                <w:sz w:val="20"/>
                <w:szCs w:val="20"/>
              </w:rPr>
              <w:t xml:space="preserve">Cook et al. 2015, Crisp et al. 2017, Lamont and He 2017b </w:t>
            </w:r>
          </w:p>
        </w:tc>
      </w:tr>
      <w:tr w:rsidR="00715EA7" w:rsidRPr="007A2C85" w14:paraId="0FD48B7E" w14:textId="77777777" w:rsidTr="005B6A6B">
        <w:tc>
          <w:tcPr>
            <w:tcW w:w="1277" w:type="dxa"/>
            <w:shd w:val="clear" w:color="auto" w:fill="F2F2F2" w:themeFill="background1" w:themeFillShade="F2"/>
          </w:tcPr>
          <w:p w14:paraId="3EAAA1F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Fabaceae, Mimosoideae</w:t>
            </w:r>
          </w:p>
        </w:tc>
        <w:tc>
          <w:tcPr>
            <w:tcW w:w="1701" w:type="dxa"/>
            <w:shd w:val="clear" w:color="auto" w:fill="F2F2F2" w:themeFill="background1" w:themeFillShade="F2"/>
          </w:tcPr>
          <w:p w14:paraId="3314DD6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Monsoon, summer-wet, Australia</w:t>
            </w:r>
          </w:p>
        </w:tc>
        <w:tc>
          <w:tcPr>
            <w:tcW w:w="1276" w:type="dxa"/>
            <w:shd w:val="clear" w:color="auto" w:fill="F2F2F2" w:themeFill="background1" w:themeFillShade="F2"/>
          </w:tcPr>
          <w:p w14:paraId="427E42E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forests</w:t>
            </w:r>
          </w:p>
        </w:tc>
        <w:tc>
          <w:tcPr>
            <w:tcW w:w="1417" w:type="dxa"/>
            <w:shd w:val="clear" w:color="auto" w:fill="F2F2F2" w:themeFill="background1" w:themeFillShade="F2"/>
          </w:tcPr>
          <w:p w14:paraId="00D9A89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Hard, heat-released dormancy, nonarillate, eg, </w:t>
            </w:r>
            <w:r w:rsidRPr="007A2C85">
              <w:rPr>
                <w:rFonts w:asciiTheme="majorHAnsi" w:hAnsiTheme="majorHAnsi"/>
                <w:i/>
                <w:sz w:val="20"/>
                <w:szCs w:val="20"/>
              </w:rPr>
              <w:t>Albizia</w:t>
            </w:r>
            <w:r w:rsidRPr="007A2C85">
              <w:rPr>
                <w:rFonts w:asciiTheme="majorHAnsi" w:hAnsiTheme="majorHAnsi"/>
                <w:sz w:val="20"/>
                <w:szCs w:val="20"/>
              </w:rPr>
              <w:t xml:space="preserve"> (Asia)</w:t>
            </w:r>
          </w:p>
        </w:tc>
        <w:tc>
          <w:tcPr>
            <w:tcW w:w="1985" w:type="dxa"/>
            <w:shd w:val="clear" w:color="auto" w:fill="F2F2F2" w:themeFill="background1" w:themeFillShade="F2"/>
          </w:tcPr>
          <w:p w14:paraId="3926127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 xml:space="preserve">Acacia </w:t>
            </w:r>
            <w:r w:rsidRPr="007A2C85">
              <w:rPr>
                <w:rFonts w:asciiTheme="majorHAnsi" w:hAnsiTheme="majorHAnsi"/>
                <w:sz w:val="20"/>
                <w:szCs w:val="20"/>
              </w:rPr>
              <w:t>(99% of species)</w:t>
            </w:r>
          </w:p>
        </w:tc>
        <w:tc>
          <w:tcPr>
            <w:tcW w:w="1842" w:type="dxa"/>
            <w:shd w:val="clear" w:color="auto" w:fill="F2F2F2" w:themeFill="background1" w:themeFillShade="F2"/>
          </w:tcPr>
          <w:p w14:paraId="049FE02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increasing seasonality, especially summer aridity?</w:t>
            </w:r>
          </w:p>
        </w:tc>
        <w:tc>
          <w:tcPr>
            <w:tcW w:w="1560" w:type="dxa"/>
            <w:shd w:val="clear" w:color="auto" w:fill="F2F2F2" w:themeFill="background1" w:themeFillShade="F2"/>
          </w:tcPr>
          <w:p w14:paraId="0467644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Highly fireprone sclerophyll shrubland to forest</w:t>
            </w:r>
          </w:p>
        </w:tc>
        <w:tc>
          <w:tcPr>
            <w:tcW w:w="1984" w:type="dxa"/>
            <w:shd w:val="clear" w:color="auto" w:fill="F2F2F2" w:themeFill="background1" w:themeFillShade="F2"/>
          </w:tcPr>
          <w:p w14:paraId="0D7EDA6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seed, heat-released dormancy, arillate [ant (and later) bird-dispersed]</w:t>
            </w:r>
          </w:p>
        </w:tc>
        <w:tc>
          <w:tcPr>
            <w:tcW w:w="1276" w:type="dxa"/>
            <w:shd w:val="clear" w:color="auto" w:fill="F2F2F2" w:themeFill="background1" w:themeFillShade="F2"/>
          </w:tcPr>
          <w:p w14:paraId="568D566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27</w:t>
            </w:r>
            <w:r w:rsidRPr="007A2C85">
              <w:rPr>
                <w:rFonts w:asciiTheme="majorHAnsi" w:hAnsiTheme="majorHAnsi"/>
                <w:sz w:val="20"/>
                <w:szCs w:val="20"/>
              </w:rPr>
              <w:sym w:font="Symbol" w:char="F02D"/>
            </w:r>
            <w:r w:rsidRPr="007A2C85">
              <w:rPr>
                <w:rFonts w:asciiTheme="majorHAnsi" w:hAnsiTheme="majorHAnsi"/>
                <w:sz w:val="20"/>
                <w:szCs w:val="20"/>
              </w:rPr>
              <w:t>24.5*</w:t>
            </w:r>
          </w:p>
        </w:tc>
        <w:tc>
          <w:tcPr>
            <w:tcW w:w="1984" w:type="dxa"/>
            <w:shd w:val="clear" w:color="auto" w:fill="F2F2F2" w:themeFill="background1" w:themeFillShade="F2"/>
          </w:tcPr>
          <w:p w14:paraId="0738244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Gunn 1984, O’Dowd &amp; Gill 1986, Miller et al. 2013</w:t>
            </w:r>
          </w:p>
        </w:tc>
      </w:tr>
      <w:tr w:rsidR="00715EA7" w:rsidRPr="007A2C85" w14:paraId="44DAA3A4" w14:textId="77777777" w:rsidTr="005B6A6B">
        <w:tc>
          <w:tcPr>
            <w:tcW w:w="1277" w:type="dxa"/>
            <w:shd w:val="clear" w:color="auto" w:fill="auto"/>
          </w:tcPr>
          <w:p w14:paraId="67F8102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Closest </w:t>
            </w:r>
            <w:r w:rsidRPr="007A2C85">
              <w:rPr>
                <w:rFonts w:asciiTheme="majorHAnsi" w:hAnsiTheme="majorHAnsi"/>
                <w:i/>
                <w:sz w:val="20"/>
                <w:szCs w:val="20"/>
              </w:rPr>
              <w:t xml:space="preserve">Lupinus </w:t>
            </w:r>
            <w:r w:rsidRPr="007A2C85">
              <w:rPr>
                <w:rFonts w:asciiTheme="majorHAnsi" w:hAnsiTheme="majorHAnsi"/>
                <w:sz w:val="20"/>
                <w:szCs w:val="20"/>
              </w:rPr>
              <w:t>ancestors</w:t>
            </w:r>
          </w:p>
        </w:tc>
        <w:tc>
          <w:tcPr>
            <w:tcW w:w="1701" w:type="dxa"/>
            <w:shd w:val="clear" w:color="auto" w:fill="auto"/>
          </w:tcPr>
          <w:p w14:paraId="328F940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seasonality, Mediterranean Basin</w:t>
            </w:r>
          </w:p>
        </w:tc>
        <w:tc>
          <w:tcPr>
            <w:tcW w:w="1276" w:type="dxa"/>
            <w:shd w:val="clear" w:color="auto" w:fill="auto"/>
          </w:tcPr>
          <w:p w14:paraId="492EF32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Fireprone shrublands, </w:t>
            </w:r>
          </w:p>
        </w:tc>
        <w:tc>
          <w:tcPr>
            <w:tcW w:w="1417" w:type="dxa"/>
            <w:shd w:val="clear" w:color="auto" w:fill="auto"/>
          </w:tcPr>
          <w:p w14:paraId="293265B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Hard testa as in sister </w:t>
            </w:r>
            <w:r w:rsidRPr="007A2C85">
              <w:rPr>
                <w:rFonts w:asciiTheme="majorHAnsi" w:hAnsiTheme="majorHAnsi"/>
                <w:i/>
                <w:sz w:val="20"/>
                <w:szCs w:val="20"/>
              </w:rPr>
              <w:t xml:space="preserve">Genista </w:t>
            </w:r>
            <w:r w:rsidRPr="007A2C85">
              <w:rPr>
                <w:rFonts w:asciiTheme="majorHAnsi" w:hAnsiTheme="majorHAnsi"/>
                <w:sz w:val="20"/>
                <w:szCs w:val="20"/>
              </w:rPr>
              <w:t>(Genisteae), dormancy not heat-released</w:t>
            </w:r>
          </w:p>
        </w:tc>
        <w:tc>
          <w:tcPr>
            <w:tcW w:w="1985" w:type="dxa"/>
            <w:shd w:val="clear" w:color="auto" w:fill="auto"/>
          </w:tcPr>
          <w:p w14:paraId="0D7451A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Lupinus</w:t>
            </w:r>
            <w:r w:rsidRPr="007A2C85">
              <w:rPr>
                <w:rFonts w:asciiTheme="majorHAnsi" w:hAnsiTheme="majorHAnsi"/>
                <w:sz w:val="20"/>
                <w:szCs w:val="20"/>
              </w:rPr>
              <w:t xml:space="preserve"> arises from </w:t>
            </w:r>
            <w:r w:rsidRPr="007A2C85">
              <w:rPr>
                <w:rFonts w:asciiTheme="majorHAnsi" w:hAnsiTheme="majorHAnsi"/>
                <w:i/>
                <w:sz w:val="20"/>
                <w:szCs w:val="20"/>
              </w:rPr>
              <w:t>Genista</w:t>
            </w:r>
            <w:r w:rsidRPr="007A2C85">
              <w:rPr>
                <w:rFonts w:asciiTheme="majorHAnsi" w:hAnsiTheme="majorHAnsi"/>
                <w:sz w:val="20"/>
                <w:szCs w:val="20"/>
              </w:rPr>
              <w:t>-type ancestor</w:t>
            </w:r>
          </w:p>
        </w:tc>
        <w:tc>
          <w:tcPr>
            <w:tcW w:w="1842" w:type="dxa"/>
          </w:tcPr>
          <w:p w14:paraId="426D546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stronger seasonality, summer-dry?</w:t>
            </w:r>
          </w:p>
        </w:tc>
        <w:tc>
          <w:tcPr>
            <w:tcW w:w="1560" w:type="dxa"/>
            <w:shd w:val="clear" w:color="auto" w:fill="auto"/>
          </w:tcPr>
          <w:p w14:paraId="774BB9F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shrublands</w:t>
            </w:r>
          </w:p>
        </w:tc>
        <w:tc>
          <w:tcPr>
            <w:tcW w:w="1984" w:type="dxa"/>
            <w:shd w:val="clear" w:color="auto" w:fill="auto"/>
          </w:tcPr>
          <w:p w14:paraId="2F2B6FE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seed retained, dormancy heat-released</w:t>
            </w:r>
          </w:p>
        </w:tc>
        <w:tc>
          <w:tcPr>
            <w:tcW w:w="1276" w:type="dxa"/>
            <w:shd w:val="clear" w:color="auto" w:fill="auto"/>
          </w:tcPr>
          <w:p w14:paraId="307021D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17</w:t>
            </w:r>
            <w:r w:rsidRPr="007A2C85">
              <w:rPr>
                <w:rFonts w:asciiTheme="majorHAnsi" w:hAnsiTheme="majorHAnsi"/>
                <w:sz w:val="20"/>
                <w:szCs w:val="20"/>
              </w:rPr>
              <w:sym w:font="Symbol" w:char="F02D"/>
            </w:r>
            <w:r w:rsidRPr="007A2C85">
              <w:rPr>
                <w:rFonts w:asciiTheme="majorHAnsi" w:hAnsiTheme="majorHAnsi"/>
                <w:sz w:val="20"/>
                <w:szCs w:val="20"/>
              </w:rPr>
              <w:t xml:space="preserve">11.5 eg, </w:t>
            </w:r>
            <w:r w:rsidRPr="007A2C85">
              <w:rPr>
                <w:rFonts w:asciiTheme="majorHAnsi" w:hAnsiTheme="majorHAnsi"/>
                <w:i/>
                <w:sz w:val="20"/>
                <w:szCs w:val="20"/>
              </w:rPr>
              <w:t>L. hirsutissimus</w:t>
            </w:r>
            <w:r w:rsidRPr="007A2C85">
              <w:rPr>
                <w:rFonts w:asciiTheme="majorHAnsi" w:hAnsiTheme="majorHAnsi"/>
                <w:sz w:val="20"/>
                <w:szCs w:val="20"/>
              </w:rPr>
              <w:t xml:space="preserve"> one of oldest sp at 9 Ma</w:t>
            </w:r>
          </w:p>
        </w:tc>
        <w:tc>
          <w:tcPr>
            <w:tcW w:w="1984" w:type="dxa"/>
            <w:shd w:val="clear" w:color="auto" w:fill="auto"/>
          </w:tcPr>
          <w:p w14:paraId="58D029A6" w14:textId="77777777" w:rsidR="00715EA7" w:rsidRPr="007A2C85" w:rsidRDefault="00715EA7" w:rsidP="005B6A6B">
            <w:pPr>
              <w:ind w:left="-57" w:right="-57"/>
              <w:rPr>
                <w:rFonts w:asciiTheme="majorHAnsi" w:hAnsiTheme="majorHAnsi" w:cs="Lucida Grande"/>
                <w:sz w:val="20"/>
                <w:szCs w:val="20"/>
              </w:rPr>
            </w:pPr>
            <w:r w:rsidRPr="007A2C85">
              <w:rPr>
                <w:rFonts w:asciiTheme="majorHAnsi" w:hAnsiTheme="majorHAnsi"/>
                <w:sz w:val="20"/>
                <w:szCs w:val="20"/>
              </w:rPr>
              <w:t>Keeley and Keeley 1986, Eastwood et al. 2008</w:t>
            </w:r>
          </w:p>
        </w:tc>
      </w:tr>
      <w:tr w:rsidR="00715EA7" w:rsidRPr="007A2C85" w14:paraId="10E4539C" w14:textId="77777777" w:rsidTr="005B6A6B">
        <w:tc>
          <w:tcPr>
            <w:tcW w:w="1277" w:type="dxa"/>
            <w:tcBorders>
              <w:bottom w:val="single" w:sz="4" w:space="0" w:color="auto"/>
            </w:tcBorders>
            <w:shd w:val="clear" w:color="auto" w:fill="F2F2F2" w:themeFill="background1" w:themeFillShade="F2"/>
          </w:tcPr>
          <w:p w14:paraId="12C4985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Pakaraimaea</w:t>
            </w:r>
            <w:r w:rsidRPr="007A2C85">
              <w:rPr>
                <w:rFonts w:asciiTheme="majorHAnsi" w:hAnsiTheme="majorHAnsi"/>
                <w:sz w:val="20"/>
                <w:szCs w:val="20"/>
              </w:rPr>
              <w:t>-Cistaceae</w:t>
            </w:r>
          </w:p>
        </w:tc>
        <w:tc>
          <w:tcPr>
            <w:tcW w:w="1701" w:type="dxa"/>
            <w:tcBorders>
              <w:bottom w:val="single" w:sz="4" w:space="0" w:color="auto"/>
            </w:tcBorders>
            <w:shd w:val="clear" w:color="auto" w:fill="F2F2F2" w:themeFill="background1" w:themeFillShade="F2"/>
          </w:tcPr>
          <w:p w14:paraId="1B15A35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Moderate rainfall, monsoon, summer-wet, Africa-S America? </w:t>
            </w:r>
            <w:r w:rsidRPr="007A2C85">
              <w:rPr>
                <w:rFonts w:asciiTheme="majorHAnsi" w:hAnsiTheme="majorHAnsi"/>
                <w:sz w:val="20"/>
                <w:szCs w:val="20"/>
              </w:rPr>
              <w:lastRenderedPageBreak/>
              <w:t>(possibility of Gondwanan link undergoing current research)</w:t>
            </w:r>
          </w:p>
        </w:tc>
        <w:tc>
          <w:tcPr>
            <w:tcW w:w="1276" w:type="dxa"/>
            <w:tcBorders>
              <w:bottom w:val="single" w:sz="4" w:space="0" w:color="auto"/>
            </w:tcBorders>
            <w:shd w:val="clear" w:color="auto" w:fill="F2F2F2" w:themeFill="background1" w:themeFillShade="F2"/>
          </w:tcPr>
          <w:p w14:paraId="28290B7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lastRenderedPageBreak/>
              <w:t xml:space="preserve">Fireprone forest-woodland </w:t>
            </w:r>
          </w:p>
        </w:tc>
        <w:tc>
          <w:tcPr>
            <w:tcW w:w="1417" w:type="dxa"/>
            <w:tcBorders>
              <w:bottom w:val="single" w:sz="4" w:space="0" w:color="auto"/>
            </w:tcBorders>
            <w:shd w:val="clear" w:color="auto" w:fill="F2F2F2" w:themeFill="background1" w:themeFillShade="F2"/>
          </w:tcPr>
          <w:p w14:paraId="49AA990B" w14:textId="77777777" w:rsidR="00715EA7" w:rsidRPr="007A2C85" w:rsidRDefault="00715EA7" w:rsidP="005B6A6B">
            <w:pPr>
              <w:ind w:left="-57" w:right="-57"/>
              <w:rPr>
                <w:rFonts w:asciiTheme="majorHAnsi" w:hAnsiTheme="majorHAnsi" w:cs="Lucida Grande"/>
                <w:sz w:val="20"/>
                <w:szCs w:val="20"/>
              </w:rPr>
            </w:pPr>
            <w:r w:rsidRPr="007A2C85">
              <w:rPr>
                <w:rFonts w:asciiTheme="majorHAnsi" w:hAnsiTheme="majorHAnsi"/>
                <w:sz w:val="20"/>
                <w:szCs w:val="20"/>
              </w:rPr>
              <w:t>Hard testa, fire-type heat-released dormancy</w:t>
            </w:r>
          </w:p>
        </w:tc>
        <w:tc>
          <w:tcPr>
            <w:tcW w:w="1985" w:type="dxa"/>
            <w:tcBorders>
              <w:bottom w:val="single" w:sz="4" w:space="0" w:color="auto"/>
            </w:tcBorders>
            <w:shd w:val="clear" w:color="auto" w:fill="F2F2F2" w:themeFill="background1" w:themeFillShade="F2"/>
          </w:tcPr>
          <w:p w14:paraId="30BE24A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Pakaraimaea</w:t>
            </w:r>
            <w:r w:rsidRPr="007A2C85">
              <w:rPr>
                <w:rFonts w:asciiTheme="majorHAnsi" w:hAnsiTheme="majorHAnsi"/>
                <w:sz w:val="20"/>
                <w:szCs w:val="20"/>
              </w:rPr>
              <w:t xml:space="preserve"> (monotypic) and Cistaceae separate </w:t>
            </w:r>
            <w:r w:rsidRPr="007A2C85">
              <w:rPr>
                <w:rFonts w:asciiTheme="majorHAnsi" w:hAnsiTheme="majorHAnsi"/>
                <w:sz w:val="20"/>
                <w:szCs w:val="20"/>
              </w:rPr>
              <w:lastRenderedPageBreak/>
              <w:t xml:space="preserve">from common fireprone ancestor </w:t>
            </w:r>
          </w:p>
        </w:tc>
        <w:tc>
          <w:tcPr>
            <w:tcW w:w="1842" w:type="dxa"/>
            <w:tcBorders>
              <w:bottom w:val="single" w:sz="4" w:space="0" w:color="auto"/>
            </w:tcBorders>
            <w:shd w:val="clear" w:color="auto" w:fill="F2F2F2" w:themeFill="background1" w:themeFillShade="F2"/>
          </w:tcPr>
          <w:p w14:paraId="0990AC21" w14:textId="77777777" w:rsidR="00715EA7" w:rsidRPr="007A2C85" w:rsidRDefault="00715EA7" w:rsidP="005B6A6B">
            <w:pPr>
              <w:spacing w:before="120" w:after="120"/>
              <w:ind w:left="-57" w:right="-57"/>
              <w:rPr>
                <w:rFonts w:asciiTheme="majorHAnsi" w:hAnsiTheme="majorHAnsi"/>
                <w:sz w:val="20"/>
                <w:szCs w:val="20"/>
              </w:rPr>
            </w:pPr>
            <w:r w:rsidRPr="007A2C85">
              <w:rPr>
                <w:rFonts w:asciiTheme="majorHAnsi" w:hAnsiTheme="majorHAnsi"/>
                <w:sz w:val="20"/>
                <w:szCs w:val="20"/>
              </w:rPr>
              <w:lastRenderedPageBreak/>
              <w:t xml:space="preserve">Moderate rainfall, increasingly temperate and </w:t>
            </w:r>
            <w:r w:rsidRPr="007A2C85">
              <w:rPr>
                <w:rFonts w:asciiTheme="majorHAnsi" w:hAnsiTheme="majorHAnsi"/>
                <w:sz w:val="20"/>
                <w:szCs w:val="20"/>
              </w:rPr>
              <w:lastRenderedPageBreak/>
              <w:t>seasonal, summer-wet?</w:t>
            </w:r>
          </w:p>
        </w:tc>
        <w:tc>
          <w:tcPr>
            <w:tcW w:w="1560" w:type="dxa"/>
            <w:tcBorders>
              <w:bottom w:val="single" w:sz="4" w:space="0" w:color="auto"/>
            </w:tcBorders>
            <w:shd w:val="clear" w:color="auto" w:fill="F2F2F2" w:themeFill="background1" w:themeFillShade="F2"/>
          </w:tcPr>
          <w:p w14:paraId="0E282DD5" w14:textId="77777777" w:rsidR="00715EA7" w:rsidRPr="007A2C85" w:rsidRDefault="00715EA7" w:rsidP="005B6A6B">
            <w:pPr>
              <w:spacing w:before="120" w:after="120"/>
              <w:ind w:left="-57" w:right="-57"/>
              <w:rPr>
                <w:rFonts w:asciiTheme="majorHAnsi" w:hAnsiTheme="majorHAnsi"/>
                <w:sz w:val="20"/>
                <w:szCs w:val="20"/>
              </w:rPr>
            </w:pPr>
            <w:r w:rsidRPr="007A2C85">
              <w:rPr>
                <w:rFonts w:asciiTheme="majorHAnsi" w:hAnsiTheme="majorHAnsi"/>
                <w:i/>
                <w:sz w:val="20"/>
                <w:szCs w:val="20"/>
              </w:rPr>
              <w:lastRenderedPageBreak/>
              <w:t>Pakaraimaea</w:t>
            </w:r>
            <w:r w:rsidRPr="007A2C85">
              <w:rPr>
                <w:rFonts w:asciiTheme="majorHAnsi" w:hAnsiTheme="majorHAnsi"/>
                <w:sz w:val="20"/>
                <w:szCs w:val="20"/>
              </w:rPr>
              <w:t xml:space="preserve"> remains in monsoon forest, </w:t>
            </w:r>
            <w:r w:rsidRPr="007A2C85">
              <w:rPr>
                <w:rFonts w:asciiTheme="majorHAnsi" w:hAnsiTheme="majorHAnsi"/>
                <w:sz w:val="20"/>
                <w:szCs w:val="20"/>
              </w:rPr>
              <w:lastRenderedPageBreak/>
              <w:t>S Amer, Cistaceae migrates to highly fireprone forest-woodland, Africa</w:t>
            </w:r>
          </w:p>
        </w:tc>
        <w:tc>
          <w:tcPr>
            <w:tcW w:w="1984" w:type="dxa"/>
            <w:tcBorders>
              <w:bottom w:val="single" w:sz="4" w:space="0" w:color="auto"/>
            </w:tcBorders>
            <w:shd w:val="clear" w:color="auto" w:fill="F2F2F2" w:themeFill="background1" w:themeFillShade="F2"/>
          </w:tcPr>
          <w:p w14:paraId="3672EE9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lastRenderedPageBreak/>
              <w:t xml:space="preserve">Hard testa, fire-type heat-released dormancy, thicker and deeper plug in </w:t>
            </w:r>
            <w:r w:rsidRPr="007A2C85">
              <w:rPr>
                <w:rFonts w:asciiTheme="majorHAnsi" w:hAnsiTheme="majorHAnsi"/>
                <w:sz w:val="20"/>
                <w:szCs w:val="20"/>
              </w:rPr>
              <w:lastRenderedPageBreak/>
              <w:t>Cistaceae, intensfied fire as Cistaceae migrated into more open vegetation?</w:t>
            </w:r>
          </w:p>
        </w:tc>
        <w:tc>
          <w:tcPr>
            <w:tcW w:w="1276" w:type="dxa"/>
            <w:tcBorders>
              <w:bottom w:val="single" w:sz="4" w:space="0" w:color="auto"/>
            </w:tcBorders>
            <w:shd w:val="clear" w:color="auto" w:fill="F2F2F2" w:themeFill="background1" w:themeFillShade="F2"/>
          </w:tcPr>
          <w:p w14:paraId="7236EE44" w14:textId="77777777" w:rsidR="00715EA7" w:rsidRPr="007A2C85" w:rsidRDefault="00715EA7" w:rsidP="005B6A6B">
            <w:pPr>
              <w:ind w:left="-57" w:right="-57"/>
              <w:rPr>
                <w:rFonts w:asciiTheme="majorHAnsi" w:eastAsia="Times New Roman" w:hAnsiTheme="majorHAnsi"/>
                <w:sz w:val="20"/>
                <w:szCs w:val="20"/>
              </w:rPr>
            </w:pPr>
            <w:r w:rsidRPr="007A2C85">
              <w:rPr>
                <w:rFonts w:asciiTheme="majorHAnsi" w:hAnsiTheme="majorHAnsi"/>
                <w:sz w:val="20"/>
                <w:szCs w:val="20"/>
              </w:rPr>
              <w:lastRenderedPageBreak/>
              <w:t>42 (</w:t>
            </w:r>
            <w:r w:rsidRPr="007A2C85">
              <w:rPr>
                <w:rFonts w:asciiTheme="majorHAnsi" w:eastAsia="Times New Roman" w:hAnsiTheme="majorHAnsi"/>
                <w:sz w:val="20"/>
                <w:szCs w:val="20"/>
              </w:rPr>
              <w:t>Hecken-hauer), 35</w:t>
            </w:r>
            <w:r w:rsidRPr="007A2C85">
              <w:rPr>
                <w:rFonts w:asciiTheme="majorHAnsi" w:hAnsiTheme="majorHAnsi"/>
                <w:sz w:val="20"/>
                <w:szCs w:val="20"/>
              </w:rPr>
              <w:sym w:font="Symbol" w:char="F02D"/>
            </w:r>
            <w:r w:rsidRPr="007A2C85">
              <w:rPr>
                <w:rFonts w:asciiTheme="majorHAnsi" w:hAnsiTheme="majorHAnsi"/>
                <w:sz w:val="20"/>
                <w:szCs w:val="20"/>
              </w:rPr>
              <w:t>23</w:t>
            </w:r>
            <w:r w:rsidRPr="007A2C85">
              <w:rPr>
                <w:rFonts w:asciiTheme="majorHAnsi" w:eastAsia="Times New Roman" w:hAnsiTheme="majorHAnsi"/>
                <w:sz w:val="20"/>
                <w:szCs w:val="20"/>
              </w:rPr>
              <w:t xml:space="preserve"> (Aparicio)</w:t>
            </w:r>
          </w:p>
          <w:p w14:paraId="405F8C62" w14:textId="77777777" w:rsidR="00715EA7" w:rsidRPr="007A2C85" w:rsidRDefault="00715EA7" w:rsidP="005B6A6B">
            <w:pPr>
              <w:ind w:left="-57" w:right="-57"/>
              <w:rPr>
                <w:rFonts w:asciiTheme="majorHAnsi" w:hAnsiTheme="majorHAnsi"/>
                <w:sz w:val="20"/>
                <w:szCs w:val="20"/>
              </w:rPr>
            </w:pPr>
            <w:r w:rsidRPr="007A2C85">
              <w:rPr>
                <w:rFonts w:asciiTheme="majorHAnsi" w:eastAsia="Times New Roman" w:hAnsiTheme="majorHAnsi"/>
                <w:sz w:val="20"/>
                <w:szCs w:val="20"/>
              </w:rPr>
              <w:lastRenderedPageBreak/>
              <w:t>- both much too young and more likely &gt; 105 Ma, before Africa-S Amer separated</w:t>
            </w:r>
          </w:p>
        </w:tc>
        <w:tc>
          <w:tcPr>
            <w:tcW w:w="1984" w:type="dxa"/>
            <w:tcBorders>
              <w:bottom w:val="single" w:sz="4" w:space="0" w:color="auto"/>
            </w:tcBorders>
            <w:shd w:val="clear" w:color="auto" w:fill="F2F2F2" w:themeFill="background1" w:themeFillShade="F2"/>
          </w:tcPr>
          <w:p w14:paraId="2C9951D0" w14:textId="77777777" w:rsidR="00715EA7" w:rsidRPr="007A2C85" w:rsidRDefault="00715EA7" w:rsidP="005B6A6B">
            <w:pPr>
              <w:ind w:left="-57" w:right="-57"/>
              <w:rPr>
                <w:rFonts w:asciiTheme="majorHAnsi" w:hAnsiTheme="majorHAnsi" w:cs="Lucida Grande"/>
                <w:sz w:val="20"/>
                <w:szCs w:val="20"/>
              </w:rPr>
            </w:pPr>
            <w:r w:rsidRPr="007A2C85">
              <w:rPr>
                <w:rFonts w:asciiTheme="majorHAnsi" w:eastAsia="Times New Roman" w:hAnsiTheme="majorHAnsi"/>
                <w:sz w:val="20"/>
                <w:szCs w:val="20"/>
              </w:rPr>
              <w:lastRenderedPageBreak/>
              <w:t xml:space="preserve">Thanos et al. 1992, Nandi 1998, Aparicio et al. 2017, Heckenhauer et al. </w:t>
            </w:r>
            <w:r w:rsidRPr="007A2C85">
              <w:rPr>
                <w:rFonts w:asciiTheme="majorHAnsi" w:eastAsia="Times New Roman" w:hAnsiTheme="majorHAnsi"/>
                <w:sz w:val="20"/>
                <w:szCs w:val="20"/>
              </w:rPr>
              <w:lastRenderedPageBreak/>
              <w:t>2017, plus unpublished data of B Lamont, A Thornhill and D Korczynskyj</w:t>
            </w:r>
          </w:p>
        </w:tc>
      </w:tr>
      <w:tr w:rsidR="00715EA7" w:rsidRPr="007A2C85" w14:paraId="147569AF" w14:textId="77777777" w:rsidTr="005B6A6B">
        <w:tc>
          <w:tcPr>
            <w:tcW w:w="16302" w:type="dxa"/>
            <w:gridSpan w:val="10"/>
            <w:tcBorders>
              <w:top w:val="single" w:sz="4" w:space="0" w:color="auto"/>
              <w:bottom w:val="single" w:sz="4" w:space="0" w:color="auto"/>
            </w:tcBorders>
            <w:shd w:val="clear" w:color="auto" w:fill="FBE4D5" w:themeFill="accent2" w:themeFillTint="33"/>
          </w:tcPr>
          <w:p w14:paraId="2268403F" w14:textId="77777777" w:rsidR="00715EA7" w:rsidRPr="007A2C85" w:rsidRDefault="00715EA7" w:rsidP="005B6A6B">
            <w:pPr>
              <w:spacing w:before="120" w:after="120"/>
              <w:ind w:left="-57" w:right="-57"/>
              <w:rPr>
                <w:rFonts w:asciiTheme="majorHAnsi" w:hAnsiTheme="majorHAnsi"/>
                <w:b/>
                <w:sz w:val="20"/>
                <w:szCs w:val="20"/>
              </w:rPr>
            </w:pPr>
            <w:r w:rsidRPr="007A2C85">
              <w:rPr>
                <w:rFonts w:asciiTheme="majorHAnsi" w:hAnsiTheme="majorHAnsi"/>
                <w:b/>
                <w:sz w:val="20"/>
                <w:szCs w:val="20"/>
              </w:rPr>
              <w:lastRenderedPageBreak/>
              <w:t>Pathway 2A. Migration from crown-fire-type habitat to surface-fire-type habitat (loss of fire-related trait)</w:t>
            </w:r>
          </w:p>
        </w:tc>
      </w:tr>
      <w:tr w:rsidR="00715EA7" w:rsidRPr="007A2C85" w14:paraId="76E6B0DD" w14:textId="77777777" w:rsidTr="005B6A6B">
        <w:tc>
          <w:tcPr>
            <w:tcW w:w="1277" w:type="dxa"/>
            <w:tcBorders>
              <w:top w:val="single" w:sz="4" w:space="0" w:color="auto"/>
            </w:tcBorders>
            <w:shd w:val="clear" w:color="auto" w:fill="auto"/>
          </w:tcPr>
          <w:p w14:paraId="77642C4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Pinus</w:t>
            </w:r>
            <w:r w:rsidRPr="007A2C85">
              <w:rPr>
                <w:rFonts w:asciiTheme="majorHAnsi" w:hAnsiTheme="majorHAnsi"/>
                <w:sz w:val="20"/>
                <w:szCs w:val="20"/>
              </w:rPr>
              <w:t xml:space="preserve">, subgenus </w:t>
            </w:r>
            <w:r w:rsidRPr="007A2C85">
              <w:rPr>
                <w:rFonts w:asciiTheme="majorHAnsi" w:hAnsiTheme="majorHAnsi"/>
                <w:i/>
                <w:sz w:val="20"/>
                <w:szCs w:val="20"/>
              </w:rPr>
              <w:t>Pinus</w:t>
            </w:r>
          </w:p>
        </w:tc>
        <w:tc>
          <w:tcPr>
            <w:tcW w:w="1701" w:type="dxa"/>
            <w:tcBorders>
              <w:top w:val="single" w:sz="4" w:space="0" w:color="auto"/>
            </w:tcBorders>
            <w:shd w:val="clear" w:color="auto" w:fill="auto"/>
          </w:tcPr>
          <w:p w14:paraId="5903612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Closed forest, N Hemisphere</w:t>
            </w:r>
          </w:p>
        </w:tc>
        <w:tc>
          <w:tcPr>
            <w:tcW w:w="1276" w:type="dxa"/>
            <w:tcBorders>
              <w:top w:val="single" w:sz="4" w:space="0" w:color="auto"/>
            </w:tcBorders>
            <w:shd w:val="clear" w:color="auto" w:fill="auto"/>
          </w:tcPr>
          <w:p w14:paraId="71B217C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Dense forest with intense (crown) fires </w:t>
            </w:r>
          </w:p>
        </w:tc>
        <w:tc>
          <w:tcPr>
            <w:tcW w:w="1417" w:type="dxa"/>
            <w:tcBorders>
              <w:top w:val="single" w:sz="4" w:space="0" w:color="auto"/>
            </w:tcBorders>
            <w:shd w:val="clear" w:color="auto" w:fill="auto"/>
          </w:tcPr>
          <w:p w14:paraId="584864D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Serotinous cones, wind-dispersed, enforced dormancy</w:t>
            </w:r>
          </w:p>
        </w:tc>
        <w:tc>
          <w:tcPr>
            <w:tcW w:w="1985" w:type="dxa"/>
            <w:tcBorders>
              <w:top w:val="single" w:sz="4" w:space="0" w:color="auto"/>
            </w:tcBorders>
            <w:shd w:val="clear" w:color="auto" w:fill="auto"/>
          </w:tcPr>
          <w:p w14:paraId="6C50B99B"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 xml:space="preserve">9 terminal species/lineages in subgenus </w:t>
            </w:r>
            <w:r w:rsidRPr="007A2C85">
              <w:rPr>
                <w:rFonts w:asciiTheme="majorHAnsi" w:hAnsiTheme="majorHAnsi"/>
                <w:i/>
                <w:sz w:val="20"/>
                <w:szCs w:val="20"/>
              </w:rPr>
              <w:t>Pinus</w:t>
            </w:r>
          </w:p>
        </w:tc>
        <w:tc>
          <w:tcPr>
            <w:tcW w:w="1842" w:type="dxa"/>
            <w:tcBorders>
              <w:top w:val="single" w:sz="4" w:space="0" w:color="auto"/>
            </w:tcBorders>
          </w:tcPr>
          <w:p w14:paraId="6FED700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Frequently burnt (surface fire) savannas</w:t>
            </w:r>
          </w:p>
        </w:tc>
        <w:tc>
          <w:tcPr>
            <w:tcW w:w="1560" w:type="dxa"/>
            <w:tcBorders>
              <w:top w:val="single" w:sz="4" w:space="0" w:color="auto"/>
            </w:tcBorders>
            <w:shd w:val="clear" w:color="auto" w:fill="auto"/>
          </w:tcPr>
          <w:p w14:paraId="02EFE58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Savanna woodlands or grasslands</w:t>
            </w:r>
          </w:p>
        </w:tc>
        <w:tc>
          <w:tcPr>
            <w:tcW w:w="1984" w:type="dxa"/>
            <w:tcBorders>
              <w:top w:val="single" w:sz="4" w:space="0" w:color="auto"/>
            </w:tcBorders>
            <w:shd w:val="clear" w:color="auto" w:fill="auto"/>
          </w:tcPr>
          <w:p w14:paraId="484476C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Nonserotinous cones, nondormant, wind-dispersed</w:t>
            </w:r>
          </w:p>
        </w:tc>
        <w:tc>
          <w:tcPr>
            <w:tcW w:w="1276" w:type="dxa"/>
            <w:tcBorders>
              <w:top w:val="single" w:sz="4" w:space="0" w:color="auto"/>
            </w:tcBorders>
            <w:shd w:val="clear" w:color="auto" w:fill="auto"/>
          </w:tcPr>
          <w:p w14:paraId="058DA63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41</w:t>
            </w:r>
            <w:r w:rsidRPr="007A2C85">
              <w:rPr>
                <w:rFonts w:asciiTheme="majorHAnsi" w:hAnsiTheme="majorHAnsi"/>
                <w:sz w:val="20"/>
                <w:szCs w:val="20"/>
              </w:rPr>
              <w:sym w:font="Symbol" w:char="F02D"/>
            </w:r>
            <w:r w:rsidRPr="007A2C85">
              <w:rPr>
                <w:rFonts w:asciiTheme="majorHAnsi" w:hAnsiTheme="majorHAnsi"/>
                <w:sz w:val="20"/>
                <w:szCs w:val="20"/>
              </w:rPr>
              <w:t>1</w:t>
            </w:r>
          </w:p>
        </w:tc>
        <w:tc>
          <w:tcPr>
            <w:tcW w:w="1984" w:type="dxa"/>
            <w:tcBorders>
              <w:top w:val="single" w:sz="4" w:space="0" w:color="auto"/>
            </w:tcBorders>
            <w:shd w:val="clear" w:color="auto" w:fill="auto"/>
          </w:tcPr>
          <w:p w14:paraId="262F128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He et al. 2012</w:t>
            </w:r>
          </w:p>
        </w:tc>
      </w:tr>
      <w:tr w:rsidR="00715EA7" w:rsidRPr="007A2C85" w14:paraId="3A550544" w14:textId="77777777" w:rsidTr="005B6A6B">
        <w:tc>
          <w:tcPr>
            <w:tcW w:w="1277" w:type="dxa"/>
            <w:shd w:val="clear" w:color="auto" w:fill="F2F2F2" w:themeFill="background1" w:themeFillShade="F2"/>
          </w:tcPr>
          <w:p w14:paraId="0B1BF6BD"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Cistaceae</w:t>
            </w:r>
          </w:p>
        </w:tc>
        <w:tc>
          <w:tcPr>
            <w:tcW w:w="1701" w:type="dxa"/>
            <w:shd w:val="clear" w:color="auto" w:fill="F2F2F2" w:themeFill="background1" w:themeFillShade="F2"/>
          </w:tcPr>
          <w:p w14:paraId="4AD56C3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Mediterrnanean climate, summer-dry, Mediterranean Basin</w:t>
            </w:r>
          </w:p>
        </w:tc>
        <w:tc>
          <w:tcPr>
            <w:tcW w:w="1276" w:type="dxa"/>
            <w:shd w:val="clear" w:color="auto" w:fill="F2F2F2" w:themeFill="background1" w:themeFillShade="F2"/>
          </w:tcPr>
          <w:p w14:paraId="78A5D66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shrublands to forests</w:t>
            </w:r>
          </w:p>
        </w:tc>
        <w:tc>
          <w:tcPr>
            <w:tcW w:w="1417" w:type="dxa"/>
            <w:shd w:val="clear" w:color="auto" w:fill="F2F2F2" w:themeFill="background1" w:themeFillShade="F2"/>
          </w:tcPr>
          <w:p w14:paraId="0D1FAF8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seed, heat-released dormancy, perennial subshrubs</w:t>
            </w:r>
          </w:p>
        </w:tc>
        <w:tc>
          <w:tcPr>
            <w:tcW w:w="1985" w:type="dxa"/>
            <w:shd w:val="clear" w:color="auto" w:fill="F2F2F2" w:themeFill="background1" w:themeFillShade="F2"/>
          </w:tcPr>
          <w:p w14:paraId="139E5E4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 xml:space="preserve">Helianthemum salicifolium </w:t>
            </w:r>
          </w:p>
        </w:tc>
        <w:tc>
          <w:tcPr>
            <w:tcW w:w="1842" w:type="dxa"/>
            <w:shd w:val="clear" w:color="auto" w:fill="F2F2F2" w:themeFill="background1" w:themeFillShade="F2"/>
          </w:tcPr>
          <w:p w14:paraId="3D92DFF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Shrublands, dry Mediterranean – semi-arid?</w:t>
            </w:r>
          </w:p>
        </w:tc>
        <w:tc>
          <w:tcPr>
            <w:tcW w:w="1560" w:type="dxa"/>
            <w:shd w:val="clear" w:color="auto" w:fill="F2F2F2" w:themeFill="background1" w:themeFillShade="F2"/>
          </w:tcPr>
          <w:p w14:paraId="46A8013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decreased fire frequency</w:t>
            </w:r>
          </w:p>
        </w:tc>
        <w:tc>
          <w:tcPr>
            <w:tcW w:w="1984" w:type="dxa"/>
            <w:shd w:val="clear" w:color="auto" w:fill="F2F2F2" w:themeFill="background1" w:themeFillShade="F2"/>
          </w:tcPr>
          <w:p w14:paraId="3642A08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Hardseeded, but does not respond to fire-type heat, annual herb</w:t>
            </w:r>
          </w:p>
        </w:tc>
        <w:tc>
          <w:tcPr>
            <w:tcW w:w="1276" w:type="dxa"/>
            <w:shd w:val="clear" w:color="auto" w:fill="F2F2F2" w:themeFill="background1" w:themeFillShade="F2"/>
          </w:tcPr>
          <w:p w14:paraId="3515FC5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 1.0</w:t>
            </w:r>
          </w:p>
        </w:tc>
        <w:tc>
          <w:tcPr>
            <w:tcW w:w="1984" w:type="dxa"/>
            <w:shd w:val="clear" w:color="auto" w:fill="F2F2F2" w:themeFill="background1" w:themeFillShade="F2"/>
          </w:tcPr>
          <w:p w14:paraId="277E7B8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Thanos et al. 1992, Yeşilyurt, Erik and Tavşanoğlu 2017, Aparicio et al. 2017b</w:t>
            </w:r>
          </w:p>
        </w:tc>
      </w:tr>
      <w:tr w:rsidR="00715EA7" w:rsidRPr="007A2C85" w14:paraId="4A9C6957" w14:textId="77777777" w:rsidTr="005B6A6B">
        <w:tc>
          <w:tcPr>
            <w:tcW w:w="1277" w:type="dxa"/>
            <w:shd w:val="clear" w:color="auto" w:fill="auto"/>
          </w:tcPr>
          <w:p w14:paraId="6AB7CFC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Proteaceae, </w:t>
            </w:r>
            <w:r w:rsidRPr="007A2C85">
              <w:rPr>
                <w:rFonts w:asciiTheme="majorHAnsi" w:hAnsiTheme="majorHAnsi"/>
                <w:i/>
                <w:sz w:val="20"/>
                <w:szCs w:val="20"/>
              </w:rPr>
              <w:t>Banksia</w:t>
            </w:r>
          </w:p>
        </w:tc>
        <w:tc>
          <w:tcPr>
            <w:tcW w:w="1701" w:type="dxa"/>
            <w:shd w:val="clear" w:color="auto" w:fill="auto"/>
          </w:tcPr>
          <w:p w14:paraId="28AAE97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strong seasonality, mostly winter maximum, N Aust</w:t>
            </w:r>
          </w:p>
        </w:tc>
        <w:tc>
          <w:tcPr>
            <w:tcW w:w="1276" w:type="dxa"/>
            <w:shd w:val="clear" w:color="auto" w:fill="auto"/>
          </w:tcPr>
          <w:p w14:paraId="3FCB9B2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Crown-fire-prone woodland</w:t>
            </w:r>
          </w:p>
        </w:tc>
        <w:tc>
          <w:tcPr>
            <w:tcW w:w="1417" w:type="dxa"/>
            <w:shd w:val="clear" w:color="auto" w:fill="auto"/>
          </w:tcPr>
          <w:p w14:paraId="010CED7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Enforced dormancy (serotinous), heat release </w:t>
            </w:r>
          </w:p>
        </w:tc>
        <w:tc>
          <w:tcPr>
            <w:tcW w:w="1985" w:type="dxa"/>
            <w:shd w:val="clear" w:color="auto" w:fill="auto"/>
          </w:tcPr>
          <w:p w14:paraId="67FF633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Advanced </w:t>
            </w:r>
            <w:r w:rsidRPr="007A2C85">
              <w:rPr>
                <w:rFonts w:asciiTheme="majorHAnsi" w:hAnsiTheme="majorHAnsi"/>
                <w:i/>
                <w:sz w:val="20"/>
                <w:szCs w:val="20"/>
              </w:rPr>
              <w:t>Banksia</w:t>
            </w:r>
            <w:r w:rsidRPr="007A2C85">
              <w:rPr>
                <w:rFonts w:asciiTheme="majorHAnsi" w:hAnsiTheme="majorHAnsi"/>
                <w:sz w:val="20"/>
                <w:szCs w:val="20"/>
              </w:rPr>
              <w:t>, eg,</w:t>
            </w:r>
            <w:r w:rsidRPr="007A2C85">
              <w:rPr>
                <w:rFonts w:asciiTheme="majorHAnsi" w:hAnsiTheme="majorHAnsi"/>
                <w:i/>
                <w:sz w:val="20"/>
                <w:szCs w:val="20"/>
              </w:rPr>
              <w:t xml:space="preserve"> Banksia dentata</w:t>
            </w:r>
          </w:p>
        </w:tc>
        <w:tc>
          <w:tcPr>
            <w:tcW w:w="1842" w:type="dxa"/>
          </w:tcPr>
          <w:p w14:paraId="4B8F406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Savannas, summer-wet</w:t>
            </w:r>
          </w:p>
        </w:tc>
        <w:tc>
          <w:tcPr>
            <w:tcW w:w="1560" w:type="dxa"/>
            <w:shd w:val="clear" w:color="auto" w:fill="auto"/>
          </w:tcPr>
          <w:p w14:paraId="51A59C0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Grassy savannas, fireprone, frequent spring fires</w:t>
            </w:r>
          </w:p>
        </w:tc>
        <w:tc>
          <w:tcPr>
            <w:tcW w:w="1984" w:type="dxa"/>
            <w:shd w:val="clear" w:color="auto" w:fill="auto"/>
          </w:tcPr>
          <w:p w14:paraId="595FD41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Nondormant (non-serotinous)</w:t>
            </w:r>
          </w:p>
        </w:tc>
        <w:tc>
          <w:tcPr>
            <w:tcW w:w="1276" w:type="dxa"/>
            <w:shd w:val="clear" w:color="auto" w:fill="auto"/>
          </w:tcPr>
          <w:p w14:paraId="4C5879D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12</w:t>
            </w:r>
            <w:r w:rsidRPr="007A2C85">
              <w:rPr>
                <w:rFonts w:asciiTheme="majorHAnsi" w:hAnsiTheme="majorHAnsi"/>
                <w:sz w:val="20"/>
                <w:szCs w:val="20"/>
              </w:rPr>
              <w:sym w:font="Symbol" w:char="F02D"/>
            </w:r>
            <w:r w:rsidRPr="007A2C85">
              <w:rPr>
                <w:rFonts w:asciiTheme="majorHAnsi" w:hAnsiTheme="majorHAnsi"/>
                <w:sz w:val="20"/>
                <w:szCs w:val="20"/>
              </w:rPr>
              <w:t>8.5</w:t>
            </w:r>
          </w:p>
        </w:tc>
        <w:tc>
          <w:tcPr>
            <w:tcW w:w="1984" w:type="dxa"/>
            <w:shd w:val="clear" w:color="auto" w:fill="auto"/>
          </w:tcPr>
          <w:p w14:paraId="794797E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He et al. 2011, Lamont and He 2017b</w:t>
            </w:r>
          </w:p>
        </w:tc>
      </w:tr>
      <w:tr w:rsidR="00715EA7" w:rsidRPr="007A2C85" w14:paraId="2E76BDC8" w14:textId="77777777" w:rsidTr="005B6A6B">
        <w:tc>
          <w:tcPr>
            <w:tcW w:w="1277" w:type="dxa"/>
            <w:shd w:val="clear" w:color="auto" w:fill="F2F2F2" w:themeFill="background1" w:themeFillShade="F2"/>
          </w:tcPr>
          <w:p w14:paraId="6D820D6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Salomonia</w:t>
            </w:r>
            <w:r w:rsidRPr="007A2C85">
              <w:rPr>
                <w:rFonts w:asciiTheme="majorHAnsi" w:hAnsiTheme="majorHAnsi"/>
                <w:sz w:val="20"/>
                <w:szCs w:val="20"/>
              </w:rPr>
              <w:t>, Polygalaceae</w:t>
            </w:r>
          </w:p>
        </w:tc>
        <w:tc>
          <w:tcPr>
            <w:tcW w:w="1701" w:type="dxa"/>
            <w:shd w:val="clear" w:color="auto" w:fill="F2F2F2" w:themeFill="background1" w:themeFillShade="F2"/>
          </w:tcPr>
          <w:p w14:paraId="3148868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strong seasonality, N Australia and China</w:t>
            </w:r>
          </w:p>
        </w:tc>
        <w:tc>
          <w:tcPr>
            <w:tcW w:w="1276" w:type="dxa"/>
            <w:shd w:val="clear" w:color="auto" w:fill="F2F2F2" w:themeFill="background1" w:themeFillShade="F2"/>
          </w:tcPr>
          <w:p w14:paraId="465EA52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Crown-fire-prone woodland/forest</w:t>
            </w:r>
          </w:p>
        </w:tc>
        <w:tc>
          <w:tcPr>
            <w:tcW w:w="1417" w:type="dxa"/>
            <w:shd w:val="clear" w:color="auto" w:fill="F2F2F2" w:themeFill="background1" w:themeFillShade="F2"/>
          </w:tcPr>
          <w:p w14:paraId="37F3233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Hard, dormant, soil-stored, arillate (ant-dispersed), possibly smoke-stimulated germ. </w:t>
            </w:r>
          </w:p>
        </w:tc>
        <w:tc>
          <w:tcPr>
            <w:tcW w:w="1985" w:type="dxa"/>
            <w:shd w:val="clear" w:color="auto" w:fill="F2F2F2" w:themeFill="background1" w:themeFillShade="F2"/>
          </w:tcPr>
          <w:p w14:paraId="059A982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 xml:space="preserve">Salomonia </w:t>
            </w:r>
            <w:r w:rsidRPr="007A2C85">
              <w:rPr>
                <w:rFonts w:asciiTheme="majorHAnsi" w:hAnsiTheme="majorHAnsi"/>
                <w:sz w:val="20"/>
                <w:szCs w:val="20"/>
              </w:rPr>
              <w:t xml:space="preserve">separates from </w:t>
            </w:r>
            <w:r w:rsidRPr="007A2C85">
              <w:rPr>
                <w:rFonts w:asciiTheme="majorHAnsi" w:hAnsiTheme="majorHAnsi"/>
                <w:i/>
                <w:sz w:val="20"/>
                <w:szCs w:val="20"/>
              </w:rPr>
              <w:t>Polygala</w:t>
            </w:r>
          </w:p>
        </w:tc>
        <w:tc>
          <w:tcPr>
            <w:tcW w:w="1842" w:type="dxa"/>
            <w:shd w:val="clear" w:color="auto" w:fill="F2F2F2" w:themeFill="background1" w:themeFillShade="F2"/>
          </w:tcPr>
          <w:p w14:paraId="16CABE5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Savannas, summer-wet</w:t>
            </w:r>
          </w:p>
        </w:tc>
        <w:tc>
          <w:tcPr>
            <w:tcW w:w="1560" w:type="dxa"/>
            <w:shd w:val="clear" w:color="auto" w:fill="F2F2F2" w:themeFill="background1" w:themeFillShade="F2"/>
          </w:tcPr>
          <w:p w14:paraId="7AF6059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Grassy savannas, fireprone, frequent spring fires</w:t>
            </w:r>
          </w:p>
        </w:tc>
        <w:tc>
          <w:tcPr>
            <w:tcW w:w="1984" w:type="dxa"/>
            <w:shd w:val="clear" w:color="auto" w:fill="F2F2F2" w:themeFill="background1" w:themeFillShade="F2"/>
          </w:tcPr>
          <w:p w14:paraId="4B40A1A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dormant, soil-stored, non-arillate (mammal-dispersed), non-fire-stimulated germination</w:t>
            </w:r>
          </w:p>
        </w:tc>
        <w:tc>
          <w:tcPr>
            <w:tcW w:w="1276" w:type="dxa"/>
            <w:shd w:val="clear" w:color="auto" w:fill="F2F2F2" w:themeFill="background1" w:themeFillShade="F2"/>
          </w:tcPr>
          <w:p w14:paraId="098782E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37.3</w:t>
            </w:r>
            <w:r w:rsidRPr="007A2C85">
              <w:rPr>
                <w:rFonts w:asciiTheme="majorHAnsi" w:hAnsiTheme="majorHAnsi"/>
                <w:sz w:val="20"/>
                <w:szCs w:val="20"/>
              </w:rPr>
              <w:sym w:font="Symbol" w:char="F02D"/>
            </w:r>
            <w:r w:rsidRPr="007A2C85">
              <w:rPr>
                <w:rFonts w:asciiTheme="majorHAnsi" w:hAnsiTheme="majorHAnsi"/>
                <w:sz w:val="20"/>
                <w:szCs w:val="20"/>
              </w:rPr>
              <w:t xml:space="preserve">2.7 </w:t>
            </w:r>
          </w:p>
        </w:tc>
        <w:tc>
          <w:tcPr>
            <w:tcW w:w="1984" w:type="dxa"/>
            <w:shd w:val="clear" w:color="auto" w:fill="F2F2F2" w:themeFill="background1" w:themeFillShade="F2"/>
          </w:tcPr>
          <w:p w14:paraId="2EB69B76" w14:textId="77777777" w:rsidR="00715EA7" w:rsidRPr="007A2C85" w:rsidRDefault="00715EA7" w:rsidP="005B6A6B">
            <w:pPr>
              <w:ind w:left="-57" w:right="-57"/>
              <w:rPr>
                <w:rFonts w:asciiTheme="majorHAnsi" w:hAnsiTheme="majorHAnsi"/>
                <w:sz w:val="20"/>
                <w:szCs w:val="20"/>
                <w:lang w:val="es-ES"/>
              </w:rPr>
            </w:pPr>
            <w:r w:rsidRPr="007A2C85">
              <w:rPr>
                <w:rFonts w:asciiTheme="majorHAnsi" w:eastAsia="Times New Roman" w:hAnsiTheme="majorHAnsi"/>
                <w:sz w:val="20"/>
                <w:szCs w:val="20"/>
              </w:rPr>
              <w:t xml:space="preserve">Pastore et al 2019, </w:t>
            </w:r>
            <w:r w:rsidRPr="007A2C85">
              <w:rPr>
                <w:rFonts w:asciiTheme="majorHAnsi" w:hAnsiTheme="majorHAnsi"/>
                <w:sz w:val="20"/>
                <w:szCs w:val="20"/>
              </w:rPr>
              <w:t>Forest et al. 2007</w:t>
            </w:r>
          </w:p>
        </w:tc>
      </w:tr>
      <w:tr w:rsidR="00715EA7" w:rsidRPr="007A2C85" w14:paraId="47B7D153" w14:textId="77777777" w:rsidTr="005B6A6B">
        <w:tc>
          <w:tcPr>
            <w:tcW w:w="1277" w:type="dxa"/>
            <w:shd w:val="clear" w:color="auto" w:fill="auto"/>
          </w:tcPr>
          <w:p w14:paraId="1C5B792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Proteaceae, </w:t>
            </w:r>
            <w:r w:rsidRPr="007A2C85">
              <w:rPr>
                <w:rFonts w:asciiTheme="majorHAnsi" w:hAnsiTheme="majorHAnsi"/>
                <w:i/>
                <w:sz w:val="20"/>
                <w:szCs w:val="20"/>
              </w:rPr>
              <w:t>Protea</w:t>
            </w:r>
          </w:p>
        </w:tc>
        <w:tc>
          <w:tcPr>
            <w:tcW w:w="1701" w:type="dxa"/>
            <w:shd w:val="clear" w:color="auto" w:fill="auto"/>
          </w:tcPr>
          <w:p w14:paraId="7C446CD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Mediterrnanean climate, summer-dry, N and NE Cape, S Africa</w:t>
            </w:r>
          </w:p>
        </w:tc>
        <w:tc>
          <w:tcPr>
            <w:tcW w:w="1276" w:type="dxa"/>
            <w:shd w:val="clear" w:color="auto" w:fill="auto"/>
          </w:tcPr>
          <w:p w14:paraId="680F73F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fire intervals</w:t>
            </w:r>
          </w:p>
        </w:tc>
        <w:tc>
          <w:tcPr>
            <w:tcW w:w="1417" w:type="dxa"/>
            <w:shd w:val="clear" w:color="auto" w:fill="auto"/>
          </w:tcPr>
          <w:p w14:paraId="33E126F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Enforced dormancy (serotinous), heat released</w:t>
            </w:r>
          </w:p>
        </w:tc>
        <w:tc>
          <w:tcPr>
            <w:tcW w:w="1985" w:type="dxa"/>
            <w:shd w:val="clear" w:color="auto" w:fill="auto"/>
          </w:tcPr>
          <w:p w14:paraId="5F9FE5AF"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 xml:space="preserve">Grassland proteas, eg, </w:t>
            </w:r>
            <w:r w:rsidRPr="007A2C85">
              <w:rPr>
                <w:rFonts w:asciiTheme="majorHAnsi" w:hAnsiTheme="majorHAnsi"/>
                <w:i/>
                <w:sz w:val="20"/>
                <w:szCs w:val="20"/>
              </w:rPr>
              <w:t>Protea rubropilosa</w:t>
            </w:r>
          </w:p>
        </w:tc>
        <w:tc>
          <w:tcPr>
            <w:tcW w:w="1842" w:type="dxa"/>
          </w:tcPr>
          <w:p w14:paraId="143B474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Savanna climates, summer wet, frequent fires</w:t>
            </w:r>
          </w:p>
        </w:tc>
        <w:tc>
          <w:tcPr>
            <w:tcW w:w="1560" w:type="dxa"/>
            <w:shd w:val="clear" w:color="auto" w:fill="auto"/>
          </w:tcPr>
          <w:p w14:paraId="4129A34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Savanna grasslands</w:t>
            </w:r>
          </w:p>
        </w:tc>
        <w:tc>
          <w:tcPr>
            <w:tcW w:w="1984" w:type="dxa"/>
            <w:shd w:val="clear" w:color="auto" w:fill="auto"/>
          </w:tcPr>
          <w:p w14:paraId="75693DF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Non-dormant (non-serotinous)</w:t>
            </w:r>
          </w:p>
        </w:tc>
        <w:tc>
          <w:tcPr>
            <w:tcW w:w="1276" w:type="dxa"/>
            <w:shd w:val="clear" w:color="auto" w:fill="auto"/>
          </w:tcPr>
          <w:p w14:paraId="617A496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13</w:t>
            </w:r>
            <w:r w:rsidRPr="007A2C85">
              <w:rPr>
                <w:rFonts w:asciiTheme="majorHAnsi" w:hAnsiTheme="majorHAnsi"/>
                <w:sz w:val="20"/>
                <w:szCs w:val="20"/>
              </w:rPr>
              <w:sym w:font="Symbol" w:char="F02D"/>
            </w:r>
            <w:r w:rsidRPr="007A2C85">
              <w:rPr>
                <w:rFonts w:asciiTheme="majorHAnsi" w:hAnsiTheme="majorHAnsi"/>
                <w:sz w:val="20"/>
                <w:szCs w:val="20"/>
              </w:rPr>
              <w:t>7, 4</w:t>
            </w:r>
            <w:r w:rsidRPr="007A2C85">
              <w:rPr>
                <w:rFonts w:asciiTheme="majorHAnsi" w:hAnsiTheme="majorHAnsi"/>
                <w:sz w:val="20"/>
                <w:szCs w:val="20"/>
              </w:rPr>
              <w:sym w:font="Symbol" w:char="F02D"/>
            </w:r>
            <w:r w:rsidRPr="007A2C85">
              <w:rPr>
                <w:rFonts w:asciiTheme="majorHAnsi" w:hAnsiTheme="majorHAnsi"/>
                <w:sz w:val="20"/>
                <w:szCs w:val="20"/>
              </w:rPr>
              <w:t>2</w:t>
            </w:r>
          </w:p>
        </w:tc>
        <w:tc>
          <w:tcPr>
            <w:tcW w:w="1984" w:type="dxa"/>
            <w:shd w:val="clear" w:color="auto" w:fill="auto"/>
          </w:tcPr>
          <w:p w14:paraId="2B5DC769" w14:textId="77777777" w:rsidR="00715EA7" w:rsidRPr="007A2C85" w:rsidRDefault="00715EA7" w:rsidP="005B6A6B">
            <w:pPr>
              <w:ind w:left="-57" w:right="-57"/>
              <w:rPr>
                <w:rFonts w:asciiTheme="majorHAnsi" w:hAnsiTheme="majorHAnsi"/>
                <w:sz w:val="20"/>
                <w:szCs w:val="20"/>
                <w:lang w:val="es-ES"/>
              </w:rPr>
            </w:pPr>
            <w:r w:rsidRPr="007A2C85">
              <w:rPr>
                <w:rFonts w:asciiTheme="majorHAnsi" w:hAnsiTheme="majorHAnsi"/>
                <w:sz w:val="20"/>
                <w:szCs w:val="20"/>
              </w:rPr>
              <w:t>Lamont, He and Downes 2013, Lamont, He and Pausas 2017</w:t>
            </w:r>
          </w:p>
        </w:tc>
      </w:tr>
      <w:tr w:rsidR="00715EA7" w:rsidRPr="007A2C85" w14:paraId="49956BAE" w14:textId="77777777" w:rsidTr="005B6A6B">
        <w:tc>
          <w:tcPr>
            <w:tcW w:w="1277" w:type="dxa"/>
            <w:shd w:val="clear" w:color="auto" w:fill="F2F2F2" w:themeFill="background1" w:themeFillShade="F2"/>
          </w:tcPr>
          <w:p w14:paraId="71E6303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Lupinus</w:t>
            </w:r>
          </w:p>
        </w:tc>
        <w:tc>
          <w:tcPr>
            <w:tcW w:w="1701" w:type="dxa"/>
            <w:shd w:val="clear" w:color="auto" w:fill="F2F2F2" w:themeFill="background1" w:themeFillShade="F2"/>
          </w:tcPr>
          <w:p w14:paraId="26D5CB9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seasonality, SE USA Florida</w:t>
            </w:r>
          </w:p>
        </w:tc>
        <w:tc>
          <w:tcPr>
            <w:tcW w:w="1276" w:type="dxa"/>
            <w:shd w:val="clear" w:color="auto" w:fill="F2F2F2" w:themeFill="background1" w:themeFillShade="F2"/>
          </w:tcPr>
          <w:p w14:paraId="72F0062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Woodland, moderately fireprone</w:t>
            </w:r>
          </w:p>
        </w:tc>
        <w:tc>
          <w:tcPr>
            <w:tcW w:w="1417" w:type="dxa"/>
            <w:shd w:val="clear" w:color="auto" w:fill="F2F2F2" w:themeFill="background1" w:themeFillShade="F2"/>
          </w:tcPr>
          <w:p w14:paraId="7D288C4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testa, dormancy heat-released</w:t>
            </w:r>
          </w:p>
        </w:tc>
        <w:tc>
          <w:tcPr>
            <w:tcW w:w="1985" w:type="dxa"/>
            <w:shd w:val="clear" w:color="auto" w:fill="F2F2F2" w:themeFill="background1" w:themeFillShade="F2"/>
          </w:tcPr>
          <w:p w14:paraId="179BAF0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Advanced lupins:</w:t>
            </w:r>
            <w:r w:rsidRPr="007A2C85">
              <w:rPr>
                <w:rFonts w:asciiTheme="majorHAnsi" w:hAnsiTheme="majorHAnsi"/>
                <w:i/>
                <w:sz w:val="20"/>
                <w:szCs w:val="20"/>
              </w:rPr>
              <w:t xml:space="preserve"> L. diffusus</w:t>
            </w:r>
            <w:r w:rsidRPr="007A2C85">
              <w:rPr>
                <w:rFonts w:asciiTheme="majorHAnsi" w:hAnsiTheme="majorHAnsi"/>
                <w:sz w:val="20"/>
                <w:szCs w:val="20"/>
              </w:rPr>
              <w:t xml:space="preserve"> (syn. </w:t>
            </w:r>
            <w:r w:rsidRPr="007A2C85">
              <w:rPr>
                <w:rFonts w:asciiTheme="majorHAnsi" w:hAnsiTheme="majorHAnsi"/>
                <w:i/>
                <w:sz w:val="20"/>
                <w:szCs w:val="20"/>
              </w:rPr>
              <w:t>L.</w:t>
            </w:r>
            <w:r w:rsidRPr="007A2C85">
              <w:rPr>
                <w:rFonts w:asciiTheme="majorHAnsi" w:hAnsiTheme="majorHAnsi"/>
                <w:sz w:val="20"/>
                <w:szCs w:val="20"/>
              </w:rPr>
              <w:t xml:space="preserve"> </w:t>
            </w:r>
            <w:r w:rsidRPr="007A2C85">
              <w:rPr>
                <w:rFonts w:asciiTheme="majorHAnsi" w:hAnsiTheme="majorHAnsi"/>
                <w:i/>
                <w:sz w:val="20"/>
                <w:szCs w:val="20"/>
              </w:rPr>
              <w:t>cumulicolus)</w:t>
            </w:r>
          </w:p>
        </w:tc>
        <w:tc>
          <w:tcPr>
            <w:tcW w:w="1842" w:type="dxa"/>
            <w:shd w:val="clear" w:color="auto" w:fill="F2F2F2" w:themeFill="background1" w:themeFillShade="F2"/>
          </w:tcPr>
          <w:p w14:paraId="4A95A06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Savanna climates, summer wet, frequent fires</w:t>
            </w:r>
          </w:p>
        </w:tc>
        <w:tc>
          <w:tcPr>
            <w:tcW w:w="1560" w:type="dxa"/>
            <w:shd w:val="clear" w:color="auto" w:fill="F2F2F2" w:themeFill="background1" w:themeFillShade="F2"/>
          </w:tcPr>
          <w:p w14:paraId="6936ECC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Savanna pine woodland, frequent fire,</w:t>
            </w:r>
          </w:p>
        </w:tc>
        <w:tc>
          <w:tcPr>
            <w:tcW w:w="1984" w:type="dxa"/>
            <w:shd w:val="clear" w:color="auto" w:fill="F2F2F2" w:themeFill="background1" w:themeFillShade="F2"/>
          </w:tcPr>
          <w:p w14:paraId="7B27517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testa, killed at 90°C, dormancy only released by scarification</w:t>
            </w:r>
          </w:p>
        </w:tc>
        <w:tc>
          <w:tcPr>
            <w:tcW w:w="1276" w:type="dxa"/>
            <w:shd w:val="clear" w:color="auto" w:fill="F2F2F2" w:themeFill="background1" w:themeFillShade="F2"/>
          </w:tcPr>
          <w:p w14:paraId="2E6CDF4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300,000 y</w:t>
            </w:r>
          </w:p>
        </w:tc>
        <w:tc>
          <w:tcPr>
            <w:tcW w:w="1984" w:type="dxa"/>
            <w:shd w:val="clear" w:color="auto" w:fill="F2F2F2" w:themeFill="background1" w:themeFillShade="F2"/>
          </w:tcPr>
          <w:p w14:paraId="21BF7919" w14:textId="77777777" w:rsidR="00715EA7" w:rsidRPr="007A2C85" w:rsidRDefault="00715EA7" w:rsidP="005B6A6B">
            <w:pPr>
              <w:ind w:left="-57" w:right="-57"/>
              <w:rPr>
                <w:rFonts w:asciiTheme="majorHAnsi" w:hAnsiTheme="majorHAnsi"/>
                <w:sz w:val="20"/>
                <w:szCs w:val="20"/>
              </w:rPr>
            </w:pPr>
            <w:r w:rsidRPr="007A2C85">
              <w:rPr>
                <w:rFonts w:asciiTheme="majorHAnsi" w:eastAsia="Times New Roman" w:hAnsiTheme="majorHAnsi"/>
                <w:sz w:val="20"/>
                <w:szCs w:val="20"/>
              </w:rPr>
              <w:t>Eastwood et al. 2009, Campbell-Martínez et al. 2019, Pausas &amp; Lamont 2021</w:t>
            </w:r>
          </w:p>
        </w:tc>
      </w:tr>
      <w:tr w:rsidR="00715EA7" w:rsidRPr="007A2C85" w14:paraId="549E00BF" w14:textId="77777777" w:rsidTr="005B6A6B">
        <w:tc>
          <w:tcPr>
            <w:tcW w:w="1277" w:type="dxa"/>
            <w:tcBorders>
              <w:bottom w:val="single" w:sz="4" w:space="0" w:color="auto"/>
            </w:tcBorders>
            <w:shd w:val="clear" w:color="auto" w:fill="auto"/>
          </w:tcPr>
          <w:p w14:paraId="0450C38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Andropogoneae, Panicoideae, Poaceae</w:t>
            </w:r>
          </w:p>
        </w:tc>
        <w:tc>
          <w:tcPr>
            <w:tcW w:w="1701" w:type="dxa"/>
            <w:tcBorders>
              <w:bottom w:val="single" w:sz="4" w:space="0" w:color="auto"/>
            </w:tcBorders>
            <w:shd w:val="clear" w:color="auto" w:fill="auto"/>
          </w:tcPr>
          <w:p w14:paraId="29692F2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seasonality, summer-wet, C4 grasslands throughout the world</w:t>
            </w:r>
          </w:p>
        </w:tc>
        <w:tc>
          <w:tcPr>
            <w:tcW w:w="1276" w:type="dxa"/>
            <w:tcBorders>
              <w:bottom w:val="single" w:sz="4" w:space="0" w:color="auto"/>
            </w:tcBorders>
            <w:shd w:val="clear" w:color="auto" w:fill="auto"/>
          </w:tcPr>
          <w:p w14:paraId="4342348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C4 grasslands moderately fireprone </w:t>
            </w:r>
          </w:p>
        </w:tc>
        <w:tc>
          <w:tcPr>
            <w:tcW w:w="1417" w:type="dxa"/>
            <w:tcBorders>
              <w:bottom w:val="single" w:sz="4" w:space="0" w:color="auto"/>
            </w:tcBorders>
            <w:shd w:val="clear" w:color="auto" w:fill="auto"/>
          </w:tcPr>
          <w:p w14:paraId="5DE6A8B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Dormant, with smoke sensitivity for breaking dormancy</w:t>
            </w:r>
          </w:p>
        </w:tc>
        <w:tc>
          <w:tcPr>
            <w:tcW w:w="1985" w:type="dxa"/>
            <w:tcBorders>
              <w:bottom w:val="single" w:sz="4" w:space="0" w:color="auto"/>
            </w:tcBorders>
            <w:shd w:val="clear" w:color="auto" w:fill="auto"/>
          </w:tcPr>
          <w:p w14:paraId="74E4383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Such genera as </w:t>
            </w:r>
            <w:r w:rsidRPr="007A2C85">
              <w:rPr>
                <w:rFonts w:asciiTheme="majorHAnsi" w:hAnsiTheme="majorHAnsi"/>
                <w:i/>
                <w:sz w:val="20"/>
                <w:szCs w:val="20"/>
              </w:rPr>
              <w:t>Cymbopogon</w:t>
            </w:r>
            <w:r w:rsidRPr="007A2C85">
              <w:rPr>
                <w:rFonts w:asciiTheme="majorHAnsi" w:hAnsiTheme="majorHAnsi"/>
                <w:sz w:val="20"/>
                <w:szCs w:val="20"/>
              </w:rPr>
              <w:t xml:space="preserve">, </w:t>
            </w:r>
            <w:r w:rsidRPr="007A2C85">
              <w:rPr>
                <w:rFonts w:asciiTheme="majorHAnsi" w:hAnsiTheme="majorHAnsi"/>
                <w:i/>
                <w:sz w:val="20"/>
                <w:szCs w:val="20"/>
              </w:rPr>
              <w:t>Andropogon</w:t>
            </w:r>
            <w:r w:rsidRPr="007A2C85">
              <w:rPr>
                <w:rFonts w:asciiTheme="majorHAnsi" w:hAnsiTheme="majorHAnsi"/>
                <w:sz w:val="20"/>
                <w:szCs w:val="20"/>
              </w:rPr>
              <w:t xml:space="preserve"> and other more advanced lineages lose smoke sensitivity</w:t>
            </w:r>
          </w:p>
        </w:tc>
        <w:tc>
          <w:tcPr>
            <w:tcW w:w="1842" w:type="dxa"/>
            <w:tcBorders>
              <w:bottom w:val="single" w:sz="4" w:space="0" w:color="auto"/>
            </w:tcBorders>
          </w:tcPr>
          <w:p w14:paraId="724E9DB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Savanna climates, summer wet, increasing frequency of surface fires (&lt; 5-y intervals</w:t>
            </w:r>
          </w:p>
        </w:tc>
        <w:tc>
          <w:tcPr>
            <w:tcW w:w="1560" w:type="dxa"/>
            <w:tcBorders>
              <w:bottom w:val="single" w:sz="4" w:space="0" w:color="auto"/>
            </w:tcBorders>
            <w:shd w:val="clear" w:color="auto" w:fill="auto"/>
          </w:tcPr>
          <w:p w14:paraId="4D04F3E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eg, 50% of C4 spp in eucalypt forest are smoke-sensitive, but 25% in frequently burnt grasslands </w:t>
            </w:r>
          </w:p>
        </w:tc>
        <w:tc>
          <w:tcPr>
            <w:tcW w:w="1984" w:type="dxa"/>
            <w:tcBorders>
              <w:bottom w:val="single" w:sz="4" w:space="0" w:color="auto"/>
            </w:tcBorders>
            <w:shd w:val="clear" w:color="auto" w:fill="auto"/>
          </w:tcPr>
          <w:p w14:paraId="520DEC5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Dormant with loss of smoke sensitivity (some other process breaks dormancy), or non-dormant</w:t>
            </w:r>
          </w:p>
        </w:tc>
        <w:tc>
          <w:tcPr>
            <w:tcW w:w="1276" w:type="dxa"/>
            <w:tcBorders>
              <w:bottom w:val="single" w:sz="4" w:space="0" w:color="auto"/>
            </w:tcBorders>
            <w:shd w:val="clear" w:color="auto" w:fill="auto"/>
          </w:tcPr>
          <w:p w14:paraId="7B2F9B8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22</w:t>
            </w:r>
            <w:r w:rsidRPr="007A2C85">
              <w:rPr>
                <w:rFonts w:asciiTheme="majorHAnsi" w:hAnsiTheme="majorHAnsi"/>
                <w:sz w:val="20"/>
                <w:szCs w:val="20"/>
              </w:rPr>
              <w:sym w:font="Symbol" w:char="F02D"/>
            </w:r>
            <w:r w:rsidRPr="007A2C85">
              <w:rPr>
                <w:rFonts w:asciiTheme="majorHAnsi" w:hAnsiTheme="majorHAnsi"/>
                <w:sz w:val="20"/>
                <w:szCs w:val="20"/>
              </w:rPr>
              <w:t>17 (no ancestral trait assignments so most likely dates and relations unclear)</w:t>
            </w:r>
          </w:p>
        </w:tc>
        <w:tc>
          <w:tcPr>
            <w:tcW w:w="1984" w:type="dxa"/>
            <w:tcBorders>
              <w:bottom w:val="single" w:sz="4" w:space="0" w:color="auto"/>
            </w:tcBorders>
            <w:shd w:val="clear" w:color="auto" w:fill="auto"/>
          </w:tcPr>
          <w:p w14:paraId="6C6E0AB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Edwards et al. 2010, Lamont et al. 2019b, </w:t>
            </w:r>
            <w:r w:rsidRPr="007A2C85">
              <w:rPr>
                <w:rFonts w:asciiTheme="majorHAnsi" w:eastAsia="Times New Roman" w:hAnsiTheme="majorHAnsi"/>
                <w:sz w:val="20"/>
                <w:szCs w:val="20"/>
              </w:rPr>
              <w:t>Pausas &amp; Lamont 2022b</w:t>
            </w:r>
          </w:p>
        </w:tc>
      </w:tr>
      <w:tr w:rsidR="00715EA7" w:rsidRPr="007A2C85" w14:paraId="3730377C" w14:textId="77777777" w:rsidTr="005B6A6B">
        <w:tc>
          <w:tcPr>
            <w:tcW w:w="16302" w:type="dxa"/>
            <w:gridSpan w:val="10"/>
            <w:tcBorders>
              <w:top w:val="single" w:sz="4" w:space="0" w:color="auto"/>
              <w:bottom w:val="single" w:sz="4" w:space="0" w:color="auto"/>
            </w:tcBorders>
            <w:shd w:val="clear" w:color="auto" w:fill="FBE4D5" w:themeFill="accent2" w:themeFillTint="33"/>
          </w:tcPr>
          <w:p w14:paraId="4C8F7960" w14:textId="77777777" w:rsidR="00715EA7" w:rsidRPr="007A2C85" w:rsidRDefault="00715EA7" w:rsidP="005B6A6B">
            <w:pPr>
              <w:spacing w:before="120" w:after="120"/>
              <w:ind w:left="-57" w:right="-57"/>
              <w:rPr>
                <w:rFonts w:asciiTheme="majorHAnsi" w:hAnsiTheme="majorHAnsi"/>
                <w:sz w:val="20"/>
                <w:szCs w:val="20"/>
              </w:rPr>
            </w:pPr>
            <w:r w:rsidRPr="007A2C85">
              <w:rPr>
                <w:rFonts w:asciiTheme="majorHAnsi" w:hAnsiTheme="majorHAnsi"/>
                <w:b/>
                <w:sz w:val="20"/>
                <w:szCs w:val="20"/>
              </w:rPr>
              <w:t>Pathway 2B. Migration from moderately burnt (crown-fire) habitat to non-fireprone habitat (loss of fire-related trait)</w:t>
            </w:r>
          </w:p>
        </w:tc>
      </w:tr>
      <w:tr w:rsidR="00715EA7" w:rsidRPr="007A2C85" w14:paraId="73E9DD3A" w14:textId="77777777" w:rsidTr="005B6A6B">
        <w:tc>
          <w:tcPr>
            <w:tcW w:w="1277" w:type="dxa"/>
            <w:tcBorders>
              <w:top w:val="single" w:sz="4" w:space="0" w:color="auto"/>
            </w:tcBorders>
            <w:shd w:val="clear" w:color="auto" w:fill="auto"/>
          </w:tcPr>
          <w:p w14:paraId="4FCD613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Fabaceae, </w:t>
            </w:r>
            <w:r w:rsidRPr="007A2C85">
              <w:rPr>
                <w:rFonts w:asciiTheme="majorHAnsi" w:hAnsiTheme="majorHAnsi"/>
                <w:i/>
                <w:sz w:val="20"/>
                <w:szCs w:val="20"/>
              </w:rPr>
              <w:t>Acacia</w:t>
            </w:r>
          </w:p>
        </w:tc>
        <w:tc>
          <w:tcPr>
            <w:tcW w:w="1701" w:type="dxa"/>
            <w:tcBorders>
              <w:top w:val="single" w:sz="4" w:space="0" w:color="auto"/>
            </w:tcBorders>
            <w:shd w:val="clear" w:color="auto" w:fill="auto"/>
          </w:tcPr>
          <w:p w14:paraId="15168A2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minor seasonality, summer-wet?, Central Australia</w:t>
            </w:r>
          </w:p>
        </w:tc>
        <w:tc>
          <w:tcPr>
            <w:tcW w:w="1276" w:type="dxa"/>
            <w:tcBorders>
              <w:top w:val="single" w:sz="4" w:space="0" w:color="auto"/>
            </w:tcBorders>
            <w:shd w:val="clear" w:color="auto" w:fill="auto"/>
          </w:tcPr>
          <w:p w14:paraId="1CBE4BC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Sclerophyll shrubland to wet forest, strongly fireprone</w:t>
            </w:r>
          </w:p>
        </w:tc>
        <w:tc>
          <w:tcPr>
            <w:tcW w:w="1417" w:type="dxa"/>
            <w:tcBorders>
              <w:top w:val="single" w:sz="4" w:space="0" w:color="auto"/>
            </w:tcBorders>
            <w:shd w:val="clear" w:color="auto" w:fill="auto"/>
          </w:tcPr>
          <w:p w14:paraId="4B6E4D8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seeds, heat-released dormancy, arillate (ant-dispersed)</w:t>
            </w:r>
          </w:p>
        </w:tc>
        <w:tc>
          <w:tcPr>
            <w:tcW w:w="1985" w:type="dxa"/>
            <w:tcBorders>
              <w:top w:val="single" w:sz="4" w:space="0" w:color="auto"/>
            </w:tcBorders>
            <w:shd w:val="clear" w:color="auto" w:fill="auto"/>
          </w:tcPr>
          <w:p w14:paraId="61A07F38"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i/>
                <w:sz w:val="20"/>
                <w:szCs w:val="20"/>
              </w:rPr>
              <w:t>Acacia</w:t>
            </w:r>
            <w:r w:rsidRPr="007A2C85">
              <w:rPr>
                <w:rFonts w:asciiTheme="majorHAnsi" w:hAnsiTheme="majorHAnsi"/>
                <w:sz w:val="20"/>
                <w:szCs w:val="20"/>
              </w:rPr>
              <w:t xml:space="preserve"> (8 or so spp), eg, </w:t>
            </w:r>
            <w:r w:rsidRPr="007A2C85">
              <w:rPr>
                <w:rFonts w:asciiTheme="majorHAnsi" w:hAnsiTheme="majorHAnsi"/>
                <w:i/>
                <w:sz w:val="20"/>
                <w:szCs w:val="20"/>
              </w:rPr>
              <w:t xml:space="preserve">A. oswaldii </w:t>
            </w:r>
          </w:p>
        </w:tc>
        <w:tc>
          <w:tcPr>
            <w:tcW w:w="1842" w:type="dxa"/>
            <w:tcBorders>
              <w:top w:val="single" w:sz="4" w:space="0" w:color="auto"/>
            </w:tcBorders>
          </w:tcPr>
          <w:p w14:paraId="653D5F0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Semi-arid, desert shrublands, minor seasonality, summer rain </w:t>
            </w:r>
          </w:p>
        </w:tc>
        <w:tc>
          <w:tcPr>
            <w:tcW w:w="1560" w:type="dxa"/>
            <w:tcBorders>
              <w:top w:val="single" w:sz="4" w:space="0" w:color="auto"/>
            </w:tcBorders>
            <w:shd w:val="clear" w:color="auto" w:fill="auto"/>
          </w:tcPr>
          <w:p w14:paraId="7E72BD7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non-fireprone or rarely burnt </w:t>
            </w:r>
          </w:p>
        </w:tc>
        <w:tc>
          <w:tcPr>
            <w:tcW w:w="1984" w:type="dxa"/>
            <w:tcBorders>
              <w:top w:val="single" w:sz="4" w:space="0" w:color="auto"/>
            </w:tcBorders>
            <w:shd w:val="clear" w:color="auto" w:fill="auto"/>
          </w:tcPr>
          <w:p w14:paraId="12DC8EF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Soft seeds, non-arillate</w:t>
            </w:r>
          </w:p>
        </w:tc>
        <w:tc>
          <w:tcPr>
            <w:tcW w:w="1276" w:type="dxa"/>
            <w:tcBorders>
              <w:top w:val="single" w:sz="4" w:space="0" w:color="auto"/>
            </w:tcBorders>
            <w:shd w:val="clear" w:color="auto" w:fill="auto"/>
          </w:tcPr>
          <w:p w14:paraId="3264C3A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6.4</w:t>
            </w:r>
            <w:r w:rsidRPr="007A2C85">
              <w:rPr>
                <w:rFonts w:asciiTheme="majorHAnsi" w:hAnsiTheme="majorHAnsi"/>
                <w:sz w:val="20"/>
                <w:szCs w:val="20"/>
              </w:rPr>
              <w:sym w:font="Symbol" w:char="F02D"/>
            </w:r>
            <w:r w:rsidRPr="007A2C85">
              <w:rPr>
                <w:rFonts w:asciiTheme="majorHAnsi" w:hAnsiTheme="majorHAnsi"/>
                <w:sz w:val="20"/>
                <w:szCs w:val="20"/>
              </w:rPr>
              <w:t>4.9 (</w:t>
            </w:r>
            <w:r w:rsidRPr="007A2C85">
              <w:rPr>
                <w:rFonts w:asciiTheme="majorHAnsi" w:hAnsiTheme="majorHAnsi"/>
                <w:i/>
                <w:sz w:val="20"/>
                <w:szCs w:val="20"/>
              </w:rPr>
              <w:t>Acacia oswaldii</w:t>
            </w:r>
            <w:r w:rsidRPr="007A2C85">
              <w:rPr>
                <w:rFonts w:asciiTheme="majorHAnsi" w:hAnsiTheme="majorHAnsi"/>
                <w:sz w:val="20"/>
                <w:szCs w:val="20"/>
              </w:rPr>
              <w:t xml:space="preserve"> lineage)</w:t>
            </w:r>
          </w:p>
        </w:tc>
        <w:tc>
          <w:tcPr>
            <w:tcW w:w="1984" w:type="dxa"/>
            <w:tcBorders>
              <w:top w:val="single" w:sz="4" w:space="0" w:color="auto"/>
            </w:tcBorders>
            <w:shd w:val="clear" w:color="auto" w:fill="auto"/>
          </w:tcPr>
          <w:p w14:paraId="5EB2295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O’Dowd &amp; Gill 1986, Miller et al. 2013, Murphy et al. 2010, Burrows et al. 2018</w:t>
            </w:r>
          </w:p>
        </w:tc>
      </w:tr>
      <w:tr w:rsidR="00715EA7" w:rsidRPr="007A2C85" w14:paraId="6340E99D" w14:textId="77777777" w:rsidTr="005B6A6B">
        <w:tc>
          <w:tcPr>
            <w:tcW w:w="1277" w:type="dxa"/>
            <w:shd w:val="clear" w:color="auto" w:fill="F2F2F2" w:themeFill="background1" w:themeFillShade="F2"/>
          </w:tcPr>
          <w:p w14:paraId="6DD8F15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Pinus</w:t>
            </w:r>
            <w:r w:rsidRPr="007A2C85">
              <w:rPr>
                <w:rFonts w:asciiTheme="majorHAnsi" w:hAnsiTheme="majorHAnsi"/>
                <w:sz w:val="20"/>
                <w:szCs w:val="20"/>
              </w:rPr>
              <w:t xml:space="preserve">, subgenus </w:t>
            </w:r>
            <w:r w:rsidRPr="007A2C85">
              <w:rPr>
                <w:rFonts w:asciiTheme="majorHAnsi" w:hAnsiTheme="majorHAnsi"/>
                <w:i/>
                <w:sz w:val="20"/>
                <w:szCs w:val="20"/>
              </w:rPr>
              <w:t>Pinus</w:t>
            </w:r>
          </w:p>
        </w:tc>
        <w:tc>
          <w:tcPr>
            <w:tcW w:w="1701" w:type="dxa"/>
            <w:shd w:val="clear" w:color="auto" w:fill="F2F2F2" w:themeFill="background1" w:themeFillShade="F2"/>
          </w:tcPr>
          <w:p w14:paraId="36B0107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warm, N Hemisphere</w:t>
            </w:r>
          </w:p>
        </w:tc>
        <w:tc>
          <w:tcPr>
            <w:tcW w:w="1276" w:type="dxa"/>
            <w:shd w:val="clear" w:color="auto" w:fill="F2F2F2" w:themeFill="background1" w:themeFillShade="F2"/>
          </w:tcPr>
          <w:p w14:paraId="1B7582E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Dense forest with intense (crown) fires, </w:t>
            </w:r>
          </w:p>
        </w:tc>
        <w:tc>
          <w:tcPr>
            <w:tcW w:w="1417" w:type="dxa"/>
            <w:shd w:val="clear" w:color="auto" w:fill="F2F2F2" w:themeFill="background1" w:themeFillShade="F2"/>
          </w:tcPr>
          <w:p w14:paraId="062C66B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Serotinous cones, wind-dispersed, enforced dormancy</w:t>
            </w:r>
          </w:p>
        </w:tc>
        <w:tc>
          <w:tcPr>
            <w:tcW w:w="1985" w:type="dxa"/>
            <w:shd w:val="clear" w:color="auto" w:fill="F2F2F2" w:themeFill="background1" w:themeFillShade="F2"/>
          </w:tcPr>
          <w:p w14:paraId="706D18D3"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 xml:space="preserve">9 terminal species/lineages in subgenus </w:t>
            </w:r>
            <w:r w:rsidRPr="007A2C85">
              <w:rPr>
                <w:rFonts w:asciiTheme="majorHAnsi" w:hAnsiTheme="majorHAnsi"/>
                <w:i/>
                <w:sz w:val="20"/>
                <w:szCs w:val="20"/>
              </w:rPr>
              <w:t>Pinus</w:t>
            </w:r>
          </w:p>
        </w:tc>
        <w:tc>
          <w:tcPr>
            <w:tcW w:w="1842" w:type="dxa"/>
            <w:shd w:val="clear" w:color="auto" w:fill="F2F2F2" w:themeFill="background1" w:themeFillShade="F2"/>
          </w:tcPr>
          <w:p w14:paraId="245E462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cool-cold in mountains and other uplands</w:t>
            </w:r>
          </w:p>
        </w:tc>
        <w:tc>
          <w:tcPr>
            <w:tcW w:w="1560" w:type="dxa"/>
            <w:shd w:val="clear" w:color="auto" w:fill="F2F2F2" w:themeFill="background1" w:themeFillShade="F2"/>
          </w:tcPr>
          <w:p w14:paraId="4FB5DE1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Non-fireprone, subalpine woodland</w:t>
            </w:r>
          </w:p>
        </w:tc>
        <w:tc>
          <w:tcPr>
            <w:tcW w:w="1984" w:type="dxa"/>
            <w:shd w:val="clear" w:color="auto" w:fill="F2F2F2" w:themeFill="background1" w:themeFillShade="F2"/>
          </w:tcPr>
          <w:p w14:paraId="0F15303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Nonserotinous cones, nondormant, wind-dispersed</w:t>
            </w:r>
          </w:p>
        </w:tc>
        <w:tc>
          <w:tcPr>
            <w:tcW w:w="1276" w:type="dxa"/>
            <w:shd w:val="clear" w:color="auto" w:fill="F2F2F2" w:themeFill="background1" w:themeFillShade="F2"/>
          </w:tcPr>
          <w:p w14:paraId="3AE728A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41</w:t>
            </w:r>
            <w:r w:rsidRPr="007A2C85">
              <w:rPr>
                <w:rFonts w:asciiTheme="majorHAnsi" w:hAnsiTheme="majorHAnsi"/>
                <w:sz w:val="20"/>
                <w:szCs w:val="20"/>
              </w:rPr>
              <w:sym w:font="Symbol" w:char="F02D"/>
            </w:r>
            <w:r w:rsidRPr="007A2C85">
              <w:rPr>
                <w:rFonts w:asciiTheme="majorHAnsi" w:hAnsiTheme="majorHAnsi"/>
                <w:sz w:val="20"/>
                <w:szCs w:val="20"/>
              </w:rPr>
              <w:t>1</w:t>
            </w:r>
          </w:p>
        </w:tc>
        <w:tc>
          <w:tcPr>
            <w:tcW w:w="1984" w:type="dxa"/>
            <w:shd w:val="clear" w:color="auto" w:fill="F2F2F2" w:themeFill="background1" w:themeFillShade="F2"/>
          </w:tcPr>
          <w:p w14:paraId="510FB93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He et al. 2012</w:t>
            </w:r>
          </w:p>
        </w:tc>
      </w:tr>
      <w:tr w:rsidR="00715EA7" w:rsidRPr="007A2C85" w14:paraId="56303D87" w14:textId="77777777" w:rsidTr="005B6A6B">
        <w:tc>
          <w:tcPr>
            <w:tcW w:w="1277" w:type="dxa"/>
            <w:shd w:val="clear" w:color="auto" w:fill="auto"/>
          </w:tcPr>
          <w:p w14:paraId="4C4F113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Proteaceae, Proteoideae</w:t>
            </w:r>
          </w:p>
        </w:tc>
        <w:tc>
          <w:tcPr>
            <w:tcW w:w="1701" w:type="dxa"/>
            <w:shd w:val="clear" w:color="auto" w:fill="auto"/>
          </w:tcPr>
          <w:p w14:paraId="1053408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Moderate rainfall, highly seasonal, summer-wet? </w:t>
            </w:r>
            <w:r w:rsidRPr="007A2C85">
              <w:rPr>
                <w:rFonts w:asciiTheme="majorHAnsi" w:hAnsiTheme="majorHAnsi"/>
                <w:sz w:val="20"/>
                <w:szCs w:val="20"/>
              </w:rPr>
              <w:lastRenderedPageBreak/>
              <w:t>Australia - Queensland</w:t>
            </w:r>
          </w:p>
        </w:tc>
        <w:tc>
          <w:tcPr>
            <w:tcW w:w="1276" w:type="dxa"/>
            <w:shd w:val="clear" w:color="auto" w:fill="auto"/>
          </w:tcPr>
          <w:p w14:paraId="64DEFF3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lastRenderedPageBreak/>
              <w:t xml:space="preserve">Fireprone, sclerophyll forest on </w:t>
            </w:r>
            <w:r w:rsidRPr="007A2C85">
              <w:rPr>
                <w:rFonts w:asciiTheme="majorHAnsi" w:hAnsiTheme="majorHAnsi"/>
                <w:sz w:val="20"/>
                <w:szCs w:val="20"/>
              </w:rPr>
              <w:lastRenderedPageBreak/>
              <w:t>poorer, drier soils</w:t>
            </w:r>
          </w:p>
        </w:tc>
        <w:tc>
          <w:tcPr>
            <w:tcW w:w="1417" w:type="dxa"/>
            <w:shd w:val="clear" w:color="auto" w:fill="auto"/>
          </w:tcPr>
          <w:p w14:paraId="59F2A79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lastRenderedPageBreak/>
              <w:t xml:space="preserve">Stored (whether soil or canopy unclear </w:t>
            </w:r>
            <w:r w:rsidRPr="007A2C85">
              <w:rPr>
                <w:rFonts w:asciiTheme="majorHAnsi" w:hAnsiTheme="majorHAnsi"/>
                <w:sz w:val="20"/>
                <w:szCs w:val="20"/>
              </w:rPr>
              <w:lastRenderedPageBreak/>
              <w:t>as 50% probability for each)</w:t>
            </w:r>
          </w:p>
        </w:tc>
        <w:tc>
          <w:tcPr>
            <w:tcW w:w="1985" w:type="dxa"/>
            <w:shd w:val="clear" w:color="auto" w:fill="auto"/>
          </w:tcPr>
          <w:p w14:paraId="4D14434A"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i/>
                <w:sz w:val="20"/>
                <w:szCs w:val="20"/>
              </w:rPr>
              <w:lastRenderedPageBreak/>
              <w:t>Eidothea</w:t>
            </w:r>
            <w:r w:rsidRPr="007A2C85">
              <w:rPr>
                <w:rFonts w:asciiTheme="majorHAnsi" w:hAnsiTheme="majorHAnsi"/>
                <w:sz w:val="20"/>
                <w:szCs w:val="20"/>
              </w:rPr>
              <w:t xml:space="preserve"> in Australia separates from early Proteoideae</w:t>
            </w:r>
          </w:p>
        </w:tc>
        <w:tc>
          <w:tcPr>
            <w:tcW w:w="1842" w:type="dxa"/>
          </w:tcPr>
          <w:p w14:paraId="1D665C4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Ever-wet, hot, humid climate</w:t>
            </w:r>
          </w:p>
        </w:tc>
        <w:tc>
          <w:tcPr>
            <w:tcW w:w="1560" w:type="dxa"/>
            <w:shd w:val="clear" w:color="auto" w:fill="auto"/>
          </w:tcPr>
          <w:p w14:paraId="7AEDF27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Rainforest, non-fireprone (note: </w:t>
            </w:r>
            <w:r w:rsidRPr="007A2C85">
              <w:rPr>
                <w:rFonts w:asciiTheme="majorHAnsi" w:hAnsiTheme="majorHAnsi"/>
                <w:sz w:val="20"/>
                <w:szCs w:val="20"/>
              </w:rPr>
              <w:lastRenderedPageBreak/>
              <w:t>lineage returns to rainforest)</w:t>
            </w:r>
          </w:p>
        </w:tc>
        <w:tc>
          <w:tcPr>
            <w:tcW w:w="1984" w:type="dxa"/>
            <w:shd w:val="clear" w:color="auto" w:fill="auto"/>
          </w:tcPr>
          <w:p w14:paraId="157AC82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lastRenderedPageBreak/>
              <w:t>Vertebrate-dispersed drupes, hard endocarp that splits with time</w:t>
            </w:r>
          </w:p>
        </w:tc>
        <w:tc>
          <w:tcPr>
            <w:tcW w:w="1276" w:type="dxa"/>
            <w:shd w:val="clear" w:color="auto" w:fill="auto"/>
          </w:tcPr>
          <w:p w14:paraId="225E01D9" w14:textId="77777777" w:rsidR="00715EA7" w:rsidRPr="007A2C85" w:rsidRDefault="00715EA7" w:rsidP="005B6A6B">
            <w:pPr>
              <w:ind w:left="-57" w:right="-57"/>
              <w:rPr>
                <w:rFonts w:asciiTheme="majorHAnsi" w:hAnsiTheme="majorHAnsi"/>
                <w:sz w:val="20"/>
                <w:szCs w:val="20"/>
                <w:lang w:val="es-ES"/>
              </w:rPr>
            </w:pPr>
            <w:r w:rsidRPr="007A2C85">
              <w:rPr>
                <w:rFonts w:asciiTheme="majorHAnsi" w:hAnsiTheme="majorHAnsi"/>
                <w:sz w:val="20"/>
                <w:szCs w:val="20"/>
              </w:rPr>
              <w:t>95</w:t>
            </w:r>
            <w:r w:rsidRPr="007A2C85">
              <w:rPr>
                <w:rFonts w:asciiTheme="majorHAnsi" w:hAnsiTheme="majorHAnsi"/>
                <w:sz w:val="20"/>
                <w:szCs w:val="20"/>
              </w:rPr>
              <w:sym w:font="Symbol" w:char="F02D"/>
            </w:r>
            <w:r w:rsidRPr="007A2C85">
              <w:rPr>
                <w:rFonts w:asciiTheme="majorHAnsi" w:hAnsiTheme="majorHAnsi"/>
                <w:sz w:val="20"/>
                <w:szCs w:val="20"/>
              </w:rPr>
              <w:t xml:space="preserve">85 (separation updated by T. </w:t>
            </w:r>
            <w:r w:rsidRPr="007A2C85">
              <w:rPr>
                <w:rFonts w:asciiTheme="majorHAnsi" w:hAnsiTheme="majorHAnsi"/>
                <w:sz w:val="20"/>
                <w:szCs w:val="20"/>
              </w:rPr>
              <w:lastRenderedPageBreak/>
              <w:t>He, unpublished)</w:t>
            </w:r>
          </w:p>
        </w:tc>
        <w:tc>
          <w:tcPr>
            <w:tcW w:w="1984" w:type="dxa"/>
            <w:shd w:val="clear" w:color="auto" w:fill="auto"/>
          </w:tcPr>
          <w:p w14:paraId="0B79AEB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lastRenderedPageBreak/>
              <w:t>Lamont and He 2012, Pausas and Lamont 2018</w:t>
            </w:r>
          </w:p>
        </w:tc>
      </w:tr>
      <w:tr w:rsidR="00715EA7" w:rsidRPr="007A2C85" w14:paraId="13F55B19" w14:textId="77777777" w:rsidTr="005B6A6B">
        <w:tc>
          <w:tcPr>
            <w:tcW w:w="1277" w:type="dxa"/>
            <w:shd w:val="clear" w:color="auto" w:fill="F2F2F2" w:themeFill="background1" w:themeFillShade="F2"/>
          </w:tcPr>
          <w:p w14:paraId="13B553D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Pinus</w:t>
            </w:r>
            <w:r w:rsidRPr="007A2C85">
              <w:rPr>
                <w:rFonts w:asciiTheme="majorHAnsi" w:hAnsiTheme="majorHAnsi"/>
                <w:sz w:val="20"/>
                <w:szCs w:val="20"/>
              </w:rPr>
              <w:t xml:space="preserve">, subgenus </w:t>
            </w:r>
            <w:r w:rsidRPr="007A2C85">
              <w:rPr>
                <w:rFonts w:asciiTheme="majorHAnsi" w:hAnsiTheme="majorHAnsi"/>
                <w:i/>
                <w:sz w:val="20"/>
                <w:szCs w:val="20"/>
              </w:rPr>
              <w:t>Strobus</w:t>
            </w:r>
          </w:p>
        </w:tc>
        <w:tc>
          <w:tcPr>
            <w:tcW w:w="1701" w:type="dxa"/>
            <w:shd w:val="clear" w:color="auto" w:fill="F2F2F2" w:themeFill="background1" w:themeFillShade="F2"/>
          </w:tcPr>
          <w:p w14:paraId="2E5E12E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Moderate-low rainfall, winter drought, N Hemisphere</w:t>
            </w:r>
          </w:p>
        </w:tc>
        <w:tc>
          <w:tcPr>
            <w:tcW w:w="1276" w:type="dxa"/>
            <w:shd w:val="clear" w:color="auto" w:fill="F2F2F2" w:themeFill="background1" w:themeFillShade="F2"/>
          </w:tcPr>
          <w:p w14:paraId="6A072F4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Open woodland (savanna) with surface fires</w:t>
            </w:r>
          </w:p>
        </w:tc>
        <w:tc>
          <w:tcPr>
            <w:tcW w:w="1417" w:type="dxa"/>
            <w:shd w:val="clear" w:color="auto" w:fill="F2F2F2" w:themeFill="background1" w:themeFillShade="F2"/>
          </w:tcPr>
          <w:p w14:paraId="30ADCC6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Nondormant, non-soil-stored, winged </w:t>
            </w:r>
            <w:r w:rsidRPr="007A2C85">
              <w:rPr>
                <w:rFonts w:asciiTheme="majorHAnsi" w:hAnsiTheme="majorHAnsi"/>
                <w:sz w:val="20"/>
                <w:szCs w:val="20"/>
              </w:rPr>
              <w:sym w:font="Symbol" w:char="F02D"/>
            </w:r>
            <w:r w:rsidRPr="007A2C85">
              <w:rPr>
                <w:rFonts w:asciiTheme="majorHAnsi" w:hAnsiTheme="majorHAnsi"/>
                <w:sz w:val="20"/>
                <w:szCs w:val="20"/>
              </w:rPr>
              <w:t xml:space="preserve"> wind-dispersed</w:t>
            </w:r>
          </w:p>
        </w:tc>
        <w:tc>
          <w:tcPr>
            <w:tcW w:w="1985" w:type="dxa"/>
            <w:shd w:val="clear" w:color="auto" w:fill="F2F2F2" w:themeFill="background1" w:themeFillShade="F2"/>
          </w:tcPr>
          <w:p w14:paraId="16884153"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 xml:space="preserve">10 species/lineages in subgenus </w:t>
            </w:r>
            <w:r w:rsidRPr="007A2C85">
              <w:rPr>
                <w:rFonts w:asciiTheme="majorHAnsi" w:hAnsiTheme="majorHAnsi"/>
                <w:i/>
                <w:sz w:val="20"/>
                <w:szCs w:val="20"/>
              </w:rPr>
              <w:t>Strobus</w:t>
            </w:r>
          </w:p>
        </w:tc>
        <w:tc>
          <w:tcPr>
            <w:tcW w:w="1842" w:type="dxa"/>
            <w:shd w:val="clear" w:color="auto" w:fill="F2F2F2" w:themeFill="background1" w:themeFillShade="F2"/>
          </w:tcPr>
          <w:p w14:paraId="043ECAD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cool-cold in mountains and other uplands</w:t>
            </w:r>
          </w:p>
        </w:tc>
        <w:tc>
          <w:tcPr>
            <w:tcW w:w="1560" w:type="dxa"/>
            <w:shd w:val="clear" w:color="auto" w:fill="F2F2F2" w:themeFill="background1" w:themeFillShade="F2"/>
          </w:tcPr>
          <w:p w14:paraId="77F7A09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Rarely burnt or non-fireprone upland forest or woodland</w:t>
            </w:r>
          </w:p>
        </w:tc>
        <w:tc>
          <w:tcPr>
            <w:tcW w:w="1984" w:type="dxa"/>
            <w:shd w:val="clear" w:color="auto" w:fill="F2F2F2" w:themeFill="background1" w:themeFillShade="F2"/>
          </w:tcPr>
          <w:p w14:paraId="71D7E96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Dormant, thick-walled, soil-stored, wingless </w:t>
            </w:r>
            <w:r w:rsidRPr="007A2C85">
              <w:rPr>
                <w:rFonts w:asciiTheme="majorHAnsi" w:hAnsiTheme="majorHAnsi"/>
                <w:sz w:val="20"/>
                <w:szCs w:val="20"/>
              </w:rPr>
              <w:sym w:font="Symbol" w:char="F02D"/>
            </w:r>
            <w:r w:rsidRPr="007A2C85">
              <w:rPr>
                <w:rFonts w:asciiTheme="majorHAnsi" w:hAnsiTheme="majorHAnsi"/>
                <w:sz w:val="20"/>
                <w:szCs w:val="20"/>
              </w:rPr>
              <w:t xml:space="preserve"> bird-dispersed</w:t>
            </w:r>
          </w:p>
        </w:tc>
        <w:tc>
          <w:tcPr>
            <w:tcW w:w="1276" w:type="dxa"/>
            <w:shd w:val="clear" w:color="auto" w:fill="F2F2F2" w:themeFill="background1" w:themeFillShade="F2"/>
          </w:tcPr>
          <w:p w14:paraId="0322626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47</w:t>
            </w:r>
            <w:r w:rsidRPr="007A2C85">
              <w:rPr>
                <w:rFonts w:asciiTheme="majorHAnsi" w:hAnsiTheme="majorHAnsi"/>
                <w:sz w:val="20"/>
                <w:szCs w:val="20"/>
              </w:rPr>
              <w:sym w:font="Symbol" w:char="F02D"/>
            </w:r>
            <w:r w:rsidRPr="007A2C85">
              <w:rPr>
                <w:rFonts w:asciiTheme="majorHAnsi" w:hAnsiTheme="majorHAnsi"/>
                <w:sz w:val="20"/>
                <w:szCs w:val="20"/>
              </w:rPr>
              <w:t>1</w:t>
            </w:r>
          </w:p>
        </w:tc>
        <w:tc>
          <w:tcPr>
            <w:tcW w:w="1984" w:type="dxa"/>
            <w:shd w:val="clear" w:color="auto" w:fill="F2F2F2" w:themeFill="background1" w:themeFillShade="F2"/>
          </w:tcPr>
          <w:p w14:paraId="5925A34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Lamont et al. 2019a</w:t>
            </w:r>
          </w:p>
        </w:tc>
      </w:tr>
      <w:tr w:rsidR="00715EA7" w:rsidRPr="007A2C85" w14:paraId="41FCC7FF" w14:textId="77777777" w:rsidTr="005B6A6B">
        <w:tc>
          <w:tcPr>
            <w:tcW w:w="1277" w:type="dxa"/>
            <w:shd w:val="clear" w:color="auto" w:fill="auto"/>
          </w:tcPr>
          <w:p w14:paraId="46B48E1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Cistaceae</w:t>
            </w:r>
          </w:p>
        </w:tc>
        <w:tc>
          <w:tcPr>
            <w:tcW w:w="1701" w:type="dxa"/>
            <w:shd w:val="clear" w:color="auto" w:fill="auto"/>
          </w:tcPr>
          <w:p w14:paraId="17BB270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highly seasonal, winter wet, Mediterr. Basin</w:t>
            </w:r>
          </w:p>
        </w:tc>
        <w:tc>
          <w:tcPr>
            <w:tcW w:w="1276" w:type="dxa"/>
            <w:shd w:val="clear" w:color="auto" w:fill="auto"/>
          </w:tcPr>
          <w:p w14:paraId="01D4ECE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shrubland to forest</w:t>
            </w:r>
          </w:p>
        </w:tc>
        <w:tc>
          <w:tcPr>
            <w:tcW w:w="1417" w:type="dxa"/>
            <w:shd w:val="clear" w:color="auto" w:fill="auto"/>
          </w:tcPr>
          <w:p w14:paraId="6090CD4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seed, heat-released dormancy</w:t>
            </w:r>
          </w:p>
        </w:tc>
        <w:tc>
          <w:tcPr>
            <w:tcW w:w="1985" w:type="dxa"/>
            <w:shd w:val="clear" w:color="auto" w:fill="auto"/>
          </w:tcPr>
          <w:p w14:paraId="2E1F1C12"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i/>
                <w:sz w:val="20"/>
                <w:szCs w:val="20"/>
              </w:rPr>
              <w:t>Helianthemum</w:t>
            </w:r>
            <w:r w:rsidRPr="007A2C85">
              <w:rPr>
                <w:rFonts w:asciiTheme="majorHAnsi" w:hAnsiTheme="majorHAnsi"/>
                <w:sz w:val="20"/>
                <w:szCs w:val="20"/>
              </w:rPr>
              <w:t xml:space="preserve"> </w:t>
            </w:r>
            <w:r w:rsidRPr="007A2C85">
              <w:rPr>
                <w:rFonts w:asciiTheme="majorHAnsi" w:hAnsiTheme="majorHAnsi"/>
                <w:i/>
                <w:sz w:val="20"/>
                <w:szCs w:val="20"/>
              </w:rPr>
              <w:t>hirtum</w:t>
            </w:r>
            <w:r w:rsidRPr="007A2C85">
              <w:rPr>
                <w:rFonts w:asciiTheme="majorHAnsi" w:hAnsiTheme="majorHAnsi"/>
                <w:sz w:val="20"/>
                <w:szCs w:val="20"/>
              </w:rPr>
              <w:t xml:space="preserve">, </w:t>
            </w:r>
            <w:r w:rsidRPr="007A2C85">
              <w:rPr>
                <w:rFonts w:asciiTheme="majorHAnsi" w:hAnsiTheme="majorHAnsi"/>
                <w:i/>
                <w:sz w:val="20"/>
                <w:szCs w:val="20"/>
              </w:rPr>
              <w:t>syriacum</w:t>
            </w:r>
            <w:r w:rsidRPr="007A2C85">
              <w:rPr>
                <w:rFonts w:asciiTheme="majorHAnsi" w:hAnsiTheme="majorHAnsi"/>
                <w:sz w:val="20"/>
                <w:szCs w:val="20"/>
              </w:rPr>
              <w:t xml:space="preserve">, </w:t>
            </w:r>
            <w:r w:rsidRPr="007A2C85">
              <w:rPr>
                <w:rFonts w:asciiTheme="majorHAnsi" w:hAnsiTheme="majorHAnsi"/>
                <w:i/>
                <w:sz w:val="20"/>
                <w:szCs w:val="20"/>
              </w:rPr>
              <w:t>almeriense</w:t>
            </w:r>
            <w:r w:rsidRPr="007A2C85">
              <w:rPr>
                <w:rFonts w:asciiTheme="majorHAnsi" w:hAnsiTheme="majorHAnsi"/>
                <w:sz w:val="20"/>
                <w:szCs w:val="20"/>
              </w:rPr>
              <w:t xml:space="preserve">, </w:t>
            </w:r>
            <w:r w:rsidRPr="007A2C85">
              <w:rPr>
                <w:rFonts w:asciiTheme="majorHAnsi" w:hAnsiTheme="majorHAnsi"/>
                <w:i/>
                <w:sz w:val="20"/>
                <w:szCs w:val="20"/>
              </w:rPr>
              <w:t>appeninum</w:t>
            </w:r>
          </w:p>
        </w:tc>
        <w:tc>
          <w:tcPr>
            <w:tcW w:w="1842" w:type="dxa"/>
          </w:tcPr>
          <w:p w14:paraId="7A84A6C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highly seasonal, winter wet</w:t>
            </w:r>
          </w:p>
        </w:tc>
        <w:tc>
          <w:tcPr>
            <w:tcW w:w="1560" w:type="dxa"/>
            <w:shd w:val="clear" w:color="auto" w:fill="auto"/>
          </w:tcPr>
          <w:p w14:paraId="4DFEB14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Non-fire-prone limestone/gypsum outcrops</w:t>
            </w:r>
          </w:p>
        </w:tc>
        <w:tc>
          <w:tcPr>
            <w:tcW w:w="1984" w:type="dxa"/>
            <w:shd w:val="clear" w:color="auto" w:fill="auto"/>
          </w:tcPr>
          <w:p w14:paraId="3EE4B9C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Remain hardseeded, but unresponsive to fire-type heat or inhibited</w:t>
            </w:r>
          </w:p>
        </w:tc>
        <w:tc>
          <w:tcPr>
            <w:tcW w:w="1276" w:type="dxa"/>
            <w:shd w:val="clear" w:color="auto" w:fill="auto"/>
          </w:tcPr>
          <w:p w14:paraId="67B8DDB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 &lt; 1.9</w:t>
            </w:r>
          </w:p>
        </w:tc>
        <w:tc>
          <w:tcPr>
            <w:tcW w:w="1984" w:type="dxa"/>
            <w:shd w:val="clear" w:color="auto" w:fill="auto"/>
          </w:tcPr>
          <w:p w14:paraId="3A1E931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Thanos et al. 1992, </w:t>
            </w:r>
            <w:r w:rsidRPr="007A2C85">
              <w:rPr>
                <w:rFonts w:asciiTheme="majorHAnsi" w:hAnsiTheme="majorHAnsi"/>
                <w:sz w:val="20"/>
                <w:szCs w:val="20"/>
                <w:lang w:val="es-ES"/>
              </w:rPr>
              <w:t xml:space="preserve">Aparicio et al. 2017, </w:t>
            </w:r>
            <w:r w:rsidRPr="007A2C85">
              <w:rPr>
                <w:rFonts w:asciiTheme="majorHAnsi" w:eastAsia="Times New Roman" w:hAnsiTheme="majorHAnsi"/>
                <w:sz w:val="20"/>
                <w:szCs w:val="20"/>
                <w:lang w:val="es-ES"/>
              </w:rPr>
              <w:t>P</w:t>
            </w:r>
            <w:r w:rsidRPr="007A2C85">
              <w:rPr>
                <w:rFonts w:asciiTheme="majorHAnsi" w:hAnsiTheme="majorHAnsi"/>
                <w:sz w:val="20"/>
                <w:szCs w:val="20"/>
                <w:lang w:val="es-ES"/>
              </w:rPr>
              <w:t>é</w:t>
            </w:r>
            <w:r w:rsidRPr="007A2C85">
              <w:rPr>
                <w:rFonts w:asciiTheme="majorHAnsi" w:eastAsia="Times New Roman" w:hAnsiTheme="majorHAnsi"/>
                <w:sz w:val="20"/>
                <w:szCs w:val="20"/>
                <w:lang w:val="es-ES"/>
              </w:rPr>
              <w:t>rez-Garcia and Gonzalez-Benito 2006</w:t>
            </w:r>
          </w:p>
        </w:tc>
      </w:tr>
      <w:tr w:rsidR="00715EA7" w:rsidRPr="007A2C85" w14:paraId="64C128A7" w14:textId="77777777" w:rsidTr="005B6A6B">
        <w:trPr>
          <w:trHeight w:val="1013"/>
        </w:trPr>
        <w:tc>
          <w:tcPr>
            <w:tcW w:w="1277" w:type="dxa"/>
            <w:shd w:val="clear" w:color="auto" w:fill="F2F2F2" w:themeFill="background1" w:themeFillShade="F2"/>
          </w:tcPr>
          <w:p w14:paraId="19914CC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Cistaceae</w:t>
            </w:r>
          </w:p>
        </w:tc>
        <w:tc>
          <w:tcPr>
            <w:tcW w:w="1701" w:type="dxa"/>
            <w:shd w:val="clear" w:color="auto" w:fill="F2F2F2" w:themeFill="background1" w:themeFillShade="F2"/>
          </w:tcPr>
          <w:p w14:paraId="763BC25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highly seasonal, winter wet, Mediterr. Basin</w:t>
            </w:r>
          </w:p>
        </w:tc>
        <w:tc>
          <w:tcPr>
            <w:tcW w:w="1276" w:type="dxa"/>
            <w:shd w:val="clear" w:color="auto" w:fill="F2F2F2" w:themeFill="background1" w:themeFillShade="F2"/>
          </w:tcPr>
          <w:p w14:paraId="6D9B5F1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shrubland to forest</w:t>
            </w:r>
          </w:p>
        </w:tc>
        <w:tc>
          <w:tcPr>
            <w:tcW w:w="1417" w:type="dxa"/>
            <w:shd w:val="clear" w:color="auto" w:fill="F2F2F2" w:themeFill="background1" w:themeFillShade="F2"/>
          </w:tcPr>
          <w:p w14:paraId="7C9BED5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seed, heat-released dormancy</w:t>
            </w:r>
          </w:p>
        </w:tc>
        <w:tc>
          <w:tcPr>
            <w:tcW w:w="1985" w:type="dxa"/>
            <w:shd w:val="clear" w:color="auto" w:fill="F2F2F2" w:themeFill="background1" w:themeFillShade="F2"/>
          </w:tcPr>
          <w:p w14:paraId="04EC0EE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Helianthemum</w:t>
            </w:r>
            <w:r w:rsidRPr="007A2C85">
              <w:rPr>
                <w:rFonts w:asciiTheme="majorHAnsi" w:hAnsiTheme="majorHAnsi"/>
                <w:sz w:val="20"/>
                <w:szCs w:val="20"/>
              </w:rPr>
              <w:t xml:space="preserve"> </w:t>
            </w:r>
            <w:r w:rsidRPr="007A2C85">
              <w:rPr>
                <w:rFonts w:asciiTheme="majorHAnsi" w:hAnsiTheme="majorHAnsi"/>
                <w:i/>
                <w:sz w:val="20"/>
                <w:szCs w:val="20"/>
              </w:rPr>
              <w:t>lippii, polygonoides</w:t>
            </w:r>
          </w:p>
        </w:tc>
        <w:tc>
          <w:tcPr>
            <w:tcW w:w="1842" w:type="dxa"/>
            <w:shd w:val="clear" w:color="auto" w:fill="F2F2F2" w:themeFill="background1" w:themeFillShade="F2"/>
          </w:tcPr>
          <w:p w14:paraId="6F054D1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highly seasonal, winter wet, Mediterr. Basin</w:t>
            </w:r>
          </w:p>
        </w:tc>
        <w:tc>
          <w:tcPr>
            <w:tcW w:w="1560" w:type="dxa"/>
            <w:shd w:val="clear" w:color="auto" w:fill="F2F2F2" w:themeFill="background1" w:themeFillShade="F2"/>
          </w:tcPr>
          <w:p w14:paraId="396C92D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Non-fire-prone salt-lake dunes and marshland</w:t>
            </w:r>
          </w:p>
        </w:tc>
        <w:tc>
          <w:tcPr>
            <w:tcW w:w="1984" w:type="dxa"/>
            <w:shd w:val="clear" w:color="auto" w:fill="F2F2F2" w:themeFill="background1" w:themeFillShade="F2"/>
          </w:tcPr>
          <w:p w14:paraId="154A80F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Soft or hardseeded, but does not respond to fire-type heat</w:t>
            </w:r>
          </w:p>
        </w:tc>
        <w:tc>
          <w:tcPr>
            <w:tcW w:w="1276" w:type="dxa"/>
            <w:shd w:val="clear" w:color="auto" w:fill="F2F2F2" w:themeFill="background1" w:themeFillShade="F2"/>
          </w:tcPr>
          <w:p w14:paraId="6641B64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 &lt; 1.9</w:t>
            </w:r>
          </w:p>
        </w:tc>
        <w:tc>
          <w:tcPr>
            <w:tcW w:w="1984" w:type="dxa"/>
            <w:shd w:val="clear" w:color="auto" w:fill="F2F2F2" w:themeFill="background1" w:themeFillShade="F2"/>
          </w:tcPr>
          <w:p w14:paraId="01F9BC8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Thanos et al. 1992, </w:t>
            </w:r>
            <w:r w:rsidRPr="007A2C85">
              <w:rPr>
                <w:rFonts w:asciiTheme="majorHAnsi" w:hAnsiTheme="majorHAnsi"/>
                <w:sz w:val="20"/>
                <w:szCs w:val="20"/>
                <w:lang w:val="es-ES"/>
              </w:rPr>
              <w:t>Aparicio…2017, Zaman, Padmesh &amp; Tawfiq 2009, Copete…2009</w:t>
            </w:r>
          </w:p>
        </w:tc>
      </w:tr>
      <w:tr w:rsidR="00715EA7" w:rsidRPr="007A2C85" w14:paraId="20FC0F11" w14:textId="77777777" w:rsidTr="005B6A6B">
        <w:tc>
          <w:tcPr>
            <w:tcW w:w="1277" w:type="dxa"/>
            <w:shd w:val="clear" w:color="auto" w:fill="auto"/>
          </w:tcPr>
          <w:p w14:paraId="61418AA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Ericaceae, </w:t>
            </w:r>
            <w:r w:rsidRPr="007A2C85">
              <w:rPr>
                <w:rFonts w:asciiTheme="majorHAnsi" w:hAnsiTheme="majorHAnsi"/>
                <w:i/>
                <w:sz w:val="20"/>
                <w:szCs w:val="20"/>
              </w:rPr>
              <w:t>Erica coccinea</w:t>
            </w:r>
          </w:p>
        </w:tc>
        <w:tc>
          <w:tcPr>
            <w:tcW w:w="1701" w:type="dxa"/>
            <w:shd w:val="clear" w:color="auto" w:fill="auto"/>
          </w:tcPr>
          <w:p w14:paraId="2A71F0E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highly seasonal, winter wet, S Africa - Cape</w:t>
            </w:r>
          </w:p>
        </w:tc>
        <w:tc>
          <w:tcPr>
            <w:tcW w:w="1276" w:type="dxa"/>
            <w:shd w:val="clear" w:color="auto" w:fill="auto"/>
          </w:tcPr>
          <w:p w14:paraId="7034AB6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shrubland</w:t>
            </w:r>
          </w:p>
        </w:tc>
        <w:tc>
          <w:tcPr>
            <w:tcW w:w="1417" w:type="dxa"/>
            <w:shd w:val="clear" w:color="auto" w:fill="auto"/>
          </w:tcPr>
          <w:p w14:paraId="2F9FAF09"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Smoke-released dormancy, broad incub. temps (pyrophyte)</w:t>
            </w:r>
          </w:p>
        </w:tc>
        <w:tc>
          <w:tcPr>
            <w:tcW w:w="1985" w:type="dxa"/>
            <w:shd w:val="clear" w:color="auto" w:fill="auto"/>
          </w:tcPr>
          <w:p w14:paraId="1C0ABD6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Ecotype change</w:t>
            </w:r>
          </w:p>
        </w:tc>
        <w:tc>
          <w:tcPr>
            <w:tcW w:w="1842" w:type="dxa"/>
          </w:tcPr>
          <w:p w14:paraId="631180D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highly seasonal, winter wet</w:t>
            </w:r>
          </w:p>
        </w:tc>
        <w:tc>
          <w:tcPr>
            <w:tcW w:w="1560" w:type="dxa"/>
            <w:shd w:val="clear" w:color="auto" w:fill="auto"/>
          </w:tcPr>
          <w:p w14:paraId="3188C98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Non-fire-prone (rock outcrop)</w:t>
            </w:r>
          </w:p>
        </w:tc>
        <w:tc>
          <w:tcPr>
            <w:tcW w:w="1984" w:type="dxa"/>
            <w:shd w:val="clear" w:color="auto" w:fill="auto"/>
          </w:tcPr>
          <w:p w14:paraId="67A8A2A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Non-dormant, lower incubation temperatures optimal (pyrofuge)</w:t>
            </w:r>
          </w:p>
        </w:tc>
        <w:tc>
          <w:tcPr>
            <w:tcW w:w="1276" w:type="dxa"/>
            <w:shd w:val="clear" w:color="auto" w:fill="auto"/>
          </w:tcPr>
          <w:p w14:paraId="4B73B8C1"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Quaternary?</w:t>
            </w:r>
          </w:p>
        </w:tc>
        <w:tc>
          <w:tcPr>
            <w:tcW w:w="1984" w:type="dxa"/>
            <w:shd w:val="clear" w:color="auto" w:fill="auto"/>
          </w:tcPr>
          <w:p w14:paraId="31839BC8"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Leonard et al. 2018</w:t>
            </w:r>
          </w:p>
        </w:tc>
      </w:tr>
      <w:tr w:rsidR="00715EA7" w:rsidRPr="007A2C85" w14:paraId="1A8CC6CB" w14:textId="77777777" w:rsidTr="005B6A6B">
        <w:tc>
          <w:tcPr>
            <w:tcW w:w="1277" w:type="dxa"/>
            <w:shd w:val="clear" w:color="auto" w:fill="F2F2F2" w:themeFill="background1" w:themeFillShade="F2"/>
          </w:tcPr>
          <w:p w14:paraId="00DAB6A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Fabaceae, </w:t>
            </w:r>
          </w:p>
          <w:p w14:paraId="619CDB7C"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Faboideae</w:t>
            </w:r>
          </w:p>
        </w:tc>
        <w:tc>
          <w:tcPr>
            <w:tcW w:w="1701" w:type="dxa"/>
            <w:shd w:val="clear" w:color="auto" w:fill="F2F2F2" w:themeFill="background1" w:themeFillShade="F2"/>
          </w:tcPr>
          <w:p w14:paraId="599D093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highly seasonal, NE Australia</w:t>
            </w:r>
          </w:p>
        </w:tc>
        <w:tc>
          <w:tcPr>
            <w:tcW w:w="1276" w:type="dxa"/>
            <w:shd w:val="clear" w:color="auto" w:fill="F2F2F2" w:themeFill="background1" w:themeFillShade="F2"/>
          </w:tcPr>
          <w:p w14:paraId="7876D712"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forest</w:t>
            </w:r>
          </w:p>
        </w:tc>
        <w:tc>
          <w:tcPr>
            <w:tcW w:w="1417" w:type="dxa"/>
            <w:shd w:val="clear" w:color="auto" w:fill="F2F2F2" w:themeFill="background1" w:themeFillShade="F2"/>
          </w:tcPr>
          <w:p w14:paraId="0225BCD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seed, heat-released dormancy</w:t>
            </w:r>
          </w:p>
        </w:tc>
        <w:tc>
          <w:tcPr>
            <w:tcW w:w="1985" w:type="dxa"/>
            <w:shd w:val="clear" w:color="auto" w:fill="F2F2F2" w:themeFill="background1" w:themeFillShade="F2"/>
          </w:tcPr>
          <w:p w14:paraId="7CC920F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i/>
                <w:sz w:val="20"/>
                <w:szCs w:val="20"/>
              </w:rPr>
              <w:t>Castanospermum australe</w:t>
            </w:r>
          </w:p>
        </w:tc>
        <w:tc>
          <w:tcPr>
            <w:tcW w:w="1842" w:type="dxa"/>
            <w:shd w:val="clear" w:color="auto" w:fill="F2F2F2" w:themeFill="background1" w:themeFillShade="F2"/>
          </w:tcPr>
          <w:p w14:paraId="4B03C1A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Ever-wet, hot, humid climate</w:t>
            </w:r>
          </w:p>
        </w:tc>
        <w:tc>
          <w:tcPr>
            <w:tcW w:w="1560" w:type="dxa"/>
            <w:shd w:val="clear" w:color="auto" w:fill="F2F2F2" w:themeFill="background1" w:themeFillShade="F2"/>
          </w:tcPr>
          <w:p w14:paraId="6A28637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Rainforest, non-fireprone</w:t>
            </w:r>
          </w:p>
        </w:tc>
        <w:tc>
          <w:tcPr>
            <w:tcW w:w="1984" w:type="dxa"/>
            <w:shd w:val="clear" w:color="auto" w:fill="F2F2F2" w:themeFill="background1" w:themeFillShade="F2"/>
          </w:tcPr>
          <w:p w14:paraId="2A7C3FC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Recalcitrant</w:t>
            </w:r>
          </w:p>
          <w:p w14:paraId="7BA822B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(non-dormant)</w:t>
            </w:r>
          </w:p>
        </w:tc>
        <w:tc>
          <w:tcPr>
            <w:tcW w:w="1276" w:type="dxa"/>
            <w:shd w:val="clear" w:color="auto" w:fill="F2F2F2" w:themeFill="background1" w:themeFillShade="F2"/>
          </w:tcPr>
          <w:p w14:paraId="7C499E40"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Quaternary?</w:t>
            </w:r>
          </w:p>
        </w:tc>
        <w:tc>
          <w:tcPr>
            <w:tcW w:w="1984" w:type="dxa"/>
            <w:shd w:val="clear" w:color="auto" w:fill="F2F2F2" w:themeFill="background1" w:themeFillShade="F2"/>
          </w:tcPr>
          <w:p w14:paraId="2F48E52D"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Lamont et al. 2019b, Marques et al. 2019</w:t>
            </w:r>
          </w:p>
        </w:tc>
      </w:tr>
      <w:tr w:rsidR="00715EA7" w:rsidRPr="007A2C85" w14:paraId="28FB49F9" w14:textId="77777777" w:rsidTr="005B6A6B">
        <w:tc>
          <w:tcPr>
            <w:tcW w:w="1277" w:type="dxa"/>
            <w:shd w:val="clear" w:color="auto" w:fill="auto"/>
          </w:tcPr>
          <w:p w14:paraId="25B30C40"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Fabaceae, Mimosoideae</w:t>
            </w:r>
          </w:p>
        </w:tc>
        <w:tc>
          <w:tcPr>
            <w:tcW w:w="1701" w:type="dxa"/>
            <w:shd w:val="clear" w:color="auto" w:fill="auto"/>
          </w:tcPr>
          <w:p w14:paraId="60E9B70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Moderate rainfall, moderately seasonal, possibly summer maximum, various locations</w:t>
            </w:r>
          </w:p>
        </w:tc>
        <w:tc>
          <w:tcPr>
            <w:tcW w:w="1276" w:type="dxa"/>
            <w:shd w:val="clear" w:color="auto" w:fill="auto"/>
          </w:tcPr>
          <w:p w14:paraId="0120A30E"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forests</w:t>
            </w:r>
          </w:p>
        </w:tc>
        <w:tc>
          <w:tcPr>
            <w:tcW w:w="1417" w:type="dxa"/>
            <w:shd w:val="clear" w:color="auto" w:fill="auto"/>
          </w:tcPr>
          <w:p w14:paraId="5C1BF313"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Hard seed, heat-released dormancy</w:t>
            </w:r>
          </w:p>
        </w:tc>
        <w:tc>
          <w:tcPr>
            <w:tcW w:w="1985" w:type="dxa"/>
            <w:shd w:val="clear" w:color="auto" w:fill="auto"/>
          </w:tcPr>
          <w:p w14:paraId="37491970"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i/>
                <w:sz w:val="20"/>
                <w:szCs w:val="20"/>
              </w:rPr>
              <w:t>Mariosousa</w:t>
            </w:r>
            <w:r w:rsidRPr="007A2C85">
              <w:rPr>
                <w:rFonts w:asciiTheme="majorHAnsi" w:hAnsiTheme="majorHAnsi"/>
                <w:sz w:val="20"/>
                <w:szCs w:val="20"/>
              </w:rPr>
              <w:t xml:space="preserve">, </w:t>
            </w:r>
            <w:r w:rsidRPr="007A2C85">
              <w:rPr>
                <w:rFonts w:asciiTheme="majorHAnsi" w:hAnsiTheme="majorHAnsi"/>
                <w:i/>
                <w:sz w:val="20"/>
                <w:szCs w:val="20"/>
                <w:lang w:val="en-US"/>
              </w:rPr>
              <w:t>Mimosa</w:t>
            </w:r>
            <w:r w:rsidRPr="007A2C85">
              <w:rPr>
                <w:rFonts w:asciiTheme="majorHAnsi" w:hAnsiTheme="majorHAnsi"/>
                <w:i/>
                <w:sz w:val="20"/>
                <w:szCs w:val="20"/>
              </w:rPr>
              <w:t xml:space="preserve">, Adenanthera </w:t>
            </w:r>
          </w:p>
        </w:tc>
        <w:tc>
          <w:tcPr>
            <w:tcW w:w="1842" w:type="dxa"/>
          </w:tcPr>
          <w:p w14:paraId="0A61B47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Desert (Mariosousa), rainforest (Mimosa, Adenanthera)</w:t>
            </w:r>
          </w:p>
        </w:tc>
        <w:tc>
          <w:tcPr>
            <w:tcW w:w="1560" w:type="dxa"/>
            <w:shd w:val="clear" w:color="auto" w:fill="auto"/>
          </w:tcPr>
          <w:p w14:paraId="6154AD04"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Non-fire-prone: </w:t>
            </w:r>
          </w:p>
        </w:tc>
        <w:tc>
          <w:tcPr>
            <w:tcW w:w="1984" w:type="dxa"/>
            <w:shd w:val="clear" w:color="auto" w:fill="auto"/>
          </w:tcPr>
          <w:p w14:paraId="087E5B5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Soft seed, nondormant (seed killed by fire-type heat)</w:t>
            </w:r>
          </w:p>
        </w:tc>
        <w:tc>
          <w:tcPr>
            <w:tcW w:w="1276" w:type="dxa"/>
            <w:shd w:val="clear" w:color="auto" w:fill="auto"/>
          </w:tcPr>
          <w:p w14:paraId="728370EC"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lang w:val="es-ES"/>
              </w:rPr>
              <w:t>7 (</w:t>
            </w:r>
            <w:r w:rsidRPr="007A2C85">
              <w:rPr>
                <w:rFonts w:asciiTheme="majorHAnsi" w:hAnsiTheme="majorHAnsi"/>
                <w:i/>
                <w:sz w:val="20"/>
                <w:szCs w:val="20"/>
                <w:lang w:val="es-ES"/>
              </w:rPr>
              <w:t>Mariosousa willardiana</w:t>
            </w:r>
            <w:r w:rsidRPr="007A2C85">
              <w:rPr>
                <w:rFonts w:asciiTheme="majorHAnsi" w:hAnsiTheme="majorHAnsi"/>
                <w:sz w:val="20"/>
                <w:szCs w:val="20"/>
                <w:lang w:val="es-ES"/>
              </w:rPr>
              <w:t>), 4 (</w:t>
            </w:r>
            <w:r w:rsidRPr="007A2C85">
              <w:rPr>
                <w:rFonts w:asciiTheme="majorHAnsi" w:hAnsiTheme="majorHAnsi"/>
                <w:i/>
                <w:sz w:val="20"/>
                <w:szCs w:val="20"/>
                <w:lang w:val="es-ES"/>
              </w:rPr>
              <w:t>Mimosa pteridifolia</w:t>
            </w:r>
            <w:r w:rsidRPr="007A2C85">
              <w:rPr>
                <w:rFonts w:asciiTheme="majorHAnsi" w:hAnsiTheme="majorHAnsi"/>
                <w:sz w:val="20"/>
                <w:szCs w:val="20"/>
                <w:lang w:val="es-ES"/>
              </w:rPr>
              <w:t>), 11 (</w:t>
            </w:r>
            <w:r w:rsidRPr="007A2C85">
              <w:rPr>
                <w:rFonts w:asciiTheme="majorHAnsi" w:hAnsiTheme="majorHAnsi"/>
                <w:i/>
                <w:sz w:val="20"/>
                <w:szCs w:val="20"/>
                <w:lang w:val="es-ES"/>
              </w:rPr>
              <w:t>Adenanthera</w:t>
            </w:r>
            <w:r w:rsidRPr="007A2C85">
              <w:rPr>
                <w:rFonts w:asciiTheme="majorHAnsi" w:hAnsiTheme="majorHAnsi"/>
                <w:sz w:val="20"/>
                <w:szCs w:val="20"/>
                <w:lang w:val="es-ES"/>
              </w:rPr>
              <w:t>)</w:t>
            </w:r>
          </w:p>
        </w:tc>
        <w:tc>
          <w:tcPr>
            <w:tcW w:w="1984" w:type="dxa"/>
            <w:shd w:val="clear" w:color="auto" w:fill="auto"/>
          </w:tcPr>
          <w:p w14:paraId="378FF6C9" w14:textId="77777777" w:rsidR="00715EA7" w:rsidRPr="007A2C85" w:rsidRDefault="00715EA7" w:rsidP="005B6A6B">
            <w:pPr>
              <w:ind w:left="-57" w:right="-57"/>
              <w:rPr>
                <w:rFonts w:asciiTheme="majorHAnsi" w:eastAsia="Times New Roman" w:hAnsiTheme="majorHAnsi"/>
                <w:sz w:val="20"/>
                <w:szCs w:val="20"/>
              </w:rPr>
            </w:pPr>
            <w:r w:rsidRPr="007A2C85">
              <w:rPr>
                <w:rFonts w:asciiTheme="majorHAnsi" w:hAnsiTheme="majorHAnsi"/>
                <w:sz w:val="20"/>
                <w:szCs w:val="20"/>
              </w:rPr>
              <w:t xml:space="preserve">DeBouck et al. 1993, </w:t>
            </w:r>
            <w:r w:rsidRPr="007A2C85">
              <w:rPr>
                <w:rFonts w:asciiTheme="majorHAnsi" w:eastAsia="Times New Roman" w:hAnsiTheme="majorHAnsi"/>
                <w:sz w:val="20"/>
                <w:szCs w:val="20"/>
              </w:rPr>
              <w:t>Bouchenak-Khellad et al. 2010,</w:t>
            </w:r>
            <w:r w:rsidRPr="007A2C85">
              <w:rPr>
                <w:rFonts w:asciiTheme="majorHAnsi" w:hAnsiTheme="majorHAnsi"/>
                <w:sz w:val="20"/>
                <w:szCs w:val="20"/>
              </w:rPr>
              <w:t xml:space="preserve"> Daibes et al. 2019, Lamont et al. 2019b</w:t>
            </w:r>
          </w:p>
        </w:tc>
      </w:tr>
      <w:tr w:rsidR="00715EA7" w:rsidRPr="007A2C85" w14:paraId="095FCAE1" w14:textId="77777777" w:rsidTr="005B6A6B">
        <w:tc>
          <w:tcPr>
            <w:tcW w:w="1277" w:type="dxa"/>
            <w:shd w:val="clear" w:color="auto" w:fill="F2F2F2" w:themeFill="background1" w:themeFillShade="F2"/>
          </w:tcPr>
          <w:p w14:paraId="4B519DD6" w14:textId="77777777" w:rsidR="00715EA7" w:rsidRPr="007A2C85" w:rsidRDefault="00715EA7" w:rsidP="005B6A6B">
            <w:pPr>
              <w:ind w:left="-57" w:right="-57"/>
              <w:rPr>
                <w:rFonts w:asciiTheme="majorHAnsi" w:hAnsiTheme="majorHAnsi"/>
                <w:i/>
                <w:sz w:val="20"/>
                <w:szCs w:val="20"/>
              </w:rPr>
            </w:pPr>
            <w:r w:rsidRPr="007A2C85">
              <w:rPr>
                <w:rFonts w:asciiTheme="majorHAnsi" w:hAnsiTheme="majorHAnsi"/>
                <w:sz w:val="20"/>
                <w:szCs w:val="20"/>
              </w:rPr>
              <w:t xml:space="preserve">Goodeniaceae, </w:t>
            </w:r>
            <w:r w:rsidRPr="007A2C85">
              <w:rPr>
                <w:rFonts w:asciiTheme="majorHAnsi" w:hAnsiTheme="majorHAnsi"/>
                <w:i/>
                <w:sz w:val="20"/>
                <w:szCs w:val="20"/>
              </w:rPr>
              <w:t>Scaevola</w:t>
            </w:r>
          </w:p>
        </w:tc>
        <w:tc>
          <w:tcPr>
            <w:tcW w:w="1701" w:type="dxa"/>
            <w:shd w:val="clear" w:color="auto" w:fill="F2F2F2" w:themeFill="background1" w:themeFillShade="F2"/>
          </w:tcPr>
          <w:p w14:paraId="1521066B"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Pacific Ocean coastline</w:t>
            </w:r>
          </w:p>
        </w:tc>
        <w:tc>
          <w:tcPr>
            <w:tcW w:w="1276" w:type="dxa"/>
            <w:shd w:val="clear" w:color="auto" w:fill="F2F2F2" w:themeFill="background1" w:themeFillShade="F2"/>
          </w:tcPr>
          <w:p w14:paraId="2EFFEB06"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Fireprone shrub/woodland</w:t>
            </w:r>
          </w:p>
        </w:tc>
        <w:tc>
          <w:tcPr>
            <w:tcW w:w="1417" w:type="dxa"/>
            <w:shd w:val="clear" w:color="auto" w:fill="F2F2F2" w:themeFill="background1" w:themeFillShade="F2"/>
          </w:tcPr>
          <w:p w14:paraId="2AE808D7"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Soil-stored, smoke-released dormancy</w:t>
            </w:r>
          </w:p>
        </w:tc>
        <w:tc>
          <w:tcPr>
            <w:tcW w:w="1985" w:type="dxa"/>
            <w:shd w:val="clear" w:color="auto" w:fill="F2F2F2" w:themeFill="background1" w:themeFillShade="F2"/>
          </w:tcPr>
          <w:p w14:paraId="22A7FAC5"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Advanced </w:t>
            </w:r>
            <w:r w:rsidRPr="007A2C85">
              <w:rPr>
                <w:rFonts w:asciiTheme="majorHAnsi" w:hAnsiTheme="majorHAnsi"/>
                <w:i/>
                <w:sz w:val="20"/>
                <w:szCs w:val="20"/>
              </w:rPr>
              <w:t>Scaevola</w:t>
            </w:r>
          </w:p>
        </w:tc>
        <w:tc>
          <w:tcPr>
            <w:tcW w:w="1842" w:type="dxa"/>
            <w:shd w:val="clear" w:color="auto" w:fill="F2F2F2" w:themeFill="background1" w:themeFillShade="F2"/>
          </w:tcPr>
          <w:p w14:paraId="214C292A"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Coastal dunes, beaches</w:t>
            </w:r>
          </w:p>
        </w:tc>
        <w:tc>
          <w:tcPr>
            <w:tcW w:w="1560" w:type="dxa"/>
            <w:shd w:val="clear" w:color="auto" w:fill="F2F2F2" w:themeFill="background1" w:themeFillShade="F2"/>
          </w:tcPr>
          <w:p w14:paraId="01D402A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 xml:space="preserve">Non-fire-prone </w:t>
            </w:r>
          </w:p>
        </w:tc>
        <w:tc>
          <w:tcPr>
            <w:tcW w:w="1984" w:type="dxa"/>
            <w:shd w:val="clear" w:color="auto" w:fill="F2F2F2" w:themeFill="background1" w:themeFillShade="F2"/>
          </w:tcPr>
          <w:p w14:paraId="3D779F8F" w14:textId="77777777" w:rsidR="00715EA7" w:rsidRPr="007A2C85" w:rsidRDefault="00715EA7" w:rsidP="005B6A6B">
            <w:pPr>
              <w:ind w:left="-57" w:right="-57"/>
              <w:rPr>
                <w:rFonts w:asciiTheme="majorHAnsi" w:hAnsiTheme="majorHAnsi"/>
                <w:sz w:val="20"/>
                <w:szCs w:val="20"/>
              </w:rPr>
            </w:pPr>
            <w:r w:rsidRPr="007A2C85">
              <w:rPr>
                <w:rFonts w:asciiTheme="majorHAnsi" w:hAnsiTheme="majorHAnsi"/>
                <w:sz w:val="20"/>
                <w:szCs w:val="20"/>
              </w:rPr>
              <w:t>Non-fire-released dormancy</w:t>
            </w:r>
          </w:p>
        </w:tc>
        <w:tc>
          <w:tcPr>
            <w:tcW w:w="1276" w:type="dxa"/>
            <w:shd w:val="clear" w:color="auto" w:fill="F2F2F2" w:themeFill="background1" w:themeFillShade="F2"/>
          </w:tcPr>
          <w:p w14:paraId="3130FC55" w14:textId="77777777" w:rsidR="00715EA7" w:rsidRPr="007A2C85" w:rsidRDefault="00715EA7" w:rsidP="005B6A6B">
            <w:pPr>
              <w:ind w:left="-57" w:right="-57"/>
              <w:rPr>
                <w:rFonts w:asciiTheme="majorHAnsi" w:hAnsiTheme="majorHAnsi"/>
                <w:sz w:val="20"/>
                <w:szCs w:val="20"/>
              </w:rPr>
            </w:pPr>
          </w:p>
        </w:tc>
        <w:tc>
          <w:tcPr>
            <w:tcW w:w="1984" w:type="dxa"/>
            <w:shd w:val="clear" w:color="auto" w:fill="F2F2F2" w:themeFill="background1" w:themeFillShade="F2"/>
          </w:tcPr>
          <w:p w14:paraId="3F4D0905" w14:textId="77777777" w:rsidR="00715EA7" w:rsidRPr="007A2C85" w:rsidRDefault="00715EA7" w:rsidP="005B6A6B">
            <w:pPr>
              <w:ind w:left="-57" w:right="-57" w:firstLine="13"/>
              <w:rPr>
                <w:rFonts w:asciiTheme="majorHAnsi" w:eastAsia="Times New Roman" w:hAnsiTheme="majorHAnsi"/>
                <w:sz w:val="20"/>
                <w:szCs w:val="20"/>
              </w:rPr>
            </w:pPr>
            <w:r w:rsidRPr="007A2C85">
              <w:rPr>
                <w:rFonts w:asciiTheme="majorHAnsi" w:hAnsiTheme="majorHAnsi"/>
                <w:sz w:val="20"/>
                <w:szCs w:val="20"/>
              </w:rPr>
              <w:t>Roche et al. 1997, Jabaily et al. 2014</w:t>
            </w:r>
          </w:p>
        </w:tc>
      </w:tr>
      <w:tr w:rsidR="00715EA7" w:rsidRPr="007A2C85" w14:paraId="246461A5" w14:textId="77777777" w:rsidTr="005B6A6B">
        <w:tc>
          <w:tcPr>
            <w:tcW w:w="1277" w:type="dxa"/>
            <w:shd w:val="clear" w:color="auto" w:fill="auto"/>
          </w:tcPr>
          <w:p w14:paraId="3AF6C6D9"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Lamiaceae,</w:t>
            </w:r>
          </w:p>
          <w:p w14:paraId="283733A6" w14:textId="77777777" w:rsidR="00715EA7" w:rsidRPr="007A2C85" w:rsidRDefault="00715EA7" w:rsidP="005B6A6B">
            <w:pPr>
              <w:ind w:left="34" w:right="-57" w:firstLine="57"/>
              <w:rPr>
                <w:rFonts w:asciiTheme="majorHAnsi" w:hAnsiTheme="majorHAnsi"/>
                <w:sz w:val="20"/>
                <w:szCs w:val="20"/>
              </w:rPr>
            </w:pPr>
            <w:r w:rsidRPr="007A2C85">
              <w:rPr>
                <w:rFonts w:asciiTheme="majorHAnsi" w:hAnsiTheme="majorHAnsi"/>
                <w:i/>
                <w:sz w:val="20"/>
                <w:szCs w:val="20"/>
              </w:rPr>
              <w:t>Prunella  vulgaris</w:t>
            </w:r>
          </w:p>
        </w:tc>
        <w:tc>
          <w:tcPr>
            <w:tcW w:w="1701" w:type="dxa"/>
            <w:shd w:val="clear" w:color="auto" w:fill="auto"/>
          </w:tcPr>
          <w:p w14:paraId="68C51F59" w14:textId="77777777" w:rsidR="00715EA7" w:rsidRPr="007A2C85" w:rsidRDefault="00715EA7" w:rsidP="005B6A6B">
            <w:pPr>
              <w:ind w:left="-57" w:right="-57" w:firstLine="57"/>
              <w:rPr>
                <w:rFonts w:asciiTheme="majorHAnsi" w:hAnsiTheme="majorHAnsi"/>
                <w:sz w:val="20"/>
                <w:szCs w:val="20"/>
              </w:rPr>
            </w:pPr>
          </w:p>
        </w:tc>
        <w:tc>
          <w:tcPr>
            <w:tcW w:w="1276" w:type="dxa"/>
            <w:shd w:val="clear" w:color="auto" w:fill="auto"/>
          </w:tcPr>
          <w:p w14:paraId="6D509470"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Fireprone grassland</w:t>
            </w:r>
          </w:p>
        </w:tc>
        <w:tc>
          <w:tcPr>
            <w:tcW w:w="1417" w:type="dxa"/>
            <w:shd w:val="clear" w:color="auto" w:fill="auto"/>
          </w:tcPr>
          <w:p w14:paraId="475B773C"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Soil-stored, fire-released dormancy</w:t>
            </w:r>
          </w:p>
        </w:tc>
        <w:tc>
          <w:tcPr>
            <w:tcW w:w="1985" w:type="dxa"/>
            <w:shd w:val="clear" w:color="auto" w:fill="auto"/>
          </w:tcPr>
          <w:p w14:paraId="1AFA1E07"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Ecotypic change</w:t>
            </w:r>
          </w:p>
        </w:tc>
        <w:tc>
          <w:tcPr>
            <w:tcW w:w="1842" w:type="dxa"/>
          </w:tcPr>
          <w:p w14:paraId="085EB53C"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 xml:space="preserve">Rainforest </w:t>
            </w:r>
          </w:p>
        </w:tc>
        <w:tc>
          <w:tcPr>
            <w:tcW w:w="1560" w:type="dxa"/>
            <w:shd w:val="clear" w:color="auto" w:fill="auto"/>
          </w:tcPr>
          <w:p w14:paraId="345B653C"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 xml:space="preserve"> Non-fire-prone</w:t>
            </w:r>
          </w:p>
        </w:tc>
        <w:tc>
          <w:tcPr>
            <w:tcW w:w="1984" w:type="dxa"/>
            <w:shd w:val="clear" w:color="auto" w:fill="auto"/>
          </w:tcPr>
          <w:p w14:paraId="31478F9B"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Non-fire dormancy break</w:t>
            </w:r>
          </w:p>
        </w:tc>
        <w:tc>
          <w:tcPr>
            <w:tcW w:w="1276" w:type="dxa"/>
            <w:shd w:val="clear" w:color="auto" w:fill="auto"/>
          </w:tcPr>
          <w:p w14:paraId="215CFADD" w14:textId="77777777" w:rsidR="00715EA7" w:rsidRPr="007A2C85" w:rsidRDefault="00715EA7" w:rsidP="005B6A6B">
            <w:pPr>
              <w:ind w:left="-57" w:right="-57" w:firstLine="57"/>
              <w:rPr>
                <w:rFonts w:asciiTheme="majorHAnsi" w:hAnsiTheme="majorHAnsi"/>
                <w:sz w:val="20"/>
                <w:szCs w:val="20"/>
              </w:rPr>
            </w:pPr>
          </w:p>
        </w:tc>
        <w:tc>
          <w:tcPr>
            <w:tcW w:w="1984" w:type="dxa"/>
            <w:shd w:val="clear" w:color="auto" w:fill="auto"/>
          </w:tcPr>
          <w:p w14:paraId="0710A3B1" w14:textId="77777777" w:rsidR="00715EA7" w:rsidRPr="007A2C85" w:rsidRDefault="00715EA7" w:rsidP="005B6A6B">
            <w:pPr>
              <w:ind w:left="-57" w:right="-57" w:firstLine="13"/>
              <w:rPr>
                <w:rFonts w:asciiTheme="majorHAnsi" w:hAnsiTheme="majorHAnsi"/>
                <w:sz w:val="20"/>
                <w:szCs w:val="20"/>
              </w:rPr>
            </w:pPr>
            <w:r w:rsidRPr="007A2C85">
              <w:rPr>
                <w:rFonts w:asciiTheme="majorHAnsi" w:hAnsiTheme="majorHAnsi"/>
                <w:sz w:val="20"/>
                <w:szCs w:val="20"/>
              </w:rPr>
              <w:t>Clark and Wilson 2000, Godoy et al. 2011</w:t>
            </w:r>
          </w:p>
        </w:tc>
      </w:tr>
      <w:tr w:rsidR="00715EA7" w:rsidRPr="007A2C85" w14:paraId="5CDACB06" w14:textId="77777777" w:rsidTr="005B6A6B">
        <w:tc>
          <w:tcPr>
            <w:tcW w:w="1277" w:type="dxa"/>
            <w:shd w:val="clear" w:color="auto" w:fill="F2F2F2" w:themeFill="background1" w:themeFillShade="F2"/>
          </w:tcPr>
          <w:p w14:paraId="3A02AE17" w14:textId="77777777" w:rsidR="00715EA7" w:rsidRPr="007A2C85" w:rsidRDefault="00715EA7" w:rsidP="005B6A6B">
            <w:pPr>
              <w:ind w:left="-57" w:right="-57" w:firstLine="5"/>
              <w:rPr>
                <w:rFonts w:asciiTheme="majorHAnsi" w:hAnsiTheme="majorHAnsi"/>
                <w:i/>
                <w:sz w:val="20"/>
                <w:szCs w:val="20"/>
              </w:rPr>
            </w:pPr>
            <w:r w:rsidRPr="007A2C85">
              <w:rPr>
                <w:rFonts w:asciiTheme="majorHAnsi" w:hAnsiTheme="majorHAnsi"/>
                <w:sz w:val="20"/>
                <w:szCs w:val="20"/>
              </w:rPr>
              <w:t xml:space="preserve">Proteaceae, </w:t>
            </w:r>
            <w:r w:rsidRPr="007A2C85">
              <w:rPr>
                <w:rFonts w:asciiTheme="majorHAnsi" w:hAnsiTheme="majorHAnsi"/>
                <w:i/>
                <w:sz w:val="20"/>
                <w:szCs w:val="20"/>
              </w:rPr>
              <w:t>Hakea</w:t>
            </w:r>
          </w:p>
        </w:tc>
        <w:tc>
          <w:tcPr>
            <w:tcW w:w="1701" w:type="dxa"/>
            <w:shd w:val="clear" w:color="auto" w:fill="F2F2F2" w:themeFill="background1" w:themeFillShade="F2"/>
          </w:tcPr>
          <w:p w14:paraId="13DD7636"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Moderate rainfall, summer-dry (mediterranean), SW Australia</w:t>
            </w:r>
          </w:p>
        </w:tc>
        <w:tc>
          <w:tcPr>
            <w:tcW w:w="1276" w:type="dxa"/>
            <w:shd w:val="clear" w:color="auto" w:fill="F2F2F2" w:themeFill="background1" w:themeFillShade="F2"/>
          </w:tcPr>
          <w:p w14:paraId="320C9E87"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Fireprone shrub/woodland</w:t>
            </w:r>
          </w:p>
        </w:tc>
        <w:tc>
          <w:tcPr>
            <w:tcW w:w="1417" w:type="dxa"/>
            <w:shd w:val="clear" w:color="auto" w:fill="F2F2F2" w:themeFill="background1" w:themeFillShade="F2"/>
          </w:tcPr>
          <w:p w14:paraId="292A81A1"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Enforced dormancy (serotinous), heat release</w:t>
            </w:r>
          </w:p>
        </w:tc>
        <w:tc>
          <w:tcPr>
            <w:tcW w:w="1985" w:type="dxa"/>
            <w:shd w:val="clear" w:color="auto" w:fill="F2F2F2" w:themeFill="background1" w:themeFillShade="F2"/>
          </w:tcPr>
          <w:p w14:paraId="5EBBB622"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 xml:space="preserve">Advanced </w:t>
            </w:r>
            <w:r w:rsidRPr="007A2C85">
              <w:rPr>
                <w:rFonts w:asciiTheme="majorHAnsi" w:hAnsiTheme="majorHAnsi"/>
                <w:i/>
                <w:sz w:val="20"/>
                <w:szCs w:val="20"/>
              </w:rPr>
              <w:t>Hakea</w:t>
            </w:r>
            <w:r w:rsidRPr="007A2C85">
              <w:rPr>
                <w:rFonts w:asciiTheme="majorHAnsi" w:hAnsiTheme="majorHAnsi"/>
                <w:sz w:val="20"/>
                <w:szCs w:val="20"/>
              </w:rPr>
              <w:t xml:space="preserve">, eg, </w:t>
            </w:r>
            <w:r w:rsidRPr="007A2C85">
              <w:rPr>
                <w:rFonts w:asciiTheme="majorHAnsi" w:hAnsiTheme="majorHAnsi"/>
                <w:i/>
                <w:sz w:val="20"/>
                <w:szCs w:val="20"/>
              </w:rPr>
              <w:t>Hakea clavata</w:t>
            </w:r>
          </w:p>
        </w:tc>
        <w:tc>
          <w:tcPr>
            <w:tcW w:w="1842" w:type="dxa"/>
            <w:shd w:val="clear" w:color="auto" w:fill="F2F2F2" w:themeFill="background1" w:themeFillShade="F2"/>
          </w:tcPr>
          <w:p w14:paraId="62471C7A"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Rock outcrop</w:t>
            </w:r>
          </w:p>
        </w:tc>
        <w:tc>
          <w:tcPr>
            <w:tcW w:w="1560" w:type="dxa"/>
            <w:shd w:val="clear" w:color="auto" w:fill="F2F2F2" w:themeFill="background1" w:themeFillShade="F2"/>
          </w:tcPr>
          <w:p w14:paraId="5D1C6443"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 xml:space="preserve">Non-fire-prone </w:t>
            </w:r>
          </w:p>
        </w:tc>
        <w:tc>
          <w:tcPr>
            <w:tcW w:w="1984" w:type="dxa"/>
            <w:shd w:val="clear" w:color="auto" w:fill="F2F2F2" w:themeFill="background1" w:themeFillShade="F2"/>
          </w:tcPr>
          <w:p w14:paraId="253F466B"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Non-dormant (non-serotinous)</w:t>
            </w:r>
          </w:p>
        </w:tc>
        <w:tc>
          <w:tcPr>
            <w:tcW w:w="1276" w:type="dxa"/>
            <w:shd w:val="clear" w:color="auto" w:fill="F2F2F2" w:themeFill="background1" w:themeFillShade="F2"/>
          </w:tcPr>
          <w:p w14:paraId="077D35D1"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9</w:t>
            </w:r>
            <w:r w:rsidRPr="007A2C85">
              <w:rPr>
                <w:rFonts w:asciiTheme="majorHAnsi" w:hAnsiTheme="majorHAnsi"/>
                <w:sz w:val="20"/>
                <w:szCs w:val="20"/>
              </w:rPr>
              <w:sym w:font="Symbol" w:char="F02D"/>
            </w:r>
            <w:r w:rsidRPr="007A2C85">
              <w:rPr>
                <w:rFonts w:asciiTheme="majorHAnsi" w:hAnsiTheme="majorHAnsi"/>
                <w:sz w:val="20"/>
                <w:szCs w:val="20"/>
              </w:rPr>
              <w:t>6</w:t>
            </w:r>
          </w:p>
        </w:tc>
        <w:tc>
          <w:tcPr>
            <w:tcW w:w="1984" w:type="dxa"/>
            <w:shd w:val="clear" w:color="auto" w:fill="F2F2F2" w:themeFill="background1" w:themeFillShade="F2"/>
          </w:tcPr>
          <w:p w14:paraId="69863637" w14:textId="77777777" w:rsidR="00715EA7" w:rsidRPr="007A2C85" w:rsidRDefault="00715EA7" w:rsidP="005B6A6B">
            <w:pPr>
              <w:ind w:left="-57" w:right="-57" w:firstLine="13"/>
              <w:rPr>
                <w:rFonts w:asciiTheme="majorHAnsi" w:hAnsiTheme="majorHAnsi"/>
                <w:sz w:val="20"/>
                <w:szCs w:val="20"/>
              </w:rPr>
            </w:pPr>
            <w:r w:rsidRPr="007A2C85">
              <w:rPr>
                <w:rFonts w:asciiTheme="majorHAnsi" w:hAnsiTheme="majorHAnsi"/>
                <w:sz w:val="20"/>
                <w:szCs w:val="20"/>
              </w:rPr>
              <w:t>Lamont et al. 2017</w:t>
            </w:r>
          </w:p>
        </w:tc>
      </w:tr>
      <w:tr w:rsidR="00715EA7" w:rsidRPr="007A2C85" w14:paraId="18BBE938" w14:textId="77777777" w:rsidTr="005B6A6B">
        <w:tc>
          <w:tcPr>
            <w:tcW w:w="1277" w:type="dxa"/>
            <w:shd w:val="clear" w:color="auto" w:fill="auto"/>
          </w:tcPr>
          <w:p w14:paraId="50AB865C" w14:textId="77777777" w:rsidR="00715EA7" w:rsidRPr="007A2C85" w:rsidRDefault="00715EA7" w:rsidP="005B6A6B">
            <w:pPr>
              <w:ind w:left="-57" w:right="-57" w:firstLine="57"/>
              <w:rPr>
                <w:rFonts w:asciiTheme="majorHAnsi" w:hAnsiTheme="majorHAnsi"/>
                <w:i/>
                <w:sz w:val="20"/>
                <w:szCs w:val="20"/>
              </w:rPr>
            </w:pPr>
            <w:r w:rsidRPr="007A2C85">
              <w:rPr>
                <w:rFonts w:asciiTheme="majorHAnsi" w:hAnsiTheme="majorHAnsi"/>
                <w:i/>
                <w:sz w:val="20"/>
                <w:szCs w:val="20"/>
              </w:rPr>
              <w:t>Lupinus</w:t>
            </w:r>
          </w:p>
        </w:tc>
        <w:tc>
          <w:tcPr>
            <w:tcW w:w="1701" w:type="dxa"/>
            <w:shd w:val="clear" w:color="auto" w:fill="auto"/>
          </w:tcPr>
          <w:p w14:paraId="5F4E67D0"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Savanna, Texas-Mexico</w:t>
            </w:r>
          </w:p>
        </w:tc>
        <w:tc>
          <w:tcPr>
            <w:tcW w:w="1276" w:type="dxa"/>
            <w:shd w:val="clear" w:color="auto" w:fill="auto"/>
          </w:tcPr>
          <w:p w14:paraId="5DF18215"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Savanna woodland</w:t>
            </w:r>
          </w:p>
        </w:tc>
        <w:tc>
          <w:tcPr>
            <w:tcW w:w="1417" w:type="dxa"/>
            <w:shd w:val="clear" w:color="auto" w:fill="auto"/>
          </w:tcPr>
          <w:p w14:paraId="15185292"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Hard testa, dormancy heat-released</w:t>
            </w:r>
          </w:p>
        </w:tc>
        <w:tc>
          <w:tcPr>
            <w:tcW w:w="1985" w:type="dxa"/>
            <w:shd w:val="clear" w:color="auto" w:fill="auto"/>
          </w:tcPr>
          <w:p w14:paraId="612476F1" w14:textId="77777777" w:rsidR="00715EA7" w:rsidRPr="007A2C85" w:rsidRDefault="00715EA7" w:rsidP="005B6A6B">
            <w:pPr>
              <w:ind w:left="-57" w:right="-57" w:firstLine="57"/>
              <w:rPr>
                <w:rFonts w:asciiTheme="majorHAnsi" w:hAnsiTheme="majorHAnsi"/>
                <w:i/>
                <w:sz w:val="20"/>
                <w:szCs w:val="20"/>
              </w:rPr>
            </w:pPr>
            <w:r w:rsidRPr="007A2C85">
              <w:rPr>
                <w:rFonts w:asciiTheme="majorHAnsi" w:hAnsiTheme="majorHAnsi"/>
                <w:sz w:val="20"/>
                <w:szCs w:val="20"/>
              </w:rPr>
              <w:t xml:space="preserve">Advanced lupins: </w:t>
            </w:r>
            <w:r w:rsidRPr="007A2C85">
              <w:rPr>
                <w:rFonts w:asciiTheme="majorHAnsi" w:hAnsiTheme="majorHAnsi"/>
                <w:i/>
                <w:sz w:val="20"/>
                <w:szCs w:val="20"/>
              </w:rPr>
              <w:t>L. texensis</w:t>
            </w:r>
          </w:p>
        </w:tc>
        <w:tc>
          <w:tcPr>
            <w:tcW w:w="1842" w:type="dxa"/>
          </w:tcPr>
          <w:p w14:paraId="4EF3D577"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Desert</w:t>
            </w:r>
          </w:p>
        </w:tc>
        <w:tc>
          <w:tcPr>
            <w:tcW w:w="1560" w:type="dxa"/>
            <w:shd w:val="clear" w:color="auto" w:fill="auto"/>
          </w:tcPr>
          <w:p w14:paraId="7B510EDE"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Non-fireprone</w:t>
            </w:r>
          </w:p>
        </w:tc>
        <w:tc>
          <w:tcPr>
            <w:tcW w:w="1984" w:type="dxa"/>
            <w:shd w:val="clear" w:color="auto" w:fill="auto"/>
          </w:tcPr>
          <w:p w14:paraId="6FB45647"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Nondormant (95% germ), suppressed at 85°C (38%)</w:t>
            </w:r>
          </w:p>
        </w:tc>
        <w:tc>
          <w:tcPr>
            <w:tcW w:w="1276" w:type="dxa"/>
            <w:shd w:val="clear" w:color="auto" w:fill="auto"/>
          </w:tcPr>
          <w:p w14:paraId="745ED6E7"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1.2</w:t>
            </w:r>
            <w:r w:rsidRPr="007A2C85">
              <w:rPr>
                <w:rFonts w:asciiTheme="majorHAnsi" w:hAnsiTheme="majorHAnsi"/>
                <w:sz w:val="20"/>
                <w:szCs w:val="20"/>
              </w:rPr>
              <w:sym w:font="Symbol" w:char="F02D"/>
            </w:r>
            <w:r w:rsidRPr="007A2C85">
              <w:rPr>
                <w:rFonts w:asciiTheme="majorHAnsi" w:hAnsiTheme="majorHAnsi"/>
                <w:sz w:val="20"/>
                <w:szCs w:val="20"/>
              </w:rPr>
              <w:t>0.4</w:t>
            </w:r>
          </w:p>
        </w:tc>
        <w:tc>
          <w:tcPr>
            <w:tcW w:w="1984" w:type="dxa"/>
            <w:shd w:val="clear" w:color="auto" w:fill="auto"/>
          </w:tcPr>
          <w:p w14:paraId="75675885" w14:textId="77777777" w:rsidR="00715EA7" w:rsidRPr="007A2C85" w:rsidRDefault="00715EA7" w:rsidP="005B6A6B">
            <w:pPr>
              <w:ind w:left="-57" w:right="-57" w:firstLine="13"/>
              <w:rPr>
                <w:rFonts w:asciiTheme="majorHAnsi" w:eastAsia="Times New Roman" w:hAnsiTheme="majorHAnsi"/>
                <w:sz w:val="20"/>
                <w:szCs w:val="20"/>
              </w:rPr>
            </w:pPr>
            <w:r w:rsidRPr="007A2C85">
              <w:rPr>
                <w:rFonts w:asciiTheme="majorHAnsi" w:eastAsia="Times New Roman" w:hAnsiTheme="majorHAnsi"/>
                <w:sz w:val="20"/>
                <w:szCs w:val="20"/>
              </w:rPr>
              <w:t>Davis et al. 1991, Eastwood et al. 2009, Pausas &amp; Lamont 2022</w:t>
            </w:r>
          </w:p>
        </w:tc>
      </w:tr>
      <w:tr w:rsidR="00715EA7" w:rsidRPr="007A2C85" w14:paraId="73E64798" w14:textId="77777777" w:rsidTr="005B6A6B">
        <w:tc>
          <w:tcPr>
            <w:tcW w:w="1277" w:type="dxa"/>
            <w:shd w:val="clear" w:color="auto" w:fill="F2F2F2" w:themeFill="background1" w:themeFillShade="F2"/>
          </w:tcPr>
          <w:p w14:paraId="7BEEC967" w14:textId="77777777" w:rsidR="00715EA7" w:rsidRPr="007A2C85" w:rsidRDefault="00715EA7" w:rsidP="005B6A6B">
            <w:pPr>
              <w:ind w:left="-57" w:right="-57" w:firstLine="57"/>
              <w:rPr>
                <w:rFonts w:asciiTheme="majorHAnsi" w:hAnsiTheme="majorHAnsi"/>
                <w:i/>
                <w:sz w:val="20"/>
                <w:szCs w:val="20"/>
              </w:rPr>
            </w:pPr>
            <w:r w:rsidRPr="007A2C85">
              <w:rPr>
                <w:rFonts w:asciiTheme="majorHAnsi" w:hAnsiTheme="majorHAnsi"/>
                <w:i/>
                <w:sz w:val="20"/>
                <w:szCs w:val="20"/>
              </w:rPr>
              <w:t>Lupinus</w:t>
            </w:r>
          </w:p>
        </w:tc>
        <w:tc>
          <w:tcPr>
            <w:tcW w:w="1701" w:type="dxa"/>
            <w:shd w:val="clear" w:color="auto" w:fill="F2F2F2" w:themeFill="background1" w:themeFillShade="F2"/>
          </w:tcPr>
          <w:p w14:paraId="12B1803D"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Dry Mediterr., NE Africa (Egypt) - saline margins of Nile River</w:t>
            </w:r>
          </w:p>
        </w:tc>
        <w:tc>
          <w:tcPr>
            <w:tcW w:w="1276" w:type="dxa"/>
            <w:shd w:val="clear" w:color="auto" w:fill="F2F2F2" w:themeFill="background1" w:themeFillShade="F2"/>
          </w:tcPr>
          <w:p w14:paraId="3E91558A"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 xml:space="preserve">Fireprone shrublands </w:t>
            </w:r>
          </w:p>
        </w:tc>
        <w:tc>
          <w:tcPr>
            <w:tcW w:w="1417" w:type="dxa"/>
            <w:shd w:val="clear" w:color="auto" w:fill="F2F2F2" w:themeFill="background1" w:themeFillShade="F2"/>
          </w:tcPr>
          <w:p w14:paraId="688B5D81" w14:textId="77777777" w:rsidR="00715EA7" w:rsidRPr="007A2C85" w:rsidRDefault="00715EA7" w:rsidP="005B6A6B">
            <w:pPr>
              <w:ind w:left="-57" w:right="-57" w:firstLine="57"/>
              <w:rPr>
                <w:rFonts w:asciiTheme="majorHAnsi" w:hAnsiTheme="majorHAnsi"/>
                <w:b/>
                <w:sz w:val="20"/>
                <w:szCs w:val="20"/>
              </w:rPr>
            </w:pPr>
            <w:r w:rsidRPr="007A2C85">
              <w:rPr>
                <w:rFonts w:asciiTheme="majorHAnsi" w:hAnsiTheme="majorHAnsi"/>
                <w:sz w:val="20"/>
                <w:szCs w:val="20"/>
              </w:rPr>
              <w:t>Hard testa, dormancy heat-released</w:t>
            </w:r>
          </w:p>
        </w:tc>
        <w:tc>
          <w:tcPr>
            <w:tcW w:w="1985" w:type="dxa"/>
            <w:shd w:val="clear" w:color="auto" w:fill="F2F2F2" w:themeFill="background1" w:themeFillShade="F2"/>
          </w:tcPr>
          <w:p w14:paraId="458F1DEA" w14:textId="77777777" w:rsidR="00715EA7" w:rsidRPr="007A2C85" w:rsidRDefault="00715EA7" w:rsidP="005B6A6B">
            <w:pPr>
              <w:ind w:left="-57" w:right="-57" w:firstLine="57"/>
              <w:rPr>
                <w:rFonts w:asciiTheme="majorHAnsi" w:hAnsiTheme="majorHAnsi"/>
                <w:i/>
                <w:sz w:val="20"/>
                <w:szCs w:val="20"/>
              </w:rPr>
            </w:pPr>
            <w:r w:rsidRPr="007A2C85">
              <w:rPr>
                <w:rFonts w:asciiTheme="majorHAnsi" w:hAnsiTheme="majorHAnsi"/>
                <w:sz w:val="20"/>
                <w:szCs w:val="20"/>
              </w:rPr>
              <w:t xml:space="preserve">Advanced lupins: </w:t>
            </w:r>
            <w:r w:rsidRPr="007A2C85">
              <w:rPr>
                <w:rFonts w:asciiTheme="majorHAnsi" w:hAnsiTheme="majorHAnsi"/>
                <w:i/>
                <w:sz w:val="20"/>
                <w:szCs w:val="20"/>
              </w:rPr>
              <w:t>L. alba</w:t>
            </w:r>
            <w:r w:rsidRPr="007A2C85">
              <w:rPr>
                <w:rFonts w:asciiTheme="majorHAnsi" w:hAnsiTheme="majorHAnsi"/>
                <w:sz w:val="20"/>
                <w:szCs w:val="20"/>
              </w:rPr>
              <w:t xml:space="preserve"> subsp </w:t>
            </w:r>
            <w:r w:rsidRPr="007A2C85">
              <w:rPr>
                <w:rFonts w:asciiTheme="majorHAnsi" w:hAnsiTheme="majorHAnsi"/>
                <w:i/>
                <w:sz w:val="20"/>
                <w:szCs w:val="20"/>
              </w:rPr>
              <w:t>termis</w:t>
            </w:r>
          </w:p>
        </w:tc>
        <w:tc>
          <w:tcPr>
            <w:tcW w:w="1842" w:type="dxa"/>
            <w:shd w:val="clear" w:color="auto" w:fill="F2F2F2" w:themeFill="background1" w:themeFillShade="F2"/>
          </w:tcPr>
          <w:p w14:paraId="1E7B841C"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Marsh vegetation beside Nile River</w:t>
            </w:r>
          </w:p>
        </w:tc>
        <w:tc>
          <w:tcPr>
            <w:tcW w:w="1560" w:type="dxa"/>
            <w:shd w:val="clear" w:color="auto" w:fill="F2F2F2" w:themeFill="background1" w:themeFillShade="F2"/>
          </w:tcPr>
          <w:p w14:paraId="0387E172"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Non-fireprone, halophytic (tolerates up to 200 mM salt)</w:t>
            </w:r>
          </w:p>
        </w:tc>
        <w:tc>
          <w:tcPr>
            <w:tcW w:w="1984" w:type="dxa"/>
            <w:shd w:val="clear" w:color="auto" w:fill="F2F2F2" w:themeFill="background1" w:themeFillShade="F2"/>
          </w:tcPr>
          <w:p w14:paraId="0EE07988"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Nondormant (100% germination untreated)</w:t>
            </w:r>
          </w:p>
        </w:tc>
        <w:tc>
          <w:tcPr>
            <w:tcW w:w="1276" w:type="dxa"/>
            <w:shd w:val="clear" w:color="auto" w:fill="F2F2F2" w:themeFill="background1" w:themeFillShade="F2"/>
          </w:tcPr>
          <w:p w14:paraId="54A302D6"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500,000 y (</w:t>
            </w:r>
            <w:r w:rsidRPr="007A2C85">
              <w:rPr>
                <w:rFonts w:asciiTheme="majorHAnsi" w:hAnsiTheme="majorHAnsi"/>
                <w:i/>
                <w:sz w:val="20"/>
                <w:szCs w:val="20"/>
              </w:rPr>
              <w:t>Lupinus alba</w:t>
            </w:r>
            <w:r w:rsidRPr="007A2C85">
              <w:rPr>
                <w:rFonts w:asciiTheme="majorHAnsi" w:hAnsiTheme="majorHAnsi"/>
                <w:sz w:val="20"/>
                <w:szCs w:val="20"/>
              </w:rPr>
              <w:t>)</w:t>
            </w:r>
          </w:p>
        </w:tc>
        <w:tc>
          <w:tcPr>
            <w:tcW w:w="1984" w:type="dxa"/>
            <w:shd w:val="clear" w:color="auto" w:fill="F2F2F2" w:themeFill="background1" w:themeFillShade="F2"/>
          </w:tcPr>
          <w:p w14:paraId="0CB0C0EF" w14:textId="77777777" w:rsidR="00715EA7" w:rsidRPr="007A2C85" w:rsidRDefault="00715EA7" w:rsidP="005B6A6B">
            <w:pPr>
              <w:ind w:left="-57" w:right="-57" w:firstLine="13"/>
              <w:rPr>
                <w:rFonts w:asciiTheme="majorHAnsi" w:eastAsia="Times New Roman" w:hAnsiTheme="majorHAnsi"/>
                <w:sz w:val="20"/>
                <w:szCs w:val="20"/>
              </w:rPr>
            </w:pPr>
            <w:r w:rsidRPr="007A2C85">
              <w:rPr>
                <w:rFonts w:asciiTheme="majorHAnsi" w:eastAsia="Times New Roman" w:hAnsiTheme="majorHAnsi"/>
                <w:sz w:val="20"/>
                <w:szCs w:val="20"/>
              </w:rPr>
              <w:t>Shaddad et al. 1990, Eastwood et al. 2009, Pausas &amp; Lamont 2022</w:t>
            </w:r>
          </w:p>
        </w:tc>
      </w:tr>
      <w:tr w:rsidR="00715EA7" w:rsidRPr="007A2C85" w14:paraId="73517B0B" w14:textId="77777777" w:rsidTr="005B6A6B">
        <w:tc>
          <w:tcPr>
            <w:tcW w:w="1277" w:type="dxa"/>
            <w:shd w:val="clear" w:color="auto" w:fill="auto"/>
          </w:tcPr>
          <w:p w14:paraId="645589F4"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i/>
                <w:sz w:val="20"/>
                <w:szCs w:val="20"/>
              </w:rPr>
              <w:t>Polygala</w:t>
            </w:r>
            <w:r w:rsidRPr="007A2C85">
              <w:rPr>
                <w:rFonts w:asciiTheme="majorHAnsi" w:hAnsiTheme="majorHAnsi"/>
                <w:sz w:val="20"/>
                <w:szCs w:val="20"/>
              </w:rPr>
              <w:t>, Polygalaceae</w:t>
            </w:r>
          </w:p>
        </w:tc>
        <w:tc>
          <w:tcPr>
            <w:tcW w:w="1701" w:type="dxa"/>
            <w:shd w:val="clear" w:color="auto" w:fill="auto"/>
          </w:tcPr>
          <w:p w14:paraId="409A39AC"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Monsoon, China and India</w:t>
            </w:r>
          </w:p>
        </w:tc>
        <w:tc>
          <w:tcPr>
            <w:tcW w:w="1276" w:type="dxa"/>
            <w:shd w:val="clear" w:color="auto" w:fill="auto"/>
          </w:tcPr>
          <w:p w14:paraId="77A341C4"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Fireprone woodland/forest</w:t>
            </w:r>
          </w:p>
        </w:tc>
        <w:tc>
          <w:tcPr>
            <w:tcW w:w="1417" w:type="dxa"/>
            <w:shd w:val="clear" w:color="auto" w:fill="auto"/>
          </w:tcPr>
          <w:p w14:paraId="4D1EE494"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Hard, dormant, soil-stored, arillate (ant-dispersed)</w:t>
            </w:r>
          </w:p>
        </w:tc>
        <w:tc>
          <w:tcPr>
            <w:tcW w:w="1985" w:type="dxa"/>
            <w:shd w:val="clear" w:color="auto" w:fill="auto"/>
          </w:tcPr>
          <w:p w14:paraId="3533DCA8"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i/>
                <w:sz w:val="20"/>
                <w:szCs w:val="20"/>
              </w:rPr>
              <w:t>Polygala arillata</w:t>
            </w:r>
            <w:r w:rsidRPr="007A2C85">
              <w:rPr>
                <w:rFonts w:asciiTheme="majorHAnsi" w:hAnsiTheme="majorHAnsi"/>
                <w:sz w:val="20"/>
                <w:szCs w:val="20"/>
              </w:rPr>
              <w:t xml:space="preserve"> separates from rest of </w:t>
            </w:r>
            <w:r w:rsidRPr="007A2C85">
              <w:rPr>
                <w:rFonts w:asciiTheme="majorHAnsi" w:hAnsiTheme="majorHAnsi"/>
                <w:i/>
                <w:sz w:val="20"/>
                <w:szCs w:val="20"/>
              </w:rPr>
              <w:t>Polygala</w:t>
            </w:r>
          </w:p>
        </w:tc>
        <w:tc>
          <w:tcPr>
            <w:tcW w:w="1842" w:type="dxa"/>
          </w:tcPr>
          <w:p w14:paraId="21A4D92C"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Ever-wet forests</w:t>
            </w:r>
          </w:p>
        </w:tc>
        <w:tc>
          <w:tcPr>
            <w:tcW w:w="1560" w:type="dxa"/>
            <w:shd w:val="clear" w:color="auto" w:fill="auto"/>
          </w:tcPr>
          <w:p w14:paraId="4C2C330B"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Non-fireprone</w:t>
            </w:r>
          </w:p>
        </w:tc>
        <w:tc>
          <w:tcPr>
            <w:tcW w:w="1984" w:type="dxa"/>
            <w:shd w:val="clear" w:color="auto" w:fill="auto"/>
          </w:tcPr>
          <w:p w14:paraId="56AF0077"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Hard, dormant, fleshy aril wraps around seed – bird-dispersed, not fire-stimulated germination</w:t>
            </w:r>
          </w:p>
        </w:tc>
        <w:tc>
          <w:tcPr>
            <w:tcW w:w="1276" w:type="dxa"/>
            <w:shd w:val="clear" w:color="auto" w:fill="auto"/>
          </w:tcPr>
          <w:p w14:paraId="12B1BC69"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32.8</w:t>
            </w:r>
            <w:r w:rsidRPr="007A2C85">
              <w:rPr>
                <w:rFonts w:asciiTheme="majorHAnsi" w:hAnsiTheme="majorHAnsi"/>
                <w:sz w:val="20"/>
                <w:szCs w:val="20"/>
              </w:rPr>
              <w:sym w:font="Symbol" w:char="F02D"/>
            </w:r>
            <w:r w:rsidRPr="007A2C85">
              <w:rPr>
                <w:rFonts w:asciiTheme="majorHAnsi" w:hAnsiTheme="majorHAnsi"/>
                <w:sz w:val="20"/>
                <w:szCs w:val="20"/>
              </w:rPr>
              <w:t>27.9</w:t>
            </w:r>
          </w:p>
        </w:tc>
        <w:tc>
          <w:tcPr>
            <w:tcW w:w="1984" w:type="dxa"/>
            <w:shd w:val="clear" w:color="auto" w:fill="auto"/>
          </w:tcPr>
          <w:p w14:paraId="4795C031" w14:textId="77777777" w:rsidR="00715EA7" w:rsidRPr="007A2C85" w:rsidRDefault="00552133" w:rsidP="005B6A6B">
            <w:pPr>
              <w:ind w:left="-57" w:right="-57" w:firstLine="13"/>
              <w:rPr>
                <w:rFonts w:asciiTheme="majorHAnsi" w:eastAsia="Times New Roman" w:hAnsiTheme="majorHAnsi"/>
                <w:sz w:val="20"/>
                <w:szCs w:val="20"/>
              </w:rPr>
            </w:pPr>
            <w:hyperlink r:id="rId7" w:history="1">
              <w:r w:rsidR="00715EA7" w:rsidRPr="007A2C85">
                <w:rPr>
                  <w:rStyle w:val="Hyperlink"/>
                  <w:rFonts w:asciiTheme="majorHAnsi" w:eastAsia="Times New Roman" w:hAnsiTheme="majorHAnsi"/>
                  <w:sz w:val="20"/>
                  <w:szCs w:val="20"/>
                </w:rPr>
                <w:t>https://indiabiodiversity.org/species/show/17434</w:t>
              </w:r>
            </w:hyperlink>
            <w:r w:rsidR="00715EA7" w:rsidRPr="007A2C85">
              <w:rPr>
                <w:rFonts w:asciiTheme="majorHAnsi" w:eastAsia="Times New Roman" w:hAnsiTheme="majorHAnsi"/>
                <w:sz w:val="20"/>
                <w:szCs w:val="20"/>
              </w:rPr>
              <w:t>, Forest et al. 2007</w:t>
            </w:r>
          </w:p>
          <w:p w14:paraId="56FAEC8B" w14:textId="77777777" w:rsidR="00715EA7" w:rsidRPr="007A2C85" w:rsidRDefault="00715EA7" w:rsidP="005B6A6B">
            <w:pPr>
              <w:ind w:left="-57" w:right="-57" w:firstLine="13"/>
              <w:rPr>
                <w:rFonts w:asciiTheme="majorHAnsi" w:hAnsiTheme="majorHAnsi" w:cs="Lucida Grande"/>
                <w:sz w:val="20"/>
                <w:szCs w:val="20"/>
              </w:rPr>
            </w:pPr>
          </w:p>
        </w:tc>
      </w:tr>
      <w:tr w:rsidR="00715EA7" w:rsidRPr="007A2C85" w14:paraId="18B298E1" w14:textId="77777777" w:rsidTr="005B6A6B">
        <w:trPr>
          <w:trHeight w:val="2222"/>
        </w:trPr>
        <w:tc>
          <w:tcPr>
            <w:tcW w:w="1277" w:type="dxa"/>
            <w:tcBorders>
              <w:bottom w:val="single" w:sz="4" w:space="0" w:color="auto"/>
            </w:tcBorders>
            <w:shd w:val="clear" w:color="auto" w:fill="F2F2F2" w:themeFill="background1" w:themeFillShade="F2"/>
          </w:tcPr>
          <w:p w14:paraId="17EA3A14"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lastRenderedPageBreak/>
              <w:t>Rutaceae, Amyridoideae</w:t>
            </w:r>
          </w:p>
        </w:tc>
        <w:tc>
          <w:tcPr>
            <w:tcW w:w="1701" w:type="dxa"/>
            <w:tcBorders>
              <w:bottom w:val="single" w:sz="4" w:space="0" w:color="auto"/>
            </w:tcBorders>
            <w:shd w:val="clear" w:color="auto" w:fill="F2F2F2" w:themeFill="background1" w:themeFillShade="F2"/>
          </w:tcPr>
          <w:p w14:paraId="0FC2C618"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Moderate rainfall, strongly seasonal, summer maximum?  Australia and Pacific islands</w:t>
            </w:r>
          </w:p>
        </w:tc>
        <w:tc>
          <w:tcPr>
            <w:tcW w:w="1276" w:type="dxa"/>
            <w:tcBorders>
              <w:bottom w:val="single" w:sz="4" w:space="0" w:color="auto"/>
            </w:tcBorders>
            <w:shd w:val="clear" w:color="auto" w:fill="F2F2F2" w:themeFill="background1" w:themeFillShade="F2"/>
          </w:tcPr>
          <w:p w14:paraId="3E363C5E"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Fireprone sclerophyll shrubland, woodland to forest</w:t>
            </w:r>
          </w:p>
        </w:tc>
        <w:tc>
          <w:tcPr>
            <w:tcW w:w="1417" w:type="dxa"/>
            <w:tcBorders>
              <w:bottom w:val="single" w:sz="4" w:space="0" w:color="auto"/>
            </w:tcBorders>
            <w:shd w:val="clear" w:color="auto" w:fill="F2F2F2" w:themeFill="background1" w:themeFillShade="F2"/>
          </w:tcPr>
          <w:p w14:paraId="41B6BE16"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Hard, dormant, soil-stored, elaiosome (ant-dispersed), smoke-stimulated dormancy breakage</w:t>
            </w:r>
          </w:p>
        </w:tc>
        <w:tc>
          <w:tcPr>
            <w:tcW w:w="1985" w:type="dxa"/>
            <w:tcBorders>
              <w:bottom w:val="single" w:sz="4" w:space="0" w:color="auto"/>
            </w:tcBorders>
            <w:shd w:val="clear" w:color="auto" w:fill="F2F2F2" w:themeFill="background1" w:themeFillShade="F2"/>
          </w:tcPr>
          <w:p w14:paraId="1AA726F7"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xeromorphic shrubby Boroniaeae (</w:t>
            </w:r>
            <w:r w:rsidRPr="007A2C85">
              <w:rPr>
                <w:rFonts w:asciiTheme="majorHAnsi" w:hAnsiTheme="majorHAnsi"/>
                <w:i/>
                <w:sz w:val="20"/>
                <w:szCs w:val="20"/>
              </w:rPr>
              <w:t>Boronia</w:t>
            </w:r>
            <w:r w:rsidRPr="007A2C85">
              <w:rPr>
                <w:rFonts w:asciiTheme="majorHAnsi" w:hAnsiTheme="majorHAnsi"/>
                <w:sz w:val="20"/>
                <w:szCs w:val="20"/>
              </w:rPr>
              <w:t xml:space="preserve">, </w:t>
            </w:r>
            <w:r w:rsidRPr="007A2C85">
              <w:rPr>
                <w:rFonts w:asciiTheme="majorHAnsi" w:hAnsiTheme="majorHAnsi"/>
                <w:i/>
                <w:sz w:val="20"/>
                <w:szCs w:val="20"/>
              </w:rPr>
              <w:t>Zieria</w:t>
            </w:r>
            <w:r w:rsidRPr="007A2C85">
              <w:rPr>
                <w:rFonts w:asciiTheme="majorHAnsi" w:hAnsiTheme="majorHAnsi"/>
                <w:sz w:val="20"/>
                <w:szCs w:val="20"/>
              </w:rPr>
              <w:t xml:space="preserve">) separate to give </w:t>
            </w:r>
            <w:r w:rsidRPr="007A2C85">
              <w:rPr>
                <w:rFonts w:asciiTheme="majorHAnsi" w:hAnsiTheme="majorHAnsi"/>
                <w:i/>
                <w:sz w:val="20"/>
                <w:szCs w:val="20"/>
              </w:rPr>
              <w:t>Acronychia</w:t>
            </w:r>
            <w:r w:rsidRPr="007A2C85">
              <w:rPr>
                <w:rFonts w:asciiTheme="majorHAnsi" w:hAnsiTheme="majorHAnsi"/>
                <w:sz w:val="20"/>
                <w:szCs w:val="20"/>
              </w:rPr>
              <w:t>/</w:t>
            </w:r>
            <w:r w:rsidRPr="007A2C85">
              <w:rPr>
                <w:rFonts w:asciiTheme="majorHAnsi" w:hAnsiTheme="majorHAnsi"/>
                <w:i/>
                <w:sz w:val="20"/>
                <w:szCs w:val="20"/>
              </w:rPr>
              <w:t>Melicope</w:t>
            </w:r>
            <w:r w:rsidRPr="007A2C85">
              <w:rPr>
                <w:rFonts w:asciiTheme="majorHAnsi" w:hAnsiTheme="majorHAnsi"/>
                <w:sz w:val="20"/>
                <w:szCs w:val="20"/>
              </w:rPr>
              <w:t xml:space="preserve"> clade</w:t>
            </w:r>
          </w:p>
        </w:tc>
        <w:tc>
          <w:tcPr>
            <w:tcW w:w="1842" w:type="dxa"/>
            <w:tcBorders>
              <w:bottom w:val="single" w:sz="4" w:space="0" w:color="auto"/>
            </w:tcBorders>
            <w:shd w:val="clear" w:color="auto" w:fill="F2F2F2" w:themeFill="background1" w:themeFillShade="F2"/>
          </w:tcPr>
          <w:p w14:paraId="198E8476"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Rainforest</w:t>
            </w:r>
          </w:p>
        </w:tc>
        <w:tc>
          <w:tcPr>
            <w:tcW w:w="1560" w:type="dxa"/>
            <w:tcBorders>
              <w:bottom w:val="single" w:sz="4" w:space="0" w:color="auto"/>
            </w:tcBorders>
            <w:shd w:val="clear" w:color="auto" w:fill="F2F2F2" w:themeFill="background1" w:themeFillShade="F2"/>
          </w:tcPr>
          <w:p w14:paraId="0B7C5539"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 xml:space="preserve">Non-fireprone </w:t>
            </w:r>
          </w:p>
        </w:tc>
        <w:tc>
          <w:tcPr>
            <w:tcW w:w="1984" w:type="dxa"/>
            <w:tcBorders>
              <w:bottom w:val="single" w:sz="4" w:space="0" w:color="auto"/>
            </w:tcBorders>
            <w:shd w:val="clear" w:color="auto" w:fill="F2F2F2" w:themeFill="background1" w:themeFillShade="F2"/>
          </w:tcPr>
          <w:p w14:paraId="3BDE2195"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Nondormant, nonarillate, non-soil-stored, bird-dispersed</w:t>
            </w:r>
          </w:p>
          <w:p w14:paraId="53BB1B9B" w14:textId="77777777" w:rsidR="00715EA7" w:rsidRPr="007A2C85" w:rsidRDefault="00715EA7" w:rsidP="005B6A6B">
            <w:pPr>
              <w:ind w:left="-57" w:right="-57" w:firstLine="57"/>
              <w:rPr>
                <w:rFonts w:asciiTheme="majorHAnsi" w:hAnsiTheme="majorHAnsi"/>
                <w:sz w:val="20"/>
                <w:szCs w:val="20"/>
              </w:rPr>
            </w:pPr>
          </w:p>
        </w:tc>
        <w:tc>
          <w:tcPr>
            <w:tcW w:w="1276" w:type="dxa"/>
            <w:tcBorders>
              <w:bottom w:val="single" w:sz="4" w:space="0" w:color="auto"/>
            </w:tcBorders>
            <w:shd w:val="clear" w:color="auto" w:fill="F2F2F2" w:themeFill="background1" w:themeFillShade="F2"/>
          </w:tcPr>
          <w:p w14:paraId="4C1EF847" w14:textId="77777777" w:rsidR="00715EA7" w:rsidRPr="007A2C85" w:rsidRDefault="00715EA7" w:rsidP="005B6A6B">
            <w:pPr>
              <w:ind w:left="-57" w:right="-57" w:firstLine="57"/>
              <w:rPr>
                <w:rFonts w:asciiTheme="majorHAnsi" w:hAnsiTheme="majorHAnsi"/>
                <w:sz w:val="20"/>
                <w:szCs w:val="20"/>
              </w:rPr>
            </w:pPr>
            <w:r w:rsidRPr="007A2C85">
              <w:rPr>
                <w:rFonts w:asciiTheme="majorHAnsi" w:hAnsiTheme="majorHAnsi"/>
                <w:sz w:val="20"/>
                <w:szCs w:val="20"/>
              </w:rPr>
              <w:t>&lt;40</w:t>
            </w:r>
            <w:r w:rsidRPr="007A2C85">
              <w:rPr>
                <w:rFonts w:asciiTheme="majorHAnsi" w:hAnsiTheme="majorHAnsi"/>
                <w:sz w:val="20"/>
                <w:szCs w:val="20"/>
              </w:rPr>
              <w:sym w:font="Symbol" w:char="F02D"/>
            </w:r>
            <w:r w:rsidRPr="007A2C85">
              <w:rPr>
                <w:rFonts w:asciiTheme="majorHAnsi" w:hAnsiTheme="majorHAnsi"/>
                <w:sz w:val="20"/>
                <w:szCs w:val="20"/>
              </w:rPr>
              <w:t>13 (tentative as Boroniaeae not in Paetzoid’s chronogram -  diversification could begin anywhere along 40</w:t>
            </w:r>
            <w:r w:rsidRPr="007A2C85">
              <w:rPr>
                <w:rFonts w:asciiTheme="majorHAnsi" w:hAnsiTheme="majorHAnsi"/>
                <w:sz w:val="20"/>
                <w:szCs w:val="20"/>
              </w:rPr>
              <w:sym w:font="Symbol" w:char="F02D"/>
            </w:r>
            <w:r w:rsidRPr="007A2C85">
              <w:rPr>
                <w:rFonts w:asciiTheme="majorHAnsi" w:hAnsiTheme="majorHAnsi"/>
                <w:sz w:val="20"/>
                <w:szCs w:val="20"/>
              </w:rPr>
              <w:t>13 Ma period)</w:t>
            </w:r>
          </w:p>
        </w:tc>
        <w:tc>
          <w:tcPr>
            <w:tcW w:w="1984" w:type="dxa"/>
            <w:tcBorders>
              <w:bottom w:val="single" w:sz="4" w:space="0" w:color="auto"/>
            </w:tcBorders>
            <w:shd w:val="clear" w:color="auto" w:fill="F2F2F2" w:themeFill="background1" w:themeFillShade="F2"/>
          </w:tcPr>
          <w:p w14:paraId="5B279601" w14:textId="77777777" w:rsidR="00715EA7" w:rsidRPr="007A2C85" w:rsidRDefault="00715EA7" w:rsidP="005B6A6B">
            <w:pPr>
              <w:ind w:left="-57" w:right="-57" w:firstLine="13"/>
              <w:rPr>
                <w:rFonts w:asciiTheme="majorHAnsi" w:hAnsiTheme="majorHAnsi" w:cs="Lucida Grande"/>
                <w:sz w:val="20"/>
                <w:szCs w:val="20"/>
              </w:rPr>
            </w:pPr>
            <w:r w:rsidRPr="007A2C85">
              <w:rPr>
                <w:rFonts w:asciiTheme="majorHAnsi" w:hAnsiTheme="majorHAnsi" w:cs="Lucida Grande"/>
                <w:sz w:val="20"/>
                <w:szCs w:val="20"/>
              </w:rPr>
              <w:t>Bayly et al. 2013, Paetzold et al. 2018,</w:t>
            </w:r>
            <w:r w:rsidRPr="007A2C85">
              <w:rPr>
                <w:rFonts w:asciiTheme="majorHAnsi" w:eastAsia="Times New Roman" w:hAnsiTheme="majorHAnsi"/>
                <w:sz w:val="20"/>
                <w:szCs w:val="20"/>
              </w:rPr>
              <w:t xml:space="preserve"> Pausas &amp; Lamont 2022</w:t>
            </w:r>
          </w:p>
        </w:tc>
      </w:tr>
    </w:tbl>
    <w:p w14:paraId="07DD48C8" w14:textId="77777777" w:rsidR="00715EA7" w:rsidRPr="007A2C85" w:rsidRDefault="00715EA7" w:rsidP="00715EA7">
      <w:pPr>
        <w:ind w:left="-113" w:right="-306" w:firstLine="57"/>
        <w:rPr>
          <w:rFonts w:asciiTheme="majorHAnsi" w:eastAsia="Times New Roman" w:hAnsiTheme="majorHAnsi"/>
          <w:sz w:val="20"/>
          <w:szCs w:val="20"/>
        </w:rPr>
      </w:pPr>
      <w:r w:rsidRPr="007A2C85">
        <w:rPr>
          <w:rFonts w:asciiTheme="majorHAnsi" w:eastAsia="Times New Roman" w:hAnsiTheme="majorHAnsi"/>
          <w:sz w:val="20"/>
          <w:szCs w:val="20"/>
        </w:rPr>
        <w:t>* Putative fossil pollen at 28 Ma (Milne 1988) used to set time of origin</w:t>
      </w:r>
    </w:p>
    <w:p w14:paraId="4F3DDACD" w14:textId="77777777" w:rsidR="00715EA7" w:rsidRPr="007A2C85" w:rsidRDefault="00715EA7" w:rsidP="00715EA7">
      <w:pPr>
        <w:ind w:left="-113" w:right="-306" w:firstLine="57"/>
        <w:rPr>
          <w:rFonts w:asciiTheme="majorHAnsi" w:eastAsia="Times New Roman" w:hAnsiTheme="majorHAnsi"/>
          <w:sz w:val="20"/>
          <w:szCs w:val="20"/>
        </w:rPr>
      </w:pPr>
      <w:r w:rsidRPr="007A2C85">
        <w:rPr>
          <w:rFonts w:asciiTheme="majorHAnsi" w:hAnsiTheme="majorHAnsi"/>
          <w:sz w:val="20"/>
          <w:szCs w:val="20"/>
          <w:vertAlign w:val="superscript"/>
        </w:rPr>
        <w:t xml:space="preserve"># </w:t>
      </w:r>
      <w:r w:rsidRPr="007A2C85">
        <w:rPr>
          <w:rFonts w:asciiTheme="majorHAnsi" w:hAnsiTheme="majorHAnsi"/>
          <w:sz w:val="20"/>
          <w:szCs w:val="20"/>
        </w:rPr>
        <w:t>Should the preliminary evidence that the Australian clade is also ancestrally smoke-stimulated be confirmed, this would push smoke sensitivity among Restionaceae back to 110</w:t>
      </w:r>
      <w:r w:rsidRPr="007A2C85">
        <w:rPr>
          <w:rFonts w:asciiTheme="majorHAnsi" w:hAnsiTheme="majorHAnsi"/>
          <w:sz w:val="20"/>
          <w:szCs w:val="20"/>
        </w:rPr>
        <w:sym w:font="Symbol" w:char="F02D"/>
      </w:r>
      <w:r w:rsidRPr="007A2C85">
        <w:rPr>
          <w:rFonts w:asciiTheme="majorHAnsi" w:hAnsiTheme="majorHAnsi"/>
          <w:sz w:val="20"/>
          <w:szCs w:val="20"/>
        </w:rPr>
        <w:t>70 Ma</w:t>
      </w:r>
    </w:p>
    <w:p w14:paraId="78D605D6" w14:textId="77777777" w:rsidR="00715EA7" w:rsidRPr="007A2C85" w:rsidRDefault="00715EA7" w:rsidP="00715EA7">
      <w:pPr>
        <w:ind w:left="-113" w:right="-306" w:firstLine="57"/>
        <w:rPr>
          <w:rFonts w:eastAsia="Times New Roman"/>
        </w:rPr>
      </w:pPr>
      <w:r w:rsidRPr="007A2C85">
        <w:rPr>
          <w:rFonts w:eastAsia="Times New Roman"/>
          <w:b/>
        </w:rPr>
        <w:t xml:space="preserve">References for Table S1 </w:t>
      </w:r>
    </w:p>
    <w:p w14:paraId="45530C5F" w14:textId="458560EF" w:rsidR="00715EA7" w:rsidRPr="007A2C85" w:rsidRDefault="00715EA7" w:rsidP="00715EA7">
      <w:pPr>
        <w:widowControl w:val="0"/>
        <w:autoSpaceDE w:val="0"/>
        <w:autoSpaceDN w:val="0"/>
        <w:adjustRightInd w:val="0"/>
        <w:ind w:left="426" w:right="-306" w:hanging="426"/>
      </w:pPr>
      <w:r w:rsidRPr="007A2C85">
        <w:t xml:space="preserve">Aparicio A, Martín-Hernanz S, Parejo-Farnés C, Arroyo J, Lavergne S, Yeşilyurt EB, Albaladejo RG (2017) Phylogenetic reconstruction of the genus </w:t>
      </w:r>
      <w:r w:rsidRPr="007A2C85">
        <w:rPr>
          <w:i/>
        </w:rPr>
        <w:t>Helianthemum</w:t>
      </w:r>
      <w:r w:rsidRPr="007A2C85">
        <w:t xml:space="preserve"> (Cistaceae) using plastid and nuclear DNA-sequences: systematic and evolutionary inferences. Taxon 66:868</w:t>
      </w:r>
      <w:r w:rsidRPr="007A2C85">
        <w:rPr>
          <w:lang w:val="en-US"/>
        </w:rPr>
        <w:t>–</w:t>
      </w:r>
      <w:r w:rsidRPr="007A2C85">
        <w:t>885</w:t>
      </w:r>
    </w:p>
    <w:p w14:paraId="1E0E7307" w14:textId="77777777" w:rsidR="00715EA7" w:rsidRPr="007A2C85" w:rsidRDefault="00715EA7" w:rsidP="00715EA7">
      <w:pPr>
        <w:widowControl w:val="0"/>
        <w:autoSpaceDE w:val="0"/>
        <w:autoSpaceDN w:val="0"/>
        <w:adjustRightInd w:val="0"/>
        <w:ind w:left="426" w:right="284" w:hanging="426"/>
        <w:rPr>
          <w:lang w:val="en-US"/>
        </w:rPr>
      </w:pPr>
      <w:r w:rsidRPr="007A2C85">
        <w:t xml:space="preserve">Appanah, S. &amp; Turnbull, J.M. (1998). A Review of Dipterocarps: Taxonomy, Ecology, and Silviculture. </w:t>
      </w:r>
      <w:r w:rsidRPr="007A2C85">
        <w:rPr>
          <w:lang w:val="en-US"/>
        </w:rPr>
        <w:t>Center for International Forestry Research, Kuala Lumpar, Malaysia.</w:t>
      </w:r>
    </w:p>
    <w:p w14:paraId="2B5F9734" w14:textId="77777777" w:rsidR="00715EA7" w:rsidRPr="007A2C85" w:rsidRDefault="00715EA7" w:rsidP="00715EA7">
      <w:pPr>
        <w:widowControl w:val="0"/>
        <w:autoSpaceDE w:val="0"/>
        <w:autoSpaceDN w:val="0"/>
        <w:adjustRightInd w:val="0"/>
        <w:ind w:left="426" w:right="-306" w:hanging="426"/>
        <w:rPr>
          <w:lang w:val="en-US"/>
        </w:rPr>
      </w:pPr>
      <w:r w:rsidRPr="007A2C85">
        <w:t xml:space="preserve">Appanah, S, Turnbull, JM (1998) A Review of Dipterocarps: Taxonomy, Ecology, and Silviculture. </w:t>
      </w:r>
      <w:r w:rsidRPr="007A2C85">
        <w:rPr>
          <w:lang w:val="en-US"/>
        </w:rPr>
        <w:t>Center for International Forestry Research, Kuala Lumpar, Malaysia.</w:t>
      </w:r>
    </w:p>
    <w:p w14:paraId="0D38808F" w14:textId="77777777" w:rsidR="00715EA7" w:rsidRPr="007A2C85" w:rsidRDefault="00715EA7" w:rsidP="00715EA7">
      <w:pPr>
        <w:widowControl w:val="0"/>
        <w:autoSpaceDE w:val="0"/>
        <w:autoSpaceDN w:val="0"/>
        <w:adjustRightInd w:val="0"/>
        <w:ind w:left="426" w:right="-306" w:hanging="426"/>
        <w:rPr>
          <w:lang w:val="en-US"/>
        </w:rPr>
      </w:pPr>
      <w:r w:rsidRPr="007A2C85">
        <w:rPr>
          <w:lang w:val="en-US"/>
        </w:rPr>
        <w:t xml:space="preserve">Auld TD, Denham AJ, Turner K (2007) Dispersal and recruitment dynamics in the fleshy-fruited </w:t>
      </w:r>
      <w:r w:rsidRPr="007A2C85">
        <w:rPr>
          <w:i/>
          <w:lang w:val="en-US"/>
        </w:rPr>
        <w:t>Persoonia lanceolata</w:t>
      </w:r>
      <w:r w:rsidRPr="007A2C85">
        <w:rPr>
          <w:lang w:val="en-US"/>
        </w:rPr>
        <w:t xml:space="preserve"> (Proteaceae). J Veg Sci 18:903–910</w:t>
      </w:r>
    </w:p>
    <w:p w14:paraId="4BA8992F" w14:textId="77777777" w:rsidR="00715EA7" w:rsidRPr="007A2C85" w:rsidRDefault="00715EA7" w:rsidP="00715EA7">
      <w:pPr>
        <w:ind w:left="426" w:right="-306" w:hanging="426"/>
        <w:rPr>
          <w:rFonts w:eastAsia="Times New Roman"/>
        </w:rPr>
      </w:pPr>
      <w:r w:rsidRPr="007A2C85">
        <w:rPr>
          <w:rFonts w:eastAsia="Times New Roman"/>
        </w:rPr>
        <w:t>Baskin CC, Baskin JM, Yoshinaga A, Cordell S, Drake D, Gleason S, Welton P (2004) Seed germination ecology of Hawaiian montane species: a continuation of efforts to acquire, organize, and share data to facilitate propagation and restoration efforts. Final Report. https://laukahi.org/wpcontent/uploads/2021/06/Baskin_HCA_update_2004_10.pdf</w:t>
      </w:r>
    </w:p>
    <w:p w14:paraId="1E09727F" w14:textId="77777777" w:rsidR="00715EA7" w:rsidRPr="007A2C85" w:rsidRDefault="00715EA7" w:rsidP="00715EA7">
      <w:pPr>
        <w:ind w:left="426" w:hanging="426"/>
        <w:rPr>
          <w:rFonts w:eastAsia="Times New Roman"/>
        </w:rPr>
      </w:pPr>
      <w:r w:rsidRPr="007A2C85">
        <w:rPr>
          <w:rFonts w:eastAsia="Times New Roman"/>
        </w:rPr>
        <w:t xml:space="preserve">Bayly MJ, Holmes GD, Forster PI, Cantrill DJ, Ladiges PY (2013) Major clades of Australasian Rutoideae (Rutaceae) based on rbc L and atp B sequences. </w:t>
      </w:r>
      <w:r w:rsidRPr="007A2C85">
        <w:rPr>
          <w:rFonts w:eastAsia="Times New Roman"/>
          <w:iCs/>
        </w:rPr>
        <w:t>PLoS One</w:t>
      </w:r>
      <w:r w:rsidRPr="007A2C85">
        <w:rPr>
          <w:rFonts w:eastAsia="Times New Roman"/>
        </w:rPr>
        <w:t xml:space="preserve"> </w:t>
      </w:r>
      <w:r w:rsidRPr="007A2C85">
        <w:rPr>
          <w:rFonts w:eastAsia="Times New Roman"/>
          <w:i/>
          <w:iCs/>
        </w:rPr>
        <w:t>8</w:t>
      </w:r>
      <w:r w:rsidRPr="007A2C85">
        <w:rPr>
          <w:rFonts w:eastAsia="Times New Roman"/>
        </w:rPr>
        <w:t>(8), e72493</w:t>
      </w:r>
    </w:p>
    <w:p w14:paraId="6B7A447B" w14:textId="77777777" w:rsidR="00715EA7" w:rsidRPr="007A2C85" w:rsidRDefault="00715EA7" w:rsidP="00715EA7">
      <w:pPr>
        <w:ind w:left="426" w:hanging="426"/>
        <w:rPr>
          <w:lang w:val="en-US" w:eastAsia="es-ES"/>
        </w:rPr>
      </w:pPr>
      <w:r w:rsidRPr="007A2C85">
        <w:rPr>
          <w:smallCaps/>
          <w:lang w:val="en-US" w:eastAsia="es-ES"/>
        </w:rPr>
        <w:t>B</w:t>
      </w:r>
      <w:r w:rsidRPr="007A2C85">
        <w:rPr>
          <w:lang w:val="en-US" w:eastAsia="es-ES"/>
        </w:rPr>
        <w:t>erg</w:t>
      </w:r>
      <w:r w:rsidRPr="007A2C85">
        <w:rPr>
          <w:smallCaps/>
          <w:lang w:val="en-US" w:eastAsia="es-ES"/>
        </w:rPr>
        <w:t xml:space="preserve"> RY</w:t>
      </w:r>
      <w:r w:rsidRPr="007A2C85">
        <w:rPr>
          <w:lang w:val="en-US" w:eastAsia="es-ES"/>
        </w:rPr>
        <w:t xml:space="preserve"> (1975) Myrmecochorous plants in Australia and their dispersal by ants. </w:t>
      </w:r>
      <w:r w:rsidRPr="007A2C85">
        <w:rPr>
          <w:iCs/>
          <w:lang w:val="en-US" w:eastAsia="es-ES"/>
        </w:rPr>
        <w:t>Aust J Bot</w:t>
      </w:r>
      <w:r w:rsidRPr="007A2C85">
        <w:rPr>
          <w:lang w:val="en-US" w:eastAsia="es-ES"/>
        </w:rPr>
        <w:t xml:space="preserve"> </w:t>
      </w:r>
      <w:r w:rsidRPr="007A2C85">
        <w:rPr>
          <w:bCs/>
          <w:lang w:val="en-US" w:eastAsia="es-ES"/>
        </w:rPr>
        <w:t>23</w:t>
      </w:r>
      <w:r w:rsidRPr="007A2C85">
        <w:rPr>
          <w:lang w:val="en-US" w:eastAsia="es-ES"/>
        </w:rPr>
        <w:t>: 475–508</w:t>
      </w:r>
    </w:p>
    <w:p w14:paraId="4CA2146D" w14:textId="77777777" w:rsidR="00715EA7" w:rsidRPr="007A2C85" w:rsidRDefault="00715EA7" w:rsidP="00715EA7">
      <w:pPr>
        <w:ind w:left="426" w:right="-306" w:hanging="426"/>
        <w:rPr>
          <w:rFonts w:eastAsia="Times New Roman"/>
        </w:rPr>
      </w:pPr>
      <w:r w:rsidRPr="007A2C85">
        <w:rPr>
          <w:rFonts w:eastAsia="Times New Roman"/>
        </w:rPr>
        <w:t xml:space="preserve">Brown NAC, Jamieson H, Botha PA (1994) Stimulation of seed germination in South African species of Restionaceae by plant-derived smoke. </w:t>
      </w:r>
      <w:r w:rsidRPr="007A2C85">
        <w:rPr>
          <w:rFonts w:eastAsia="Times New Roman"/>
          <w:i/>
          <w:iCs/>
        </w:rPr>
        <w:t>Plant Grow Regul</w:t>
      </w:r>
      <w:r w:rsidRPr="007A2C85">
        <w:rPr>
          <w:rFonts w:eastAsia="Times New Roman"/>
        </w:rPr>
        <w:t xml:space="preserve"> </w:t>
      </w:r>
      <w:r w:rsidRPr="007A2C85">
        <w:rPr>
          <w:rFonts w:eastAsia="Times New Roman"/>
          <w:iCs/>
        </w:rPr>
        <w:t>15</w:t>
      </w:r>
      <w:r w:rsidRPr="007A2C85">
        <w:rPr>
          <w:rFonts w:eastAsia="Times New Roman"/>
        </w:rPr>
        <w:t>:93-100</w:t>
      </w:r>
    </w:p>
    <w:p w14:paraId="00F66940" w14:textId="77777777" w:rsidR="00715EA7" w:rsidRPr="007A2C85" w:rsidRDefault="00715EA7" w:rsidP="00715EA7">
      <w:pPr>
        <w:ind w:left="426" w:right="-306" w:hanging="426"/>
        <w:rPr>
          <w:rFonts w:eastAsia="Times New Roman"/>
        </w:rPr>
      </w:pPr>
      <w:r w:rsidRPr="007A2C85">
        <w:rPr>
          <w:rFonts w:eastAsia="Times New Roman"/>
        </w:rPr>
        <w:t xml:space="preserve">Bouchenak-Khelladi Y, Maurin O, Hurter J, Van der Bank M (2010) The evolutionary history and biogeography of Mimosoideae (Leguminosae): an emphasis on African acacias. </w:t>
      </w:r>
      <w:r w:rsidRPr="007A2C85">
        <w:rPr>
          <w:rFonts w:eastAsia="Times New Roman"/>
          <w:i/>
          <w:iCs/>
        </w:rPr>
        <w:t>Mol Phylo Evol</w:t>
      </w:r>
      <w:r w:rsidRPr="007A2C85">
        <w:rPr>
          <w:rFonts w:eastAsia="Times New Roman"/>
        </w:rPr>
        <w:t xml:space="preserve"> </w:t>
      </w:r>
      <w:r w:rsidRPr="007A2C85">
        <w:rPr>
          <w:rFonts w:eastAsia="Times New Roman"/>
          <w:iCs/>
        </w:rPr>
        <w:t>57</w:t>
      </w:r>
      <w:r w:rsidRPr="007A2C85">
        <w:rPr>
          <w:rFonts w:eastAsia="Times New Roman"/>
        </w:rPr>
        <w:t>:495-508</w:t>
      </w:r>
    </w:p>
    <w:p w14:paraId="083072F4" w14:textId="77777777" w:rsidR="00715EA7" w:rsidRPr="007A2C85" w:rsidRDefault="00715EA7" w:rsidP="00715EA7">
      <w:pPr>
        <w:ind w:left="426" w:right="-306" w:hanging="426"/>
        <w:rPr>
          <w:rFonts w:eastAsia="Times New Roman"/>
        </w:rPr>
      </w:pPr>
      <w:r w:rsidRPr="007A2C85">
        <w:rPr>
          <w:rFonts w:eastAsia="Times New Roman"/>
        </w:rPr>
        <w:t xml:space="preserve">Burrows GE, Alden R, Robinson WA (2018) The lens in focus–lens structure in seeds of 51 Australian </w:t>
      </w:r>
      <w:r w:rsidRPr="007A2C85">
        <w:rPr>
          <w:rFonts w:eastAsia="Times New Roman"/>
          <w:i/>
        </w:rPr>
        <w:t>Acacia</w:t>
      </w:r>
      <w:r w:rsidRPr="007A2C85">
        <w:rPr>
          <w:rFonts w:eastAsia="Times New Roman"/>
        </w:rPr>
        <w:t xml:space="preserve"> species and its implications for imbibition and germination. </w:t>
      </w:r>
      <w:r w:rsidRPr="007A2C85">
        <w:rPr>
          <w:rFonts w:eastAsia="Times New Roman"/>
          <w:i/>
          <w:iCs/>
        </w:rPr>
        <w:t>Aust J Bot</w:t>
      </w:r>
      <w:r w:rsidRPr="007A2C85">
        <w:rPr>
          <w:rFonts w:eastAsia="Times New Roman"/>
        </w:rPr>
        <w:t xml:space="preserve"> </w:t>
      </w:r>
      <w:r w:rsidRPr="007A2C85">
        <w:rPr>
          <w:rFonts w:eastAsia="Times New Roman"/>
          <w:iCs/>
        </w:rPr>
        <w:t>66</w:t>
      </w:r>
      <w:r w:rsidRPr="007A2C85">
        <w:rPr>
          <w:rFonts w:eastAsia="Times New Roman"/>
        </w:rPr>
        <w:t>:398-413.</w:t>
      </w:r>
    </w:p>
    <w:p w14:paraId="45B69EAF" w14:textId="77777777" w:rsidR="00715EA7" w:rsidRPr="007A2C85" w:rsidRDefault="00715EA7" w:rsidP="00715EA7">
      <w:pPr>
        <w:widowControl w:val="0"/>
        <w:autoSpaceDE w:val="0"/>
        <w:autoSpaceDN w:val="0"/>
        <w:adjustRightInd w:val="0"/>
        <w:ind w:left="426" w:right="284" w:hanging="426"/>
        <w:rPr>
          <w:lang w:val="en-US"/>
        </w:rPr>
      </w:pPr>
      <w:r w:rsidRPr="007A2C85">
        <w:rPr>
          <w:lang w:val="en-US"/>
        </w:rPr>
        <w:t>Cook LG, Hardy NB, Crisp MD (2015) Three explanations for biodiversity hotspots: small range size, geographical overlap and time for species accumulation: an Australian case study</w:t>
      </w:r>
      <w:r w:rsidRPr="007A2C85">
        <w:rPr>
          <w:i/>
          <w:lang w:val="en-US"/>
        </w:rPr>
        <w:t xml:space="preserve">. New Phytol </w:t>
      </w:r>
      <w:r w:rsidRPr="007A2C85">
        <w:rPr>
          <w:lang w:val="en-US"/>
        </w:rPr>
        <w:t>207:390–400.</w:t>
      </w:r>
    </w:p>
    <w:p w14:paraId="09F26CB7" w14:textId="77777777" w:rsidR="00715EA7" w:rsidRPr="007A2C85" w:rsidRDefault="00715EA7" w:rsidP="00715EA7">
      <w:pPr>
        <w:ind w:left="426" w:right="284" w:hanging="426"/>
        <w:rPr>
          <w:lang w:val="es-ES"/>
        </w:rPr>
      </w:pPr>
      <w:r w:rsidRPr="007A2C85">
        <w:rPr>
          <w:lang w:val="es-ES"/>
        </w:rPr>
        <w:t xml:space="preserve">Copete MA, Ferrandis P, Martı´nez-Duro E, Herranz JM, Domı´nguez, F, Albert MJ (2009) </w:t>
      </w:r>
      <w:r w:rsidRPr="007A2C85">
        <w:rPr>
          <w:i/>
          <w:lang w:val="es-ES"/>
        </w:rPr>
        <w:t>Helianthemum polygonoides</w:t>
      </w:r>
      <w:r w:rsidRPr="007A2C85">
        <w:rPr>
          <w:lang w:val="es-ES"/>
        </w:rPr>
        <w:t xml:space="preserve"> Peinado, Mart. </w:t>
      </w:r>
      <w:r w:rsidRPr="007A2C85">
        <w:t xml:space="preserve">Parras, Alcaraz and Espuelas. In: Iriondo JM, Albert MJ, Gime´nez Benavides L, Domı´nguez Lozano F, Escudero A (eds) Populations in peril: demographic viability of threatened Spanish vascular flora. </w:t>
      </w:r>
      <w:r w:rsidRPr="007A2C85">
        <w:rPr>
          <w:lang w:val="es-ES"/>
        </w:rPr>
        <w:t>Ministerio de Medio Ambiente, y Medio Rural y Marino, Madrid, pp 93–96.</w:t>
      </w:r>
    </w:p>
    <w:p w14:paraId="34416F10" w14:textId="77777777" w:rsidR="00715EA7" w:rsidRPr="007A2C85" w:rsidRDefault="00715EA7" w:rsidP="00715EA7">
      <w:pPr>
        <w:widowControl w:val="0"/>
        <w:autoSpaceDE w:val="0"/>
        <w:autoSpaceDN w:val="0"/>
        <w:adjustRightInd w:val="0"/>
        <w:ind w:left="426" w:right="284" w:hanging="426"/>
        <w:rPr>
          <w:lang w:val="en-US"/>
        </w:rPr>
      </w:pPr>
      <w:r w:rsidRPr="007A2C85">
        <w:rPr>
          <w:rFonts w:eastAsia="Times New Roman"/>
        </w:rPr>
        <w:t xml:space="preserve">Crisp MD, Cayzer L, Chandler GT, Cook LG (2017) A monograph of </w:t>
      </w:r>
      <w:r w:rsidRPr="007A2C85">
        <w:rPr>
          <w:rFonts w:eastAsia="Times New Roman"/>
          <w:i/>
        </w:rPr>
        <w:t>Daviesia</w:t>
      </w:r>
      <w:r w:rsidRPr="007A2C85">
        <w:rPr>
          <w:rFonts w:eastAsia="Times New Roman"/>
        </w:rPr>
        <w:t xml:space="preserve"> (Mirbelieae, Faboideae, Fabaceae). </w:t>
      </w:r>
      <w:r w:rsidRPr="007A2C85">
        <w:rPr>
          <w:rFonts w:eastAsia="Times New Roman"/>
          <w:iCs/>
        </w:rPr>
        <w:t>Phytotaxa</w:t>
      </w:r>
      <w:r w:rsidRPr="007A2C85">
        <w:rPr>
          <w:rFonts w:eastAsia="Times New Roman"/>
        </w:rPr>
        <w:t xml:space="preserve"> </w:t>
      </w:r>
      <w:r w:rsidRPr="007A2C85">
        <w:rPr>
          <w:rFonts w:eastAsia="Times New Roman"/>
          <w:iCs/>
        </w:rPr>
        <w:t>300</w:t>
      </w:r>
      <w:r w:rsidRPr="007A2C85">
        <w:rPr>
          <w:rFonts w:eastAsia="Times New Roman"/>
        </w:rPr>
        <w:t>:1-308.</w:t>
      </w:r>
    </w:p>
    <w:p w14:paraId="4D4E96B2" w14:textId="77777777" w:rsidR="00715EA7" w:rsidRPr="007A2C85" w:rsidRDefault="00715EA7" w:rsidP="00715EA7">
      <w:pPr>
        <w:ind w:left="426" w:right="284" w:hanging="426"/>
        <w:rPr>
          <w:rFonts w:eastAsia="Times New Roman"/>
        </w:rPr>
      </w:pPr>
      <w:r w:rsidRPr="007A2C85">
        <w:rPr>
          <w:rFonts w:eastAsia="Times New Roman"/>
        </w:rPr>
        <w:t xml:space="preserve">Campbell-Martínez G, Thetford M, Miller DL, Pérez HE (2019) Seedling emergence of </w:t>
      </w:r>
      <w:r w:rsidRPr="007A2C85">
        <w:rPr>
          <w:rFonts w:eastAsia="Times New Roman"/>
          <w:i/>
        </w:rPr>
        <w:t>Lupinus diffusus</w:t>
      </w:r>
      <w:r w:rsidRPr="007A2C85">
        <w:rPr>
          <w:rFonts w:eastAsia="Times New Roman"/>
        </w:rPr>
        <w:t xml:space="preserve"> in response to abrasion in an electric seed scarifier. </w:t>
      </w:r>
      <w:r w:rsidRPr="007A2C85">
        <w:rPr>
          <w:rFonts w:eastAsia="Times New Roman"/>
          <w:iCs/>
        </w:rPr>
        <w:t>Native Pl J 20</w:t>
      </w:r>
      <w:r w:rsidRPr="007A2C85">
        <w:rPr>
          <w:rFonts w:eastAsia="Times New Roman"/>
        </w:rPr>
        <w:t>:14-24.</w:t>
      </w:r>
    </w:p>
    <w:p w14:paraId="5AF81B5B" w14:textId="77777777" w:rsidR="00715EA7" w:rsidRPr="007A2C85" w:rsidRDefault="00715EA7" w:rsidP="00715EA7">
      <w:pPr>
        <w:ind w:left="426" w:right="284" w:hanging="426"/>
        <w:rPr>
          <w:rFonts w:eastAsia="Times New Roman"/>
        </w:rPr>
      </w:pPr>
      <w:r w:rsidRPr="007A2C85">
        <w:rPr>
          <w:rFonts w:eastAsia="Times New Roman"/>
        </w:rPr>
        <w:lastRenderedPageBreak/>
        <w:t>Clark DL, Wilson MV (2000) Promoting regeneration of native species in Willamette Valley upland prairies. Department of Botany and Plant Pathology, Oregon State University Corvallis, USA.</w:t>
      </w:r>
    </w:p>
    <w:p w14:paraId="7B3E5316" w14:textId="77777777" w:rsidR="00715EA7" w:rsidRPr="007A2C85" w:rsidRDefault="00715EA7" w:rsidP="00715EA7">
      <w:pPr>
        <w:widowControl w:val="0"/>
        <w:autoSpaceDE w:val="0"/>
        <w:autoSpaceDN w:val="0"/>
        <w:adjustRightInd w:val="0"/>
        <w:ind w:left="426" w:right="284" w:hanging="426"/>
        <w:rPr>
          <w:lang w:val="en-US"/>
        </w:rPr>
      </w:pPr>
      <w:r w:rsidRPr="007A2C85">
        <w:rPr>
          <w:lang w:val="es-ES"/>
        </w:rPr>
        <w:t xml:space="preserve">Copete MA, Ferrandis P, Martı´nez-Duro E, Herranz JM, Domı´nguez, F, Albert MJ (2009) </w:t>
      </w:r>
      <w:r w:rsidRPr="007A2C85">
        <w:rPr>
          <w:i/>
          <w:lang w:val="es-ES"/>
        </w:rPr>
        <w:t>Helianthemum polygonoides</w:t>
      </w:r>
      <w:r w:rsidRPr="007A2C85">
        <w:rPr>
          <w:lang w:val="es-ES"/>
        </w:rPr>
        <w:t xml:space="preserve"> Peinado, Mart. </w:t>
      </w:r>
      <w:r w:rsidRPr="007A2C85">
        <w:t xml:space="preserve">Parras, Alcaraz and Espuelas. In: Iriondo JM, Albert MJ, Gime´nez Benavides L, Domı´nguez Lozano F, Escudero A (eds) Populations in peril: demographic viability of </w:t>
      </w:r>
      <w:r w:rsidRPr="007A2C85">
        <w:rPr>
          <w:rFonts w:eastAsia="Times New Roman"/>
        </w:rPr>
        <w:t xml:space="preserve">Crisp MD, Cayzer L, Chandler GT, Cook LG (2017) A monograph of </w:t>
      </w:r>
      <w:r w:rsidRPr="007A2C85">
        <w:rPr>
          <w:rFonts w:eastAsia="Times New Roman"/>
          <w:i/>
        </w:rPr>
        <w:t>Daviesia</w:t>
      </w:r>
      <w:r w:rsidRPr="007A2C85">
        <w:rPr>
          <w:rFonts w:eastAsia="Times New Roman"/>
        </w:rPr>
        <w:t xml:space="preserve"> (Mirbelieae, Faboideae, Fabaceae). </w:t>
      </w:r>
      <w:r w:rsidRPr="007A2C85">
        <w:rPr>
          <w:rFonts w:eastAsia="Times New Roman"/>
          <w:iCs/>
        </w:rPr>
        <w:t>Phytotaxa</w:t>
      </w:r>
      <w:r w:rsidRPr="007A2C85">
        <w:rPr>
          <w:rFonts w:eastAsia="Times New Roman"/>
        </w:rPr>
        <w:t xml:space="preserve"> </w:t>
      </w:r>
      <w:r w:rsidRPr="007A2C85">
        <w:rPr>
          <w:rFonts w:eastAsia="Times New Roman"/>
          <w:iCs/>
        </w:rPr>
        <w:t>300</w:t>
      </w:r>
      <w:r w:rsidRPr="007A2C85">
        <w:rPr>
          <w:rFonts w:eastAsia="Times New Roman"/>
        </w:rPr>
        <w:t>:1-308.</w:t>
      </w:r>
    </w:p>
    <w:p w14:paraId="21067BD0" w14:textId="77777777" w:rsidR="00715EA7" w:rsidRPr="007A2C85" w:rsidRDefault="00715EA7" w:rsidP="00715EA7">
      <w:pPr>
        <w:ind w:left="426" w:right="284" w:hanging="426"/>
        <w:rPr>
          <w:rFonts w:eastAsia="Times New Roman"/>
        </w:rPr>
      </w:pPr>
      <w:r w:rsidRPr="007A2C85">
        <w:rPr>
          <w:rFonts w:eastAsia="Times New Roman"/>
        </w:rPr>
        <w:t xml:space="preserve">Campbell-Martínez G, Thetford M, Miller DL, Pérez HE (2019) Seedling emergence of </w:t>
      </w:r>
      <w:r w:rsidRPr="007A2C85">
        <w:rPr>
          <w:rFonts w:eastAsia="Times New Roman"/>
          <w:i/>
        </w:rPr>
        <w:t>Lupinus diffusus</w:t>
      </w:r>
      <w:r w:rsidRPr="007A2C85">
        <w:rPr>
          <w:rFonts w:eastAsia="Times New Roman"/>
        </w:rPr>
        <w:t xml:space="preserve"> in response to abrasion in an electric seed scarifier. </w:t>
      </w:r>
      <w:r w:rsidRPr="007A2C85">
        <w:rPr>
          <w:rFonts w:eastAsia="Times New Roman"/>
          <w:iCs/>
        </w:rPr>
        <w:t>Native Pl J 20</w:t>
      </w:r>
      <w:r w:rsidRPr="007A2C85">
        <w:rPr>
          <w:rFonts w:eastAsia="Times New Roman"/>
        </w:rPr>
        <w:t>:14-24.</w:t>
      </w:r>
    </w:p>
    <w:p w14:paraId="10C8A81E" w14:textId="77777777" w:rsidR="00715EA7" w:rsidRPr="007A2C85" w:rsidRDefault="00715EA7" w:rsidP="00715EA7">
      <w:pPr>
        <w:ind w:left="426" w:right="284" w:hanging="426"/>
        <w:rPr>
          <w:rFonts w:eastAsia="Times New Roman"/>
        </w:rPr>
      </w:pPr>
      <w:r w:rsidRPr="007A2C85">
        <w:rPr>
          <w:rFonts w:eastAsia="Times New Roman"/>
        </w:rPr>
        <w:t>Clark DL, Wilson MV (2000) Promoting regeneration of native species in Willamette Valley upland prairies. Department of Botany and Plant Pathology, Oregon State University Corvallis, USA.</w:t>
      </w:r>
    </w:p>
    <w:p w14:paraId="7CE63A4C" w14:textId="77777777" w:rsidR="00715EA7" w:rsidRPr="007A2C85" w:rsidRDefault="00715EA7" w:rsidP="00715EA7">
      <w:pPr>
        <w:ind w:left="426" w:right="284" w:hanging="426"/>
        <w:rPr>
          <w:lang w:val="es-ES"/>
        </w:rPr>
      </w:pPr>
      <w:r w:rsidRPr="007A2C85">
        <w:rPr>
          <w:lang w:val="es-ES"/>
        </w:rPr>
        <w:t xml:space="preserve">Copete MA, Ferrandis P, Martı´nez-Duro E, Herranz JM, Domı´nguez, F, Albert MJ (2009) </w:t>
      </w:r>
      <w:r w:rsidRPr="007A2C85">
        <w:rPr>
          <w:i/>
          <w:lang w:val="es-ES"/>
        </w:rPr>
        <w:t>Helianthemum polygonoides</w:t>
      </w:r>
      <w:r w:rsidRPr="007A2C85">
        <w:rPr>
          <w:lang w:val="es-ES"/>
        </w:rPr>
        <w:t xml:space="preserve"> Peinado, Mart. </w:t>
      </w:r>
      <w:r w:rsidRPr="007A2C85">
        <w:t xml:space="preserve">Parras, Alcaraz and Espuelas. In: Iriondo JM, Albert MJ, Gime´nez Benavides L, Domı´nguez Lozano F, Escudero A (eds) Populations in peril: demographic viability of threatened Spanish vascular flora. </w:t>
      </w:r>
      <w:r w:rsidRPr="007A2C85">
        <w:rPr>
          <w:lang w:val="es-ES"/>
        </w:rPr>
        <w:t>Ministerio de Medio Ambiente, y Medio Rural y Marino, Madrid, pp 93–96.</w:t>
      </w:r>
    </w:p>
    <w:p w14:paraId="275766AE" w14:textId="77777777" w:rsidR="00715EA7" w:rsidRPr="007A2C85" w:rsidRDefault="00715EA7" w:rsidP="00715EA7">
      <w:pPr>
        <w:ind w:left="426" w:right="284" w:hanging="426"/>
        <w:rPr>
          <w:rFonts w:eastAsia="Times New Roman"/>
        </w:rPr>
      </w:pPr>
      <w:r w:rsidRPr="007A2C85">
        <w:rPr>
          <w:rFonts w:eastAsia="Times New Roman"/>
          <w:lang w:val="es-ES"/>
        </w:rPr>
        <w:t xml:space="preserve">Daibes, L. F., Pausas, J. G., Bonani, N., Nunes, J., Silveira, F. A., &amp; Fidelis, A. (2019). </w:t>
      </w:r>
      <w:r w:rsidRPr="007A2C85">
        <w:rPr>
          <w:rFonts w:eastAsia="Times New Roman"/>
        </w:rPr>
        <w:t xml:space="preserve">Fire and legume germination in a tropical savanna: ecological and historical factors. </w:t>
      </w:r>
      <w:r w:rsidRPr="007A2C85">
        <w:rPr>
          <w:rFonts w:eastAsia="Times New Roman"/>
          <w:i/>
          <w:iCs/>
        </w:rPr>
        <w:t>Annals of botany</w:t>
      </w:r>
      <w:r w:rsidRPr="007A2C85">
        <w:rPr>
          <w:rFonts w:eastAsia="Times New Roman"/>
        </w:rPr>
        <w:t xml:space="preserve">, </w:t>
      </w:r>
      <w:r w:rsidRPr="007A2C85">
        <w:rPr>
          <w:rFonts w:eastAsia="Times New Roman"/>
          <w:i/>
          <w:iCs/>
        </w:rPr>
        <w:t>123</w:t>
      </w:r>
      <w:r w:rsidRPr="007A2C85">
        <w:rPr>
          <w:rFonts w:eastAsia="Times New Roman"/>
        </w:rPr>
        <w:t>(7), 1219-1229.</w:t>
      </w:r>
    </w:p>
    <w:p w14:paraId="5F0AD86E" w14:textId="77777777" w:rsidR="00715EA7" w:rsidRPr="007A2C85" w:rsidRDefault="00715EA7" w:rsidP="00715EA7">
      <w:pPr>
        <w:ind w:left="426" w:right="284" w:hanging="426"/>
        <w:rPr>
          <w:rFonts w:eastAsia="Times New Roman"/>
        </w:rPr>
      </w:pPr>
      <w:r w:rsidRPr="007A2C85">
        <w:rPr>
          <w:rFonts w:eastAsia="Times New Roman"/>
        </w:rPr>
        <w:t xml:space="preserve">Davis, T. D., George, S. W., Upadhyaya, A., &amp; Persons, J. (1991). Improvement of seedling emergence of </w:t>
      </w:r>
      <w:r w:rsidRPr="007A2C85">
        <w:rPr>
          <w:rFonts w:eastAsia="Times New Roman"/>
          <w:i/>
        </w:rPr>
        <w:t>Lupinus texensis</w:t>
      </w:r>
      <w:r w:rsidRPr="007A2C85">
        <w:rPr>
          <w:rFonts w:eastAsia="Times New Roman"/>
        </w:rPr>
        <w:t xml:space="preserve"> Hook. following seed scarification treatments. </w:t>
      </w:r>
      <w:r w:rsidRPr="007A2C85">
        <w:rPr>
          <w:rFonts w:eastAsia="Times New Roman"/>
          <w:i/>
          <w:iCs/>
        </w:rPr>
        <w:t>Journal of Environmental Horticulture</w:t>
      </w:r>
      <w:r w:rsidRPr="007A2C85">
        <w:rPr>
          <w:rFonts w:eastAsia="Times New Roman"/>
        </w:rPr>
        <w:t xml:space="preserve">, </w:t>
      </w:r>
      <w:r w:rsidRPr="007A2C85">
        <w:rPr>
          <w:rFonts w:eastAsia="Times New Roman"/>
          <w:i/>
          <w:iCs/>
        </w:rPr>
        <w:t>9</w:t>
      </w:r>
      <w:r w:rsidRPr="007A2C85">
        <w:rPr>
          <w:rFonts w:eastAsia="Times New Roman"/>
        </w:rPr>
        <w:t>(1), 17-21.</w:t>
      </w:r>
    </w:p>
    <w:p w14:paraId="3E1DEF25" w14:textId="77777777" w:rsidR="00715EA7" w:rsidRPr="007A2C85" w:rsidRDefault="00715EA7" w:rsidP="00715EA7">
      <w:pPr>
        <w:ind w:left="426" w:right="284" w:hanging="426"/>
        <w:rPr>
          <w:rFonts w:eastAsia="Times New Roman"/>
        </w:rPr>
      </w:pPr>
      <w:r w:rsidRPr="007A2C85">
        <w:rPr>
          <w:rFonts w:eastAsia="Times New Roman"/>
        </w:rPr>
        <w:t xml:space="preserve">Debouck, D. G., Toro, O., Paredes, O. M., Johnson, W. C., &amp; Gepts, P. (1993). Genetic diversity and ecological distribution of </w:t>
      </w:r>
      <w:r w:rsidRPr="007A2C85">
        <w:rPr>
          <w:rFonts w:eastAsia="Times New Roman"/>
          <w:i/>
        </w:rPr>
        <w:t>Phaseolus vulgaris</w:t>
      </w:r>
      <w:r w:rsidRPr="007A2C85">
        <w:rPr>
          <w:rFonts w:eastAsia="Times New Roman"/>
        </w:rPr>
        <w:t xml:space="preserve"> (Fabaceae) in northwestern South America. </w:t>
      </w:r>
      <w:r w:rsidRPr="007A2C85">
        <w:rPr>
          <w:rFonts w:eastAsia="Times New Roman"/>
          <w:i/>
          <w:iCs/>
        </w:rPr>
        <w:t>Economic Botany</w:t>
      </w:r>
      <w:r w:rsidRPr="007A2C85">
        <w:rPr>
          <w:rFonts w:eastAsia="Times New Roman"/>
        </w:rPr>
        <w:t xml:space="preserve">, </w:t>
      </w:r>
      <w:r w:rsidRPr="007A2C85">
        <w:rPr>
          <w:rFonts w:eastAsia="Times New Roman"/>
          <w:i/>
          <w:iCs/>
        </w:rPr>
        <w:t>47</w:t>
      </w:r>
      <w:r w:rsidRPr="007A2C85">
        <w:rPr>
          <w:rFonts w:eastAsia="Times New Roman"/>
        </w:rPr>
        <w:t>(4), 408-423.</w:t>
      </w:r>
    </w:p>
    <w:p w14:paraId="1D6C2999" w14:textId="77777777" w:rsidR="00715EA7" w:rsidRPr="007A2C85" w:rsidRDefault="00715EA7" w:rsidP="00715EA7">
      <w:pPr>
        <w:ind w:left="426" w:right="284" w:hanging="426"/>
        <w:rPr>
          <w:rFonts w:eastAsia="Times New Roman"/>
        </w:rPr>
      </w:pPr>
      <w:r w:rsidRPr="007A2C85">
        <w:rPr>
          <w:rFonts w:eastAsia="Times New Roman"/>
        </w:rPr>
        <w:t xml:space="preserve">Eastwood, R. J., Drummond, C. S., Schifino-Wittmann, M. T., &amp; Hughes, C. E. (2008). Diversity and evolutionary history of lupins–insights from new phylogenies. </w:t>
      </w:r>
      <w:r w:rsidRPr="007A2C85">
        <w:rPr>
          <w:rFonts w:eastAsia="Times New Roman"/>
          <w:i/>
          <w:iCs/>
        </w:rPr>
        <w:t>Lupins for health and wealth. Canterbury, New Zealand: International Lupin Association</w:t>
      </w:r>
      <w:r w:rsidRPr="007A2C85">
        <w:rPr>
          <w:rFonts w:eastAsia="Times New Roman"/>
        </w:rPr>
        <w:t>, pp. 346-354.</w:t>
      </w:r>
    </w:p>
    <w:p w14:paraId="59848D2D" w14:textId="77777777" w:rsidR="00715EA7" w:rsidRPr="007A2C85" w:rsidRDefault="00715EA7" w:rsidP="00715EA7">
      <w:pPr>
        <w:ind w:left="426" w:hanging="426"/>
      </w:pPr>
      <w:r w:rsidRPr="007A2C85">
        <w:t xml:space="preserve">Edwards, E. J., Osborne, C. P., Strömberg, C. A., Smith, S. A., C4 Grasses Consortium, Bond, W. J., ... &amp; Tipple, B. (2010). The origins of C4 grasslands: integrating evolutionary and ecosystem science. </w:t>
      </w:r>
      <w:r w:rsidRPr="007A2C85">
        <w:rPr>
          <w:i/>
          <w:iCs/>
        </w:rPr>
        <w:t>science</w:t>
      </w:r>
      <w:r w:rsidRPr="007A2C85">
        <w:t xml:space="preserve">, </w:t>
      </w:r>
      <w:r w:rsidRPr="007A2C85">
        <w:rPr>
          <w:i/>
          <w:iCs/>
        </w:rPr>
        <w:t>328</w:t>
      </w:r>
      <w:r w:rsidRPr="007A2C85">
        <w:t>(5978), 587-591.</w:t>
      </w:r>
    </w:p>
    <w:p w14:paraId="4D28D2D6" w14:textId="77777777" w:rsidR="00715EA7" w:rsidRPr="007A2C85" w:rsidRDefault="00715EA7" w:rsidP="00715EA7">
      <w:pPr>
        <w:ind w:left="426" w:right="284" w:hanging="426"/>
        <w:rPr>
          <w:rFonts w:eastAsia="Times New Roman"/>
        </w:rPr>
      </w:pPr>
      <w:r w:rsidRPr="007A2C85">
        <w:rPr>
          <w:rFonts w:eastAsia="Times New Roman"/>
        </w:rPr>
        <w:t>Erickson, TE 2015. Seed dormancy and germination traits of 89 arid zone species targeted for mine-site restoration in the Pilbara region of Western Australia. PhD Thesis, University of Western Australia</w:t>
      </w:r>
    </w:p>
    <w:p w14:paraId="322D2D44" w14:textId="77777777" w:rsidR="00715EA7" w:rsidRPr="007A2C85" w:rsidRDefault="00715EA7" w:rsidP="00715EA7">
      <w:pPr>
        <w:ind w:left="426" w:hanging="426"/>
      </w:pPr>
      <w:r w:rsidRPr="007A2C85">
        <w:t xml:space="preserve">Edwards EJ, Osborne CP, Strömberg CA, Smith SA, C4 Grasses Consortium, Bond, W. J. ... Tipple, B. (2010). The origins of C4 grasslands: integrating evolutionary and ecosystem science. </w:t>
      </w:r>
      <w:r w:rsidRPr="007A2C85">
        <w:rPr>
          <w:iCs/>
        </w:rPr>
        <w:t>Science</w:t>
      </w:r>
      <w:r w:rsidRPr="007A2C85">
        <w:t xml:space="preserve"> </w:t>
      </w:r>
      <w:r w:rsidRPr="007A2C85">
        <w:rPr>
          <w:iCs/>
        </w:rPr>
        <w:t>328</w:t>
      </w:r>
      <w:r w:rsidRPr="007A2C85">
        <w:t>:587-591</w:t>
      </w:r>
    </w:p>
    <w:p w14:paraId="0A2E5529" w14:textId="77777777" w:rsidR="00715EA7" w:rsidRPr="007A2C85" w:rsidRDefault="00715EA7" w:rsidP="00715EA7">
      <w:pPr>
        <w:ind w:left="426" w:right="284" w:hanging="426"/>
        <w:rPr>
          <w:rFonts w:eastAsia="Times New Roman"/>
        </w:rPr>
      </w:pPr>
      <w:r w:rsidRPr="007A2C85">
        <w:rPr>
          <w:rFonts w:eastAsia="Times New Roman"/>
        </w:rPr>
        <w:t>Erickson, TE 2015. Seed dormancy and germination traits of 89 arid zone species targeted for mine-site restoration in the Pilbara region of Western Australia. PhD Thesis, University of Western Australia</w:t>
      </w:r>
    </w:p>
    <w:p w14:paraId="2E85B600" w14:textId="77777777" w:rsidR="00715EA7" w:rsidRPr="007A2C85" w:rsidRDefault="00715EA7" w:rsidP="00715EA7">
      <w:pPr>
        <w:ind w:left="426" w:right="-306" w:hanging="426"/>
      </w:pPr>
      <w:r w:rsidRPr="007A2C85">
        <w:rPr>
          <w:rFonts w:eastAsia="Times New Roman"/>
        </w:rPr>
        <w:t xml:space="preserve">Farrant JM, Hilhorst H, Buitink J, Ligterink W, Leprince O, Pelletier S, ... Marcet-Houben M (2019) A blueprint of seed desiccation sensitivity in the genome of </w:t>
      </w:r>
      <w:r w:rsidRPr="007A2C85">
        <w:rPr>
          <w:rFonts w:eastAsia="Times New Roman"/>
          <w:i/>
        </w:rPr>
        <w:t>Castanospermum australe</w:t>
      </w:r>
      <w:r w:rsidRPr="007A2C85">
        <w:rPr>
          <w:rFonts w:eastAsia="Times New Roman"/>
        </w:rPr>
        <w:t>.</w:t>
      </w:r>
      <w:r w:rsidRPr="007A2C85">
        <w:t xml:space="preserve"> BioRxiv. 10.1101/665661‌.‌hal-02624811‌</w:t>
      </w:r>
    </w:p>
    <w:p w14:paraId="5AA3E900" w14:textId="77777777" w:rsidR="00715EA7" w:rsidRPr="007A2C85" w:rsidRDefault="00715EA7" w:rsidP="00715EA7">
      <w:pPr>
        <w:ind w:left="426" w:right="-306" w:hanging="426"/>
      </w:pPr>
      <w:r w:rsidRPr="007A2C85">
        <w:t>Forest F, Chase MW, Persson C, Crane PR, Hawkins JA (2007) The role of biotic and abiotic factors in evolution of ant dispersal in the milkwort family (Polygalaceae). Internat J Organ Evol 61:1675-1694</w:t>
      </w:r>
    </w:p>
    <w:p w14:paraId="5D2E9E62" w14:textId="77777777" w:rsidR="00715EA7" w:rsidRPr="007A2C85" w:rsidRDefault="00715EA7" w:rsidP="00715EA7">
      <w:pPr>
        <w:ind w:left="426" w:right="284" w:hanging="426"/>
        <w:rPr>
          <w:rFonts w:eastAsia="Times New Roman"/>
        </w:rPr>
      </w:pPr>
      <w:r w:rsidRPr="007A2C85">
        <w:rPr>
          <w:rFonts w:eastAsia="Times New Roman"/>
        </w:rPr>
        <w:t xml:space="preserve">Godoy O, Saldana A, Fuentes N, Valladares F, Gianoli E (2011) Forests are not immune to plant invasions: phenotypic plasticity and local adaptation allow </w:t>
      </w:r>
      <w:r w:rsidRPr="007A2C85">
        <w:rPr>
          <w:rFonts w:eastAsia="Times New Roman"/>
          <w:i/>
        </w:rPr>
        <w:t>Prunella vulgaris</w:t>
      </w:r>
      <w:r w:rsidRPr="007A2C85">
        <w:rPr>
          <w:rFonts w:eastAsia="Times New Roman"/>
        </w:rPr>
        <w:t xml:space="preserve"> to colonize a temperate evergreen rainforest. </w:t>
      </w:r>
      <w:r w:rsidRPr="007A2C85">
        <w:rPr>
          <w:rFonts w:eastAsia="Times New Roman"/>
          <w:iCs/>
        </w:rPr>
        <w:t>Biol Invas</w:t>
      </w:r>
      <w:r w:rsidRPr="007A2C85">
        <w:rPr>
          <w:rFonts w:eastAsia="Times New Roman"/>
        </w:rPr>
        <w:t xml:space="preserve"> </w:t>
      </w:r>
      <w:r w:rsidRPr="007A2C85">
        <w:rPr>
          <w:rFonts w:eastAsia="Times New Roman"/>
          <w:iCs/>
        </w:rPr>
        <w:t>13</w:t>
      </w:r>
      <w:r w:rsidRPr="007A2C85">
        <w:rPr>
          <w:rFonts w:eastAsia="Times New Roman"/>
        </w:rPr>
        <w:t>:1615-1625</w:t>
      </w:r>
    </w:p>
    <w:p w14:paraId="607EF954" w14:textId="77777777" w:rsidR="00715EA7" w:rsidRPr="007A2C85" w:rsidRDefault="00715EA7" w:rsidP="00715EA7">
      <w:pPr>
        <w:ind w:left="426" w:right="284" w:hanging="426"/>
        <w:rPr>
          <w:rFonts w:eastAsia="Times New Roman"/>
        </w:rPr>
      </w:pPr>
      <w:r w:rsidRPr="007A2C85">
        <w:rPr>
          <w:rFonts w:eastAsia="Times New Roman"/>
        </w:rPr>
        <w:lastRenderedPageBreak/>
        <w:t xml:space="preserve">Gunn CR (1984) </w:t>
      </w:r>
      <w:r w:rsidRPr="007A2C85">
        <w:rPr>
          <w:rFonts w:eastAsia="Times New Roman"/>
          <w:iCs/>
        </w:rPr>
        <w:t>Fruits and seeds of genera in the subfamily Mimosoideae (Fabaceae)</w:t>
      </w:r>
      <w:r w:rsidRPr="007A2C85">
        <w:rPr>
          <w:rFonts w:eastAsia="Times New Roman"/>
          <w:i/>
          <w:iCs/>
        </w:rPr>
        <w:t>.</w:t>
      </w:r>
      <w:r w:rsidRPr="007A2C85">
        <w:rPr>
          <w:rFonts w:eastAsia="Times New Roman"/>
        </w:rPr>
        <w:t xml:space="preserve"> USA Dept Agriculture, Bull no. 1681</w:t>
      </w:r>
    </w:p>
    <w:p w14:paraId="023002A8" w14:textId="77777777" w:rsidR="00715EA7" w:rsidRPr="007A2C85" w:rsidRDefault="00715EA7" w:rsidP="00715EA7">
      <w:pPr>
        <w:widowControl w:val="0"/>
        <w:autoSpaceDE w:val="0"/>
        <w:autoSpaceDN w:val="0"/>
        <w:adjustRightInd w:val="0"/>
        <w:ind w:left="426" w:right="284" w:hanging="426"/>
      </w:pPr>
      <w:r w:rsidRPr="007A2C85">
        <w:t xml:space="preserve">He T, Lamont BB, Downes KS. 2011. Banksia born to burn. </w:t>
      </w:r>
      <w:r w:rsidRPr="007A2C85">
        <w:rPr>
          <w:i/>
        </w:rPr>
        <w:t>New Phytologist</w:t>
      </w:r>
      <w:r w:rsidRPr="007A2C85">
        <w:t xml:space="preserve"> 191, 184–196.</w:t>
      </w:r>
    </w:p>
    <w:p w14:paraId="06E2932B" w14:textId="77777777" w:rsidR="00715EA7" w:rsidRPr="007A2C85" w:rsidRDefault="00715EA7" w:rsidP="00715EA7">
      <w:pPr>
        <w:widowControl w:val="0"/>
        <w:autoSpaceDE w:val="0"/>
        <w:autoSpaceDN w:val="0"/>
        <w:adjustRightInd w:val="0"/>
        <w:ind w:left="426" w:right="284" w:hanging="426"/>
      </w:pPr>
      <w:r w:rsidRPr="007A2C85">
        <w:t xml:space="preserve">He, T, Lamont, BB and Manning, JA 2016. A Cretaceous origin for fire adaptations in the Cape flora. </w:t>
      </w:r>
      <w:r w:rsidRPr="007A2C85">
        <w:rPr>
          <w:i/>
        </w:rPr>
        <w:t xml:space="preserve">Scientific Reports </w:t>
      </w:r>
      <w:r w:rsidRPr="007A2C85">
        <w:t>6, 34880; doi: 10.1038/srep34880.</w:t>
      </w:r>
    </w:p>
    <w:p w14:paraId="3D348B93" w14:textId="77777777" w:rsidR="00715EA7" w:rsidRPr="007A2C85" w:rsidRDefault="00715EA7" w:rsidP="00715EA7">
      <w:pPr>
        <w:widowControl w:val="0"/>
        <w:autoSpaceDE w:val="0"/>
        <w:autoSpaceDN w:val="0"/>
        <w:adjustRightInd w:val="0"/>
        <w:ind w:left="426" w:right="284" w:hanging="426"/>
      </w:pPr>
      <w:r w:rsidRPr="007A2C85">
        <w:rPr>
          <w:rFonts w:eastAsia="MS Mincho"/>
          <w:lang w:eastAsia="ja-JP"/>
        </w:rPr>
        <w:t xml:space="preserve">He, T, Pausas, JG, Belcher, CM, Schwilk, DW and Lamont BB 2012. Fire-adapted traits of </w:t>
      </w:r>
      <w:r w:rsidRPr="007A2C85">
        <w:rPr>
          <w:rFonts w:eastAsia="MS Mincho"/>
          <w:i/>
          <w:lang w:eastAsia="ja-JP"/>
        </w:rPr>
        <w:t xml:space="preserve">Pinus </w:t>
      </w:r>
      <w:r w:rsidRPr="007A2C85">
        <w:rPr>
          <w:rFonts w:eastAsia="MS Mincho"/>
          <w:lang w:eastAsia="ja-JP"/>
        </w:rPr>
        <w:t xml:space="preserve">arose in the fiery Cretaceous. </w:t>
      </w:r>
      <w:r w:rsidRPr="007A2C85">
        <w:rPr>
          <w:rFonts w:eastAsia="MS Mincho"/>
          <w:i/>
          <w:lang w:eastAsia="ja-JP"/>
        </w:rPr>
        <w:t>New Phytologist</w:t>
      </w:r>
      <w:r w:rsidRPr="007A2C85">
        <w:rPr>
          <w:rFonts w:eastAsia="MS Mincho"/>
          <w:lang w:eastAsia="ja-JP"/>
        </w:rPr>
        <w:t xml:space="preserve"> </w:t>
      </w:r>
      <w:r w:rsidRPr="007A2C85">
        <w:t>194: 751–759.</w:t>
      </w:r>
    </w:p>
    <w:p w14:paraId="23DB64A8" w14:textId="77777777" w:rsidR="00715EA7" w:rsidRPr="007A2C85" w:rsidRDefault="00715EA7" w:rsidP="00715EA7">
      <w:pPr>
        <w:widowControl w:val="0"/>
        <w:autoSpaceDE w:val="0"/>
        <w:autoSpaceDN w:val="0"/>
        <w:adjustRightInd w:val="0"/>
        <w:ind w:left="426" w:right="284" w:hanging="426"/>
        <w:rPr>
          <w:rFonts w:eastAsia="Times New Roman"/>
        </w:rPr>
      </w:pPr>
      <w:r w:rsidRPr="007A2C85">
        <w:rPr>
          <w:rFonts w:eastAsia="Times New Roman"/>
        </w:rPr>
        <w:t xml:space="preserve">Heckenhauer J, Samuel R, Ashton PS, Turner B, Barfuss MH, Jang TS et al. (2017) Phylogenetic analyses of plastid DNA suggest a different interpretation of morphological evolution than those used as the basis for previous classifications of Dipterocarpaceae (Malvales). </w:t>
      </w:r>
      <w:r w:rsidRPr="007A2C85">
        <w:rPr>
          <w:rFonts w:eastAsia="Times New Roman"/>
          <w:i/>
          <w:iCs/>
        </w:rPr>
        <w:t>Botanical Journal of the Linnaean Society</w:t>
      </w:r>
      <w:r w:rsidRPr="007A2C85">
        <w:rPr>
          <w:rFonts w:eastAsia="Times New Roman"/>
        </w:rPr>
        <w:t xml:space="preserve"> </w:t>
      </w:r>
      <w:r w:rsidRPr="007A2C85">
        <w:rPr>
          <w:rFonts w:eastAsia="Times New Roman"/>
          <w:iCs/>
        </w:rPr>
        <w:t>185</w:t>
      </w:r>
      <w:r w:rsidRPr="007A2C85">
        <w:rPr>
          <w:rFonts w:eastAsia="Times New Roman"/>
        </w:rPr>
        <w:t>: 1</w:t>
      </w:r>
      <w:r w:rsidRPr="007A2C85">
        <w:rPr>
          <w:lang w:val="en-US"/>
        </w:rPr>
        <w:t>–</w:t>
      </w:r>
      <w:r w:rsidRPr="007A2C85">
        <w:rPr>
          <w:rFonts w:eastAsia="Times New Roman"/>
        </w:rPr>
        <w:t>26.</w:t>
      </w:r>
    </w:p>
    <w:p w14:paraId="32B1388E" w14:textId="77777777" w:rsidR="00715EA7" w:rsidRPr="007A2C85" w:rsidRDefault="00715EA7" w:rsidP="00715EA7">
      <w:pPr>
        <w:ind w:left="426" w:right="284" w:hanging="426"/>
        <w:rPr>
          <w:rFonts w:eastAsia="Times New Roman"/>
          <w:shd w:val="clear" w:color="auto" w:fill="FFFFFF"/>
        </w:rPr>
      </w:pPr>
      <w:r w:rsidRPr="007A2C85">
        <w:t>Jabaily, R. S., Shepherd, K. A., Gardner, A. G., Gustafsson, M. H. G., Howarth, D. G. &amp; Motley, T. J. (</w:t>
      </w:r>
      <w:r w:rsidRPr="007A2C85">
        <w:rPr>
          <w:rFonts w:eastAsia="Times New Roman"/>
          <w:shd w:val="clear" w:color="auto" w:fill="FFFFFF"/>
        </w:rPr>
        <w:t>2014)</w:t>
      </w:r>
      <w:r w:rsidRPr="007A2C85">
        <w:t xml:space="preserve"> Historical biogeography of the predominantly Australian plant family Goodeniaceae </w:t>
      </w:r>
      <w:r w:rsidRPr="007A2C85">
        <w:rPr>
          <w:i/>
        </w:rPr>
        <w:t>Journal of Biogeography</w:t>
      </w:r>
      <w:r w:rsidRPr="007A2C85">
        <w:rPr>
          <w:rFonts w:eastAsia="Times New Roman"/>
          <w:shd w:val="clear" w:color="auto" w:fill="FFFFFF"/>
        </w:rPr>
        <w:t xml:space="preserve"> </w:t>
      </w:r>
      <w:r w:rsidRPr="007A2C85">
        <w:rPr>
          <w:rFonts w:eastAsia="Times New Roman"/>
          <w:b/>
          <w:shd w:val="clear" w:color="auto" w:fill="FFFFFF"/>
        </w:rPr>
        <w:t>41</w:t>
      </w:r>
      <w:r w:rsidRPr="007A2C85">
        <w:rPr>
          <w:rFonts w:eastAsia="Times New Roman"/>
          <w:shd w:val="clear" w:color="auto" w:fill="FFFFFF"/>
        </w:rPr>
        <w:t>, 2057–2067</w:t>
      </w:r>
    </w:p>
    <w:p w14:paraId="53D369EA" w14:textId="77777777" w:rsidR="00715EA7" w:rsidRPr="007A2C85" w:rsidRDefault="00715EA7" w:rsidP="00715EA7">
      <w:pPr>
        <w:ind w:left="426" w:right="284" w:hanging="426"/>
        <w:rPr>
          <w:rFonts w:eastAsia="Times New Roman"/>
        </w:rPr>
      </w:pPr>
      <w:r w:rsidRPr="007A2C85">
        <w:rPr>
          <w:rFonts w:eastAsia="Times New Roman"/>
        </w:rPr>
        <w:t xml:space="preserve">Keeley, J. E., &amp; Keeley, S. C. (1986). Chaparral and fires. </w:t>
      </w:r>
      <w:r w:rsidRPr="007A2C85">
        <w:rPr>
          <w:rFonts w:eastAsia="Times New Roman"/>
          <w:i/>
          <w:iCs/>
        </w:rPr>
        <w:t>Fremontia</w:t>
      </w:r>
      <w:r w:rsidRPr="007A2C85">
        <w:rPr>
          <w:rFonts w:eastAsia="Times New Roman"/>
        </w:rPr>
        <w:t xml:space="preserve">, </w:t>
      </w:r>
      <w:r w:rsidRPr="007A2C85">
        <w:rPr>
          <w:rFonts w:eastAsia="Times New Roman"/>
          <w:i/>
          <w:iCs/>
        </w:rPr>
        <w:t>14</w:t>
      </w:r>
      <w:r w:rsidRPr="007A2C85">
        <w:rPr>
          <w:rFonts w:eastAsia="Times New Roman"/>
        </w:rPr>
        <w:t>(3), 6-9.</w:t>
      </w:r>
    </w:p>
    <w:p w14:paraId="7093170A" w14:textId="77777777" w:rsidR="00715EA7" w:rsidRPr="007A2C85" w:rsidRDefault="00715EA7" w:rsidP="00715EA7">
      <w:pPr>
        <w:ind w:left="426" w:right="-306" w:hanging="426"/>
        <w:rPr>
          <w:rFonts w:eastAsia="Times New Roman"/>
        </w:rPr>
      </w:pPr>
      <w:r w:rsidRPr="007A2C85">
        <w:t>Keeling RF, Graven HD, Welp LR, Resplandy L, Bi J, Piper SC, Sun Y, Bollenbacher A, Meijer HAJ (2017) Atmospheric evidence for a global secular increase in carbon isotopic discrimination of land photosynthesis. Proc Nat Acad Sci USA 114: 0361-10366</w:t>
      </w:r>
    </w:p>
    <w:p w14:paraId="55E7BD16" w14:textId="77777777" w:rsidR="00715EA7" w:rsidRPr="007A2C85" w:rsidRDefault="00715EA7" w:rsidP="00715EA7">
      <w:pPr>
        <w:ind w:left="426" w:right="284" w:hanging="426"/>
      </w:pPr>
      <w:r w:rsidRPr="007A2C85">
        <w:t xml:space="preserve">Lamont BB, El-Ahmir SM, Lim SL, Groom PK, He T (2017) Contribution of transition and stabilization processes to speciation is a function of the ancestral trait state and selective environment in </w:t>
      </w:r>
      <w:r w:rsidRPr="007A2C85">
        <w:rPr>
          <w:i/>
        </w:rPr>
        <w:t>Hakea</w:t>
      </w:r>
      <w:r w:rsidRPr="007A2C85">
        <w:t xml:space="preserve">. BioRxiv doi: </w:t>
      </w:r>
      <w:hyperlink r:id="rId8" w:history="1">
        <w:r w:rsidRPr="007A2C85">
          <w:rPr>
            <w:rStyle w:val="Hyperlink"/>
          </w:rPr>
          <w:t>https://doi.org/</w:t>
        </w:r>
      </w:hyperlink>
      <w:r w:rsidRPr="007A2C85">
        <w:t xml:space="preserve"> 10.1101/207373</w:t>
      </w:r>
    </w:p>
    <w:p w14:paraId="364DE8E8" w14:textId="77777777" w:rsidR="00715EA7" w:rsidRPr="007A2C85" w:rsidRDefault="00715EA7" w:rsidP="00715EA7">
      <w:pPr>
        <w:ind w:left="426" w:right="284" w:hanging="426"/>
        <w:rPr>
          <w:bCs/>
          <w:lang w:val="en-US"/>
        </w:rPr>
      </w:pPr>
      <w:r w:rsidRPr="007A2C85">
        <w:t xml:space="preserve">Lamont, BB and He, T. 2012. Fire-adapted Gondwanan Angiosperm floras arose in the Cretaceous. </w:t>
      </w:r>
      <w:r w:rsidRPr="007A2C85">
        <w:rPr>
          <w:i/>
        </w:rPr>
        <w:t>BMC Evolutionary Biology</w:t>
      </w:r>
      <w:r w:rsidRPr="007A2C85">
        <w:t xml:space="preserve"> </w:t>
      </w:r>
      <w:r w:rsidRPr="007A2C85">
        <w:rPr>
          <w:lang w:val="en-US"/>
        </w:rPr>
        <w:t>12</w:t>
      </w:r>
      <w:r w:rsidRPr="007A2C85">
        <w:rPr>
          <w:bCs/>
          <w:lang w:val="en-US"/>
        </w:rPr>
        <w:t>: 223.</w:t>
      </w:r>
    </w:p>
    <w:p w14:paraId="65ECE60B" w14:textId="77777777" w:rsidR="00715EA7" w:rsidRPr="007A2C85" w:rsidRDefault="00715EA7" w:rsidP="00715EA7">
      <w:pPr>
        <w:widowControl w:val="0"/>
        <w:autoSpaceDE w:val="0"/>
        <w:autoSpaceDN w:val="0"/>
        <w:adjustRightInd w:val="0"/>
        <w:ind w:left="426" w:right="284" w:hanging="426"/>
      </w:pPr>
      <w:r w:rsidRPr="007A2C85">
        <w:t xml:space="preserve">Lamont, BB and He T 2017b. When did a Mediterranean-type climate originate in southwestern Australia? </w:t>
      </w:r>
      <w:r w:rsidRPr="007A2C85">
        <w:rPr>
          <w:i/>
        </w:rPr>
        <w:t>Global and Planetary Change</w:t>
      </w:r>
      <w:r w:rsidRPr="007A2C85">
        <w:t xml:space="preserve">. </w:t>
      </w:r>
      <w:r w:rsidRPr="007A2C85">
        <w:rPr>
          <w:rStyle w:val="size-m"/>
        </w:rPr>
        <w:t xml:space="preserve">156, 46-58. </w:t>
      </w:r>
      <w:hyperlink r:id="rId9" w:tgtFrame="doilink" w:history="1">
        <w:r w:rsidRPr="007A2C85">
          <w:rPr>
            <w:rStyle w:val="Hyperlink"/>
          </w:rPr>
          <w:t>https://doi.org/10.1016/j.gloplacha.2017.08.004</w:t>
        </w:r>
      </w:hyperlink>
    </w:p>
    <w:p w14:paraId="4C422510" w14:textId="77777777" w:rsidR="00715EA7" w:rsidRPr="007A2C85" w:rsidRDefault="00715EA7" w:rsidP="00715EA7">
      <w:pPr>
        <w:ind w:left="426" w:right="284" w:hanging="426"/>
        <w:rPr>
          <w:bCs/>
          <w:shd w:val="clear" w:color="auto" w:fill="FFFFFF"/>
        </w:rPr>
      </w:pPr>
      <w:r w:rsidRPr="007A2C85">
        <w:t xml:space="preserve">Lamont BB, He T, Downes KS (2013) Adaptive responses to directional trait selection in the Miocene enabled Cape proteas to colonize the savanna grasslands. Evol Ecol </w:t>
      </w:r>
      <w:r w:rsidRPr="007A2C85">
        <w:rPr>
          <w:bCs/>
          <w:shd w:val="clear" w:color="auto" w:fill="FFFFFF"/>
        </w:rPr>
        <w:t>27:1099-1115</w:t>
      </w:r>
    </w:p>
    <w:p w14:paraId="2094B453" w14:textId="77777777" w:rsidR="00715EA7" w:rsidRPr="007A2C85" w:rsidRDefault="00715EA7" w:rsidP="00715EA7">
      <w:pPr>
        <w:widowControl w:val="0"/>
        <w:autoSpaceDE w:val="0"/>
        <w:autoSpaceDN w:val="0"/>
        <w:adjustRightInd w:val="0"/>
        <w:ind w:left="426" w:right="284" w:hanging="426"/>
      </w:pPr>
      <w:r w:rsidRPr="007A2C85">
        <w:rPr>
          <w:bCs/>
          <w:iCs/>
        </w:rPr>
        <w:t xml:space="preserve">Lamont, BB, He, T and Lim, SL 2016. </w:t>
      </w:r>
      <w:r w:rsidRPr="007A2C85">
        <w:rPr>
          <w:bCs/>
          <w:i/>
          <w:iCs/>
        </w:rPr>
        <w:t>Hakea</w:t>
      </w:r>
      <w:r w:rsidRPr="007A2C85">
        <w:rPr>
          <w:bCs/>
        </w:rPr>
        <w:t xml:space="preserve">, the most world’s most sclerophyllous genus, arose in southwest Australian heathland and diversified throughout Australia over the last 12 million years. </w:t>
      </w:r>
      <w:r w:rsidRPr="007A2C85">
        <w:rPr>
          <w:bCs/>
          <w:i/>
        </w:rPr>
        <w:t>Australian Journal of Botany</w:t>
      </w:r>
      <w:r w:rsidRPr="007A2C85">
        <w:rPr>
          <w:bCs/>
        </w:rPr>
        <w:t xml:space="preserve"> 64, 77-88.</w:t>
      </w:r>
    </w:p>
    <w:p w14:paraId="03D6A202" w14:textId="77777777" w:rsidR="00715EA7" w:rsidRPr="007A2C85" w:rsidRDefault="00715EA7" w:rsidP="00715EA7">
      <w:pPr>
        <w:tabs>
          <w:tab w:val="left" w:pos="9214"/>
        </w:tabs>
        <w:ind w:left="426" w:right="284" w:hanging="426"/>
      </w:pPr>
      <w:r w:rsidRPr="007A2C85">
        <w:t xml:space="preserve">Lamont, BB, He, T and Yan, Z (2019a) Fire as a pre-emptive evolutionary trigger among seed plants. </w:t>
      </w:r>
      <w:r w:rsidRPr="007A2C85">
        <w:rPr>
          <w:i/>
          <w:lang w:val="en-US"/>
        </w:rPr>
        <w:t>Perspectives in Plant Ecology, Evolution and Systema</w:t>
      </w:r>
      <w:r w:rsidRPr="007A2C85">
        <w:rPr>
          <w:lang w:val="en-US"/>
        </w:rPr>
        <w:t>tics 36, 13–23. https://doi.org/10.1016/j.ppees.2018.12.001</w:t>
      </w:r>
    </w:p>
    <w:p w14:paraId="5C11CFA3" w14:textId="77777777" w:rsidR="00715EA7" w:rsidRPr="007A2C85" w:rsidRDefault="00715EA7" w:rsidP="00715EA7">
      <w:pPr>
        <w:ind w:left="426" w:right="284" w:hanging="426"/>
      </w:pPr>
      <w:r w:rsidRPr="007A2C85">
        <w:t xml:space="preserve">Lamont, BB, He, T and Yan, Z (2019b) Evolutionary history of fire-stimulated resprouting, flowering, seed release and germination. </w:t>
      </w:r>
      <w:r w:rsidRPr="007A2C85">
        <w:rPr>
          <w:i/>
        </w:rPr>
        <w:t>Biological Reviews</w:t>
      </w:r>
      <w:r w:rsidRPr="007A2C85">
        <w:t xml:space="preserve"> </w:t>
      </w:r>
      <w:r w:rsidRPr="007A2C85">
        <w:rPr>
          <w:lang w:val="en-US"/>
        </w:rPr>
        <w:t xml:space="preserve">94, 903–928. </w:t>
      </w:r>
      <w:r w:rsidRPr="007A2C85">
        <w:t>DOI:10.1111/brv.12483</w:t>
      </w:r>
    </w:p>
    <w:p w14:paraId="325780CC" w14:textId="77777777" w:rsidR="00715EA7" w:rsidRPr="007A2C85" w:rsidRDefault="00715EA7" w:rsidP="00715EA7">
      <w:pPr>
        <w:ind w:left="426" w:right="284" w:hanging="426"/>
        <w:rPr>
          <w:rFonts w:eastAsia="Times New Roman"/>
        </w:rPr>
      </w:pPr>
      <w:r w:rsidRPr="007A2C85">
        <w:rPr>
          <w:rFonts w:eastAsia="Times New Roman"/>
        </w:rPr>
        <w:t xml:space="preserve">Leonard, J., West, A. G., &amp; Ojeda, F. (2018). Differences in germination response to smoke and temperature cues in ‘pyrophyte’ and ‘pyrofuge’ forms of </w:t>
      </w:r>
      <w:r w:rsidRPr="007A2C85">
        <w:rPr>
          <w:rFonts w:eastAsia="Times New Roman"/>
          <w:i/>
        </w:rPr>
        <w:t>Erica coccinea</w:t>
      </w:r>
      <w:r w:rsidRPr="007A2C85">
        <w:rPr>
          <w:rFonts w:eastAsia="Times New Roman"/>
        </w:rPr>
        <w:t xml:space="preserve"> (Ericaceae). </w:t>
      </w:r>
      <w:r w:rsidRPr="007A2C85">
        <w:rPr>
          <w:rFonts w:eastAsia="Times New Roman"/>
          <w:i/>
          <w:iCs/>
        </w:rPr>
        <w:t>International Journal of Wildland Fire</w:t>
      </w:r>
      <w:r w:rsidRPr="007A2C85">
        <w:rPr>
          <w:rFonts w:eastAsia="Times New Roman"/>
        </w:rPr>
        <w:t xml:space="preserve">, </w:t>
      </w:r>
      <w:r w:rsidRPr="007A2C85">
        <w:rPr>
          <w:rFonts w:eastAsia="Times New Roman"/>
          <w:i/>
          <w:iCs/>
        </w:rPr>
        <w:t>27</w:t>
      </w:r>
      <w:r w:rsidRPr="007A2C85">
        <w:rPr>
          <w:rFonts w:eastAsia="Times New Roman"/>
        </w:rPr>
        <w:t>(8), 562-568.</w:t>
      </w:r>
    </w:p>
    <w:p w14:paraId="61F4F11E" w14:textId="77777777" w:rsidR="00715EA7" w:rsidRPr="007A2C85" w:rsidRDefault="00715EA7" w:rsidP="00715EA7">
      <w:pPr>
        <w:ind w:left="426" w:right="284" w:hanging="426"/>
        <w:rPr>
          <w:rFonts w:eastAsia="Times New Roman"/>
        </w:rPr>
      </w:pPr>
      <w:r w:rsidRPr="007A2C85">
        <w:rPr>
          <w:rFonts w:eastAsia="Times New Roman"/>
        </w:rPr>
        <w:t xml:space="preserve">Li, H. L., Wang, W., Mortimer, P. E., Li, R. Q., Li, D. Z., Hyde, K. D., ... &amp; Chen, Z. D. (2015). Large-scale phylogenetic analyses reveal multiple gains of actinorhizal nitrogen-fixing symbioses in angiosperms associated with climate change. </w:t>
      </w:r>
      <w:r w:rsidRPr="007A2C85">
        <w:rPr>
          <w:rFonts w:eastAsia="Times New Roman"/>
          <w:i/>
          <w:iCs/>
        </w:rPr>
        <w:t>Scientific Reports</w:t>
      </w:r>
      <w:r w:rsidRPr="007A2C85">
        <w:rPr>
          <w:rFonts w:eastAsia="Times New Roman"/>
        </w:rPr>
        <w:t xml:space="preserve"> </w:t>
      </w:r>
      <w:r w:rsidRPr="007A2C85">
        <w:rPr>
          <w:rFonts w:eastAsia="Times New Roman"/>
          <w:i/>
          <w:iCs/>
        </w:rPr>
        <w:t>5</w:t>
      </w:r>
      <w:r w:rsidRPr="007A2C85">
        <w:rPr>
          <w:rFonts w:eastAsia="Times New Roman"/>
        </w:rPr>
        <w:t>.</w:t>
      </w:r>
    </w:p>
    <w:p w14:paraId="0CD2F207" w14:textId="77777777" w:rsidR="00715EA7" w:rsidRPr="007A2C85" w:rsidRDefault="00715EA7" w:rsidP="00715EA7">
      <w:pPr>
        <w:ind w:left="426" w:hanging="426"/>
      </w:pPr>
      <w:r w:rsidRPr="007A2C85">
        <w:t xml:space="preserve">Linder, H. P., &amp; Vlok, J. H. (1991). The morphology, taxonomy and evolution ofRhodocoma (Restionaceae). </w:t>
      </w:r>
      <w:r w:rsidRPr="007A2C85">
        <w:rPr>
          <w:i/>
          <w:iCs/>
        </w:rPr>
        <w:t>Plant Systematics and Evolution</w:t>
      </w:r>
      <w:r w:rsidRPr="007A2C85">
        <w:t xml:space="preserve">, </w:t>
      </w:r>
      <w:r w:rsidRPr="007A2C85">
        <w:rPr>
          <w:i/>
          <w:iCs/>
        </w:rPr>
        <w:t>175</w:t>
      </w:r>
      <w:r w:rsidRPr="007A2C85">
        <w:t>(3), 139-160.</w:t>
      </w:r>
    </w:p>
    <w:p w14:paraId="139BC020" w14:textId="77777777" w:rsidR="00715EA7" w:rsidRPr="007A2C85" w:rsidRDefault="00715EA7" w:rsidP="00715EA7">
      <w:pPr>
        <w:ind w:left="426" w:right="284" w:hanging="426"/>
        <w:rPr>
          <w:rFonts w:eastAsia="Times New Roman"/>
        </w:rPr>
      </w:pPr>
      <w:r w:rsidRPr="007A2C85">
        <w:rPr>
          <w:rFonts w:eastAsia="Times New Roman"/>
        </w:rPr>
        <w:t xml:space="preserve">Miller, J. T., Murphy, D. J., Ho, S. Y., Cantrill, D. J., &amp; Seigler, D. (2013). Comparative dating of </w:t>
      </w:r>
      <w:r w:rsidRPr="007A2C85">
        <w:rPr>
          <w:rFonts w:eastAsia="Times New Roman"/>
          <w:i/>
        </w:rPr>
        <w:t>Acacia</w:t>
      </w:r>
      <w:r w:rsidRPr="007A2C85">
        <w:rPr>
          <w:rFonts w:eastAsia="Times New Roman"/>
        </w:rPr>
        <w:t xml:space="preserve">: combining fossils and multiple phylogenies to infer ages of clades with poor fossil records. </w:t>
      </w:r>
      <w:r w:rsidRPr="007A2C85">
        <w:rPr>
          <w:rFonts w:eastAsia="Times New Roman"/>
          <w:i/>
          <w:iCs/>
        </w:rPr>
        <w:t>Australian Journal of Botany</w:t>
      </w:r>
      <w:r w:rsidRPr="007A2C85">
        <w:rPr>
          <w:rFonts w:eastAsia="Times New Roman"/>
        </w:rPr>
        <w:t xml:space="preserve">, </w:t>
      </w:r>
      <w:r w:rsidRPr="007A2C85">
        <w:rPr>
          <w:rFonts w:eastAsia="Times New Roman"/>
          <w:i/>
          <w:iCs/>
        </w:rPr>
        <w:t>61</w:t>
      </w:r>
      <w:r w:rsidRPr="007A2C85">
        <w:rPr>
          <w:rFonts w:eastAsia="Times New Roman"/>
        </w:rPr>
        <w:t>(6), 436-445.</w:t>
      </w:r>
    </w:p>
    <w:p w14:paraId="59264D56" w14:textId="77777777" w:rsidR="00715EA7" w:rsidRPr="007A2C85" w:rsidRDefault="00715EA7" w:rsidP="00715EA7">
      <w:pPr>
        <w:widowControl w:val="0"/>
        <w:autoSpaceDE w:val="0"/>
        <w:autoSpaceDN w:val="0"/>
        <w:adjustRightInd w:val="0"/>
        <w:ind w:left="426" w:right="284" w:hanging="426"/>
        <w:rPr>
          <w:lang w:val="en-US"/>
        </w:rPr>
      </w:pPr>
      <w:r w:rsidRPr="007A2C85">
        <w:rPr>
          <w:lang w:val="en-US"/>
        </w:rPr>
        <w:t xml:space="preserve">Milne, L. A. (1988). Palynology of a late Eocene lignitic sequence from the western margin of the Eucla Basin, Western Australia. </w:t>
      </w:r>
      <w:r w:rsidRPr="007A2C85">
        <w:rPr>
          <w:i/>
          <w:lang w:val="en-US"/>
        </w:rPr>
        <w:t xml:space="preserve">Memoirs of the Association of Australasian Palaeontologists </w:t>
      </w:r>
      <w:r w:rsidRPr="007A2C85">
        <w:rPr>
          <w:lang w:val="en-US"/>
        </w:rPr>
        <w:t>5, 285–310.</w:t>
      </w:r>
    </w:p>
    <w:p w14:paraId="2D71C18C" w14:textId="77777777" w:rsidR="00715EA7" w:rsidRPr="007A2C85" w:rsidRDefault="00715EA7" w:rsidP="00715EA7">
      <w:pPr>
        <w:widowControl w:val="0"/>
        <w:autoSpaceDE w:val="0"/>
        <w:autoSpaceDN w:val="0"/>
        <w:adjustRightInd w:val="0"/>
        <w:ind w:left="426" w:right="284" w:hanging="426"/>
        <w:rPr>
          <w:lang w:val="en-US"/>
        </w:rPr>
      </w:pPr>
      <w:r w:rsidRPr="007A2C85">
        <w:rPr>
          <w:rFonts w:eastAsia="Times New Roman"/>
        </w:rPr>
        <w:t xml:space="preserve">Morrone, O., Aagesen, L., Scataglini, M. A., Salariato, D. L., Denham, S. S., Chemisquy, M. </w:t>
      </w:r>
      <w:r w:rsidRPr="007A2C85">
        <w:rPr>
          <w:rFonts w:eastAsia="Times New Roman"/>
        </w:rPr>
        <w:lastRenderedPageBreak/>
        <w:t xml:space="preserve">A., ... &amp; Zuloaga, F. O. (2012). Phylogeny of the Paniceae (Poaceae: Panicoideae): integrating plastid DNA sequences and morphology into a new classification. </w:t>
      </w:r>
      <w:r w:rsidRPr="007A2C85">
        <w:rPr>
          <w:rFonts w:eastAsia="Times New Roman"/>
          <w:i/>
          <w:iCs/>
        </w:rPr>
        <w:t>Cladistics</w:t>
      </w:r>
      <w:r w:rsidRPr="007A2C85">
        <w:rPr>
          <w:rFonts w:eastAsia="Times New Roman"/>
        </w:rPr>
        <w:t xml:space="preserve">, </w:t>
      </w:r>
      <w:r w:rsidRPr="007A2C85">
        <w:rPr>
          <w:rFonts w:eastAsia="Times New Roman"/>
          <w:i/>
          <w:iCs/>
        </w:rPr>
        <w:t>28</w:t>
      </w:r>
      <w:r w:rsidRPr="007A2C85">
        <w:rPr>
          <w:rFonts w:eastAsia="Times New Roman"/>
        </w:rPr>
        <w:t>(4), 333-356.</w:t>
      </w:r>
    </w:p>
    <w:p w14:paraId="001AE185" w14:textId="77777777" w:rsidR="00715EA7" w:rsidRPr="007A2C85" w:rsidRDefault="00715EA7" w:rsidP="00715EA7">
      <w:pPr>
        <w:ind w:left="426" w:right="284" w:hanging="426"/>
        <w:rPr>
          <w:rFonts w:eastAsia="Times New Roman"/>
        </w:rPr>
      </w:pPr>
      <w:r w:rsidRPr="007A2C85">
        <w:rPr>
          <w:rFonts w:eastAsia="Times New Roman"/>
        </w:rPr>
        <w:t xml:space="preserve">Murphy, D. J., Brown, G. K., Miller, J. T., &amp; Ladiges, P. Y. (2010). Molecular phylogeny of </w:t>
      </w:r>
      <w:r w:rsidRPr="007A2C85">
        <w:rPr>
          <w:rFonts w:eastAsia="Times New Roman"/>
          <w:i/>
        </w:rPr>
        <w:t>Acacia</w:t>
      </w:r>
      <w:r w:rsidRPr="007A2C85">
        <w:rPr>
          <w:rFonts w:eastAsia="Times New Roman"/>
        </w:rPr>
        <w:t xml:space="preserve"> Mill.(Mimosoideae: Leguminosae): evidence for major clades and informal classification. </w:t>
      </w:r>
      <w:r w:rsidRPr="007A2C85">
        <w:rPr>
          <w:rFonts w:eastAsia="Times New Roman"/>
          <w:i/>
          <w:iCs/>
        </w:rPr>
        <w:t>Taxon</w:t>
      </w:r>
      <w:r w:rsidRPr="007A2C85">
        <w:rPr>
          <w:rFonts w:eastAsia="Times New Roman"/>
        </w:rPr>
        <w:t xml:space="preserve">, </w:t>
      </w:r>
      <w:r w:rsidRPr="007A2C85">
        <w:rPr>
          <w:rFonts w:eastAsia="Times New Roman"/>
          <w:i/>
          <w:iCs/>
        </w:rPr>
        <w:t>59</w:t>
      </w:r>
      <w:r w:rsidRPr="007A2C85">
        <w:rPr>
          <w:rFonts w:eastAsia="Times New Roman"/>
        </w:rPr>
        <w:t>(1), 7-19.</w:t>
      </w:r>
    </w:p>
    <w:p w14:paraId="224A4DA3" w14:textId="77777777" w:rsidR="00715EA7" w:rsidRPr="007A2C85" w:rsidRDefault="00715EA7" w:rsidP="00715EA7">
      <w:pPr>
        <w:widowControl w:val="0"/>
        <w:ind w:left="426" w:hanging="426"/>
        <w:rPr>
          <w:lang w:val="en-US" w:eastAsia="es-ES"/>
        </w:rPr>
      </w:pPr>
      <w:r w:rsidRPr="007A2C85">
        <w:rPr>
          <w:smallCaps/>
          <w:lang w:val="en-US" w:eastAsia="es-ES"/>
        </w:rPr>
        <w:t>Nandi, O.I.</w:t>
      </w:r>
      <w:r w:rsidRPr="007A2C85">
        <w:rPr>
          <w:lang w:val="en-US" w:eastAsia="es-ES"/>
        </w:rPr>
        <w:t xml:space="preserve"> (1998) Ovule and seed anatomy of Cistaceae and related Malvanae. </w:t>
      </w:r>
      <w:r w:rsidRPr="007A2C85">
        <w:rPr>
          <w:i/>
          <w:iCs/>
          <w:lang w:val="en-US" w:eastAsia="es-ES"/>
        </w:rPr>
        <w:t>Plant Systematics and Evolution</w:t>
      </w:r>
      <w:r w:rsidRPr="007A2C85">
        <w:rPr>
          <w:lang w:val="en-US" w:eastAsia="es-ES"/>
        </w:rPr>
        <w:t xml:space="preserve"> </w:t>
      </w:r>
      <w:r w:rsidRPr="007A2C85">
        <w:rPr>
          <w:b/>
          <w:bCs/>
          <w:lang w:val="en-US" w:eastAsia="es-ES"/>
        </w:rPr>
        <w:t>209</w:t>
      </w:r>
      <w:r w:rsidRPr="007A2C85">
        <w:rPr>
          <w:lang w:val="en-US" w:eastAsia="es-ES"/>
        </w:rPr>
        <w:t>, 239–264.</w:t>
      </w:r>
    </w:p>
    <w:p w14:paraId="1791210A" w14:textId="77777777" w:rsidR="00715EA7" w:rsidRPr="007A2C85" w:rsidRDefault="00715EA7" w:rsidP="00715EA7">
      <w:pPr>
        <w:ind w:left="426" w:right="284" w:hanging="426"/>
      </w:pPr>
      <w:r w:rsidRPr="007A2C85">
        <w:t xml:space="preserve">Newton, R.J., Mackenzie, B.D.E., Lamont, B.B., </w:t>
      </w:r>
      <w:r w:rsidRPr="007A2C85">
        <w:rPr>
          <w:rStyle w:val="Strong"/>
          <w:bCs/>
        </w:rPr>
        <w:t>Gomez-Barreiro, P., Cowling, R.M. and He, T. (2021)</w:t>
      </w:r>
      <w:r w:rsidRPr="007A2C85">
        <w:rPr>
          <w:b/>
        </w:rPr>
        <w:t xml:space="preserve"> </w:t>
      </w:r>
      <w:r w:rsidRPr="007A2C85">
        <w:t xml:space="preserve">Fire-mediated germination syndromes in </w:t>
      </w:r>
      <w:r w:rsidRPr="007A2C85">
        <w:rPr>
          <w:i/>
          <w:iCs/>
        </w:rPr>
        <w:t>Leucadendron</w:t>
      </w:r>
      <w:r w:rsidRPr="007A2C85">
        <w:t xml:space="preserve"> (Proteaceae) and their ecological correlates. </w:t>
      </w:r>
      <w:r w:rsidRPr="007A2C85">
        <w:rPr>
          <w:i/>
        </w:rPr>
        <w:t xml:space="preserve">Oecologia </w:t>
      </w:r>
      <w:r w:rsidRPr="007A2C85">
        <w:t>196, 589</w:t>
      </w:r>
      <w:r w:rsidRPr="007A2C85">
        <w:rPr>
          <w:lang w:val="en-US"/>
        </w:rPr>
        <w:t xml:space="preserve">–604. </w:t>
      </w:r>
      <w:r w:rsidRPr="007A2C85">
        <w:t>doi.org/10.1007/s00442-021-04947-2</w:t>
      </w:r>
    </w:p>
    <w:p w14:paraId="35AD2EB0" w14:textId="77777777" w:rsidR="00715EA7" w:rsidRPr="007A2C85" w:rsidRDefault="00715EA7" w:rsidP="00715EA7">
      <w:pPr>
        <w:ind w:left="426" w:right="284" w:hanging="426"/>
        <w:rPr>
          <w:rFonts w:eastAsia="Times New Roman"/>
        </w:rPr>
      </w:pPr>
      <w:r w:rsidRPr="007A2C85">
        <w:rPr>
          <w:rFonts w:eastAsia="Times New Roman"/>
        </w:rPr>
        <w:t xml:space="preserve">O’Dowd, D. J., &amp; Gill, A. M. (1986). Seed dispersal syndromes in Australian </w:t>
      </w:r>
      <w:r w:rsidRPr="007A2C85">
        <w:rPr>
          <w:rFonts w:eastAsia="Times New Roman"/>
          <w:i/>
        </w:rPr>
        <w:t>Acacia</w:t>
      </w:r>
      <w:r w:rsidRPr="007A2C85">
        <w:rPr>
          <w:rFonts w:eastAsia="Times New Roman"/>
        </w:rPr>
        <w:t xml:space="preserve">. In Murray, DR. </w:t>
      </w:r>
      <w:r w:rsidRPr="007A2C85">
        <w:rPr>
          <w:rFonts w:eastAsia="Times New Roman"/>
          <w:iCs/>
        </w:rPr>
        <w:t>Seed dispersal</w:t>
      </w:r>
      <w:r w:rsidRPr="007A2C85">
        <w:rPr>
          <w:rFonts w:eastAsia="Times New Roman"/>
        </w:rPr>
        <w:t>. Academic Press, London. pp. 87-121.</w:t>
      </w:r>
    </w:p>
    <w:p w14:paraId="4FE4D64D" w14:textId="77777777" w:rsidR="00715EA7" w:rsidRPr="007A2C85" w:rsidRDefault="00715EA7" w:rsidP="00715EA7">
      <w:pPr>
        <w:ind w:left="426" w:right="284" w:hanging="426"/>
        <w:rPr>
          <w:lang w:val="en-US" w:eastAsia="es-ES"/>
        </w:rPr>
      </w:pPr>
      <w:r w:rsidRPr="007A2C85">
        <w:rPr>
          <w:lang w:val="en-US" w:eastAsia="es-ES"/>
        </w:rPr>
        <w:t>Onstein</w:t>
      </w:r>
      <w:r w:rsidRPr="007A2C85">
        <w:rPr>
          <w:smallCaps/>
          <w:lang w:val="en-US" w:eastAsia="es-ES"/>
        </w:rPr>
        <w:t>, R.E.</w:t>
      </w:r>
      <w:r w:rsidRPr="007A2C85">
        <w:rPr>
          <w:lang w:val="en-US" w:eastAsia="es-ES"/>
        </w:rPr>
        <w:t xml:space="preserve"> &amp; Linder</w:t>
      </w:r>
      <w:r w:rsidRPr="007A2C85">
        <w:rPr>
          <w:smallCaps/>
          <w:lang w:val="en-US" w:eastAsia="es-ES"/>
        </w:rPr>
        <w:t>, H.P.</w:t>
      </w:r>
      <w:r w:rsidRPr="007A2C85">
        <w:rPr>
          <w:lang w:val="en-US" w:eastAsia="es-ES"/>
        </w:rPr>
        <w:t xml:space="preserve"> (2016) Beyond climate: convergence in fast evolving sclerophylls in Cape and Australian Rhamnaceae predates the mediterranean climate. </w:t>
      </w:r>
      <w:r w:rsidRPr="007A2C85">
        <w:rPr>
          <w:i/>
          <w:iCs/>
          <w:lang w:val="en-US" w:eastAsia="es-ES"/>
        </w:rPr>
        <w:t>Journal of Ecology</w:t>
      </w:r>
      <w:r w:rsidRPr="007A2C85">
        <w:rPr>
          <w:lang w:val="en-US" w:eastAsia="es-ES"/>
        </w:rPr>
        <w:t xml:space="preserve"> </w:t>
      </w:r>
      <w:r w:rsidRPr="007A2C85">
        <w:rPr>
          <w:b/>
          <w:bCs/>
          <w:lang w:val="en-US" w:eastAsia="es-ES"/>
        </w:rPr>
        <w:t>104</w:t>
      </w:r>
      <w:r w:rsidRPr="007A2C85">
        <w:rPr>
          <w:lang w:val="en-US" w:eastAsia="es-ES"/>
        </w:rPr>
        <w:t xml:space="preserve">, 665–677. </w:t>
      </w:r>
    </w:p>
    <w:p w14:paraId="18FE22F0" w14:textId="77777777" w:rsidR="00715EA7" w:rsidRPr="007A2C85" w:rsidRDefault="00715EA7" w:rsidP="00715EA7">
      <w:pPr>
        <w:ind w:left="426" w:right="284" w:hanging="426"/>
      </w:pPr>
      <w:r w:rsidRPr="007A2C85">
        <w:t xml:space="preserve">Pastore, J. F. B., &amp; Abbott, J. R. (2012). Taxonomic notes and new combinations for </w:t>
      </w:r>
      <w:r w:rsidRPr="007A2C85">
        <w:rPr>
          <w:i/>
        </w:rPr>
        <w:t>Asemeia</w:t>
      </w:r>
      <w:r w:rsidRPr="007A2C85">
        <w:t xml:space="preserve"> (Polygalaceae). Kew Bulletin, 67(4), 801-813.</w:t>
      </w:r>
    </w:p>
    <w:p w14:paraId="688F184B" w14:textId="77777777" w:rsidR="00715EA7" w:rsidRPr="007A2C85" w:rsidRDefault="00552133" w:rsidP="00715EA7">
      <w:pPr>
        <w:ind w:left="426" w:right="284" w:hanging="426"/>
      </w:pPr>
      <w:hyperlink r:id="rId10" w:history="1">
        <w:r w:rsidR="00715EA7" w:rsidRPr="007A2C85">
          <w:rPr>
            <w:rFonts w:eastAsia="Times New Roman"/>
          </w:rPr>
          <w:t>Pastore, J.F.B., Abbott, J.R., Neubig, K.M., Berg, C.V.D., Mota, M.C.D.A., Cabral, A. &amp; Whitten, W.M. (2019) Phylogeny and biogeography of Polygala (Polygalaceae). Taxon, 68, 673–691. https://doi.org/10.1002/tax.12119 </w:t>
        </w:r>
      </w:hyperlink>
      <w:r w:rsidR="00715EA7" w:rsidRPr="007A2C85">
        <w:rPr>
          <w:rFonts w:eastAsia="Times New Roman"/>
        </w:rPr>
        <w:t xml:space="preserve"> </w:t>
      </w:r>
    </w:p>
    <w:p w14:paraId="54A3DD8C" w14:textId="77777777" w:rsidR="00715EA7" w:rsidRPr="007A2C85" w:rsidRDefault="00715EA7" w:rsidP="00715EA7">
      <w:pPr>
        <w:ind w:left="426" w:right="284" w:hanging="426"/>
        <w:rPr>
          <w:lang w:val="en-US"/>
        </w:rPr>
      </w:pPr>
      <w:r w:rsidRPr="007A2C85">
        <w:rPr>
          <w:lang w:val="en-US"/>
        </w:rPr>
        <w:t>Paetzold, C., Kiehn, M., Wood, K. R., Wagner, W. L., &amp; Appelhans, M. S. (2018). The odd one out or a hidden generalist: Hawaiian Melicope (Rutaceae) do not share traits associated with successful island colonization. Journal of Systematics and Evolution, 56(6), 621-636. </w:t>
      </w:r>
    </w:p>
    <w:p w14:paraId="2D7717B5" w14:textId="77777777" w:rsidR="00715EA7" w:rsidRPr="007A2C85" w:rsidRDefault="00715EA7" w:rsidP="00715EA7">
      <w:pPr>
        <w:ind w:left="426" w:right="284" w:hanging="426"/>
        <w:rPr>
          <w:lang w:val="en-US"/>
        </w:rPr>
      </w:pPr>
      <w:r w:rsidRPr="007A2C85">
        <w:rPr>
          <w:lang w:val="en-US"/>
        </w:rPr>
        <w:t>Pausas JG &amp; Lamont BB 2018. Ecology and biogeography in 3D: the case of the Australian Proteaceae. Journal of Biogeography 45: 1469–1477.</w:t>
      </w:r>
    </w:p>
    <w:p w14:paraId="4CD5380B" w14:textId="77777777" w:rsidR="00715EA7" w:rsidRPr="007A2C85" w:rsidRDefault="00715EA7" w:rsidP="00715EA7">
      <w:pPr>
        <w:ind w:left="434" w:hanging="434"/>
        <w:rPr>
          <w:lang w:val="pt-BR"/>
        </w:rPr>
      </w:pPr>
      <w:r w:rsidRPr="007A2C85">
        <w:t>Pausas JG, Lamont, BB (2022b) Fire-released seed dormancy - a global synthesis. figshare. Dataset. https://doi.org/10.6084/m9.figshare.19126823.v2</w:t>
      </w:r>
    </w:p>
    <w:p w14:paraId="2AD3EE2A" w14:textId="77777777" w:rsidR="00715EA7" w:rsidRPr="007A2C85" w:rsidRDefault="00715EA7" w:rsidP="00715EA7">
      <w:pPr>
        <w:ind w:left="426" w:right="-306" w:hanging="426"/>
        <w:rPr>
          <w:lang w:val="en-US"/>
        </w:rPr>
      </w:pPr>
      <w:r w:rsidRPr="007A2C85">
        <w:rPr>
          <w:lang w:val="en-US"/>
        </w:rPr>
        <w:t xml:space="preserve">Pérez-García F, González-Benito ME (2006) Seed germination of five </w:t>
      </w:r>
      <w:r w:rsidRPr="007A2C85">
        <w:rPr>
          <w:i/>
          <w:lang w:val="en-US"/>
        </w:rPr>
        <w:t>Helianthemum</w:t>
      </w:r>
      <w:r w:rsidRPr="007A2C85">
        <w:rPr>
          <w:lang w:val="en-US"/>
        </w:rPr>
        <w:t xml:space="preserve"> species: Effect of temperature and presowing treatments. J Arid Environ 65:688–693</w:t>
      </w:r>
    </w:p>
    <w:p w14:paraId="1F6497E1" w14:textId="77777777" w:rsidR="00715EA7" w:rsidRPr="007A2C85" w:rsidRDefault="00715EA7" w:rsidP="00715EA7">
      <w:pPr>
        <w:ind w:left="426" w:right="284" w:hanging="426"/>
        <w:rPr>
          <w:lang w:val="en-US"/>
        </w:rPr>
      </w:pPr>
      <w:r w:rsidRPr="007A2C85">
        <w:rPr>
          <w:rFonts w:eastAsia="Times New Roman"/>
        </w:rPr>
        <w:t xml:space="preserve">Randriatafika, F, Rabenantoandro J, Rajoharison RA (2007) Analyses of seed germination of littoral forest native species in southeastern Madagascar. In </w:t>
      </w:r>
      <w:r w:rsidRPr="007A2C85">
        <w:rPr>
          <w:rFonts w:eastAsia="Times New Roman"/>
          <w:iCs/>
        </w:rPr>
        <w:t xml:space="preserve">Ganzhorn JU, Goodman SM, Vincelette M (eds.)Biodiversity, Ecology and Conservation of Littoral Forest Ecosystems in Southeastern Madagascar. Tolagnaro, Fort Dauphin. </w:t>
      </w:r>
      <w:r w:rsidRPr="007A2C85">
        <w:rPr>
          <w:rFonts w:eastAsia="Times New Roman"/>
        </w:rPr>
        <w:t>1 SI/MAB Series 11, pp 119</w:t>
      </w:r>
      <w:r w:rsidRPr="007A2C85">
        <w:rPr>
          <w:lang w:val="en-US"/>
        </w:rPr>
        <w:t>–125</w:t>
      </w:r>
    </w:p>
    <w:p w14:paraId="71234550" w14:textId="77777777" w:rsidR="00715EA7" w:rsidRPr="007A2C85" w:rsidRDefault="00715EA7" w:rsidP="00715EA7">
      <w:pPr>
        <w:ind w:left="426" w:right="284" w:hanging="426"/>
        <w:rPr>
          <w:rFonts w:eastAsia="Times New Roman"/>
        </w:rPr>
      </w:pPr>
      <w:r w:rsidRPr="007A2C85">
        <w:rPr>
          <w:lang w:val="en-US" w:eastAsia="es-ES"/>
        </w:rPr>
        <w:t>Roche</w:t>
      </w:r>
      <w:r w:rsidRPr="007A2C85">
        <w:rPr>
          <w:smallCaps/>
          <w:lang w:val="en-US" w:eastAsia="es-ES"/>
        </w:rPr>
        <w:t>, S.</w:t>
      </w:r>
      <w:r w:rsidRPr="007A2C85">
        <w:rPr>
          <w:lang w:val="en-US" w:eastAsia="es-ES"/>
        </w:rPr>
        <w:t>, Koch</w:t>
      </w:r>
      <w:r w:rsidRPr="007A2C85">
        <w:rPr>
          <w:smallCaps/>
          <w:lang w:val="en-US" w:eastAsia="es-ES"/>
        </w:rPr>
        <w:t>, J.M.</w:t>
      </w:r>
      <w:r w:rsidRPr="007A2C85">
        <w:rPr>
          <w:lang w:val="en-US" w:eastAsia="es-ES"/>
        </w:rPr>
        <w:t xml:space="preserve"> &amp; Dixon</w:t>
      </w:r>
      <w:r w:rsidRPr="007A2C85">
        <w:rPr>
          <w:smallCaps/>
          <w:lang w:val="en-US" w:eastAsia="es-ES"/>
        </w:rPr>
        <w:t>, K.W.</w:t>
      </w:r>
      <w:r w:rsidRPr="007A2C85">
        <w:rPr>
          <w:lang w:val="en-US" w:eastAsia="es-ES"/>
        </w:rPr>
        <w:t xml:space="preserve"> (1997) Smoke enhanced seed germination for mine rehabilitation in the southwest of Western Australia. </w:t>
      </w:r>
      <w:r w:rsidRPr="007A2C85">
        <w:rPr>
          <w:i/>
          <w:iCs/>
          <w:lang w:val="en-US" w:eastAsia="es-ES"/>
        </w:rPr>
        <w:t>Restoration Ecology</w:t>
      </w:r>
      <w:r w:rsidRPr="007A2C85">
        <w:rPr>
          <w:lang w:val="en-US" w:eastAsia="es-ES"/>
        </w:rPr>
        <w:t xml:space="preserve"> </w:t>
      </w:r>
      <w:r w:rsidRPr="007A2C85">
        <w:rPr>
          <w:b/>
          <w:bCs/>
          <w:lang w:val="en-US" w:eastAsia="es-ES"/>
        </w:rPr>
        <w:t>5</w:t>
      </w:r>
      <w:r w:rsidRPr="007A2C85">
        <w:rPr>
          <w:lang w:val="en-US" w:eastAsia="es-ES"/>
        </w:rPr>
        <w:t xml:space="preserve">, 191–203. </w:t>
      </w:r>
      <w:r w:rsidRPr="007A2C85">
        <w:rPr>
          <w:rFonts w:eastAsia="Times New Roman"/>
        </w:rPr>
        <w:t xml:space="preserve">Sauquet, H., Weston, P. H., Anderson, C. L., Barker, N. P., Cantrill, D. J., Mast, A. R., &amp; Savolainen, V. (2009). Contrasted patterns of hyperdiversification in Mediterranean hotspots. </w:t>
      </w:r>
      <w:r w:rsidRPr="007A2C85">
        <w:rPr>
          <w:rFonts w:eastAsia="Times New Roman"/>
          <w:i/>
          <w:iCs/>
        </w:rPr>
        <w:t>Proceedings of the National Academy of Sciences</w:t>
      </w:r>
      <w:r w:rsidRPr="007A2C85">
        <w:rPr>
          <w:rFonts w:eastAsia="Times New Roman"/>
        </w:rPr>
        <w:t xml:space="preserve">, </w:t>
      </w:r>
      <w:r w:rsidRPr="007A2C85">
        <w:rPr>
          <w:rFonts w:eastAsia="Times New Roman"/>
          <w:i/>
          <w:iCs/>
        </w:rPr>
        <w:t>106</w:t>
      </w:r>
      <w:r w:rsidRPr="007A2C85">
        <w:rPr>
          <w:rFonts w:eastAsia="Times New Roman"/>
        </w:rPr>
        <w:t>(1), 221-225.</w:t>
      </w:r>
    </w:p>
    <w:p w14:paraId="7126FF34" w14:textId="77777777" w:rsidR="00715EA7" w:rsidRPr="007A2C85" w:rsidRDefault="00715EA7" w:rsidP="00715EA7">
      <w:pPr>
        <w:ind w:left="426" w:right="-306" w:hanging="426"/>
        <w:rPr>
          <w:rFonts w:eastAsia="Times New Roman"/>
        </w:rPr>
      </w:pPr>
      <w:r w:rsidRPr="007A2C85">
        <w:rPr>
          <w:rFonts w:eastAsia="Times New Roman"/>
        </w:rPr>
        <w:t xml:space="preserve">Sauquet H, Weston PH, Anderson CL, Barker NP, Cantrill DJ, Mast AR, Savolainen,V (2009) Contrasted patterns of hyperdiversification in Mediterranean hotspots. </w:t>
      </w:r>
      <w:r w:rsidRPr="007A2C85">
        <w:rPr>
          <w:rFonts w:eastAsia="Times New Roman"/>
          <w:iCs/>
        </w:rPr>
        <w:t>Proc Nat Acad Scie</w:t>
      </w:r>
      <w:r w:rsidRPr="007A2C85">
        <w:rPr>
          <w:rFonts w:eastAsia="Times New Roman"/>
        </w:rPr>
        <w:t xml:space="preserve"> </w:t>
      </w:r>
      <w:r w:rsidRPr="007A2C85">
        <w:rPr>
          <w:rFonts w:eastAsia="Times New Roman"/>
          <w:iCs/>
        </w:rPr>
        <w:t>106</w:t>
      </w:r>
      <w:r w:rsidRPr="007A2C85">
        <w:rPr>
          <w:rFonts w:eastAsia="Times New Roman"/>
        </w:rPr>
        <w:t>:221-225</w:t>
      </w:r>
    </w:p>
    <w:p w14:paraId="00195286" w14:textId="77777777" w:rsidR="00715EA7" w:rsidRPr="007A2C85" w:rsidRDefault="00715EA7" w:rsidP="00715EA7">
      <w:pPr>
        <w:ind w:left="426" w:right="-306" w:hanging="426"/>
        <w:rPr>
          <w:rFonts w:eastAsia="Times New Roman"/>
        </w:rPr>
      </w:pPr>
      <w:r w:rsidRPr="007A2C85">
        <w:rPr>
          <w:rFonts w:eastAsia="Times New Roman"/>
        </w:rPr>
        <w:t xml:space="preserve">Shaddad MA, Radi AF, Abdel-Rahman AM, Azooz MM (1990) Response of seeds of </w:t>
      </w:r>
      <w:r w:rsidRPr="007A2C85">
        <w:rPr>
          <w:rFonts w:eastAsia="Times New Roman"/>
          <w:i/>
        </w:rPr>
        <w:t>Lupinus termis</w:t>
      </w:r>
      <w:r w:rsidRPr="007A2C85">
        <w:rPr>
          <w:rFonts w:eastAsia="Times New Roman"/>
        </w:rPr>
        <w:t xml:space="preserve"> and </w:t>
      </w:r>
      <w:r w:rsidRPr="007A2C85">
        <w:rPr>
          <w:rFonts w:eastAsia="Times New Roman"/>
          <w:i/>
        </w:rPr>
        <w:t>Vicia faba</w:t>
      </w:r>
      <w:r w:rsidRPr="007A2C85">
        <w:rPr>
          <w:rFonts w:eastAsia="Times New Roman"/>
        </w:rPr>
        <w:t xml:space="preserve"> to the interactive effect of salinity and ascorbic acid or pyridoxine. </w:t>
      </w:r>
      <w:r w:rsidRPr="007A2C85">
        <w:rPr>
          <w:rFonts w:eastAsia="Times New Roman"/>
          <w:iCs/>
        </w:rPr>
        <w:t>Plant Soil</w:t>
      </w:r>
      <w:r w:rsidRPr="007A2C85">
        <w:rPr>
          <w:rFonts w:eastAsia="Times New Roman"/>
        </w:rPr>
        <w:t xml:space="preserve"> </w:t>
      </w:r>
      <w:r w:rsidRPr="007A2C85">
        <w:rPr>
          <w:rFonts w:eastAsia="Times New Roman"/>
          <w:iCs/>
        </w:rPr>
        <w:t>122</w:t>
      </w:r>
      <w:r w:rsidRPr="007A2C85">
        <w:rPr>
          <w:rFonts w:eastAsia="Times New Roman"/>
        </w:rPr>
        <w:t>:177-183</w:t>
      </w:r>
    </w:p>
    <w:p w14:paraId="667F900E" w14:textId="77777777" w:rsidR="00715EA7" w:rsidRPr="007A2C85" w:rsidRDefault="00715EA7" w:rsidP="00715EA7">
      <w:pPr>
        <w:ind w:left="426" w:hanging="426"/>
        <w:rPr>
          <w:lang w:val="en-US" w:eastAsia="es-ES"/>
        </w:rPr>
      </w:pPr>
      <w:r w:rsidRPr="007A2C85">
        <w:rPr>
          <w:lang w:val="en-US" w:eastAsia="es-ES"/>
        </w:rPr>
        <w:t xml:space="preserve">Thanos CA, Georghiou K, Kadis C, Pantazi C (1992) Cistaceae: A plant family with hard seeds. </w:t>
      </w:r>
      <w:r w:rsidRPr="00653E8A">
        <w:rPr>
          <w:iCs/>
          <w:lang w:val="en-US" w:eastAsia="es-ES"/>
        </w:rPr>
        <w:t>Israel J Bot</w:t>
      </w:r>
      <w:r w:rsidRPr="007A2C85">
        <w:rPr>
          <w:lang w:val="en-US" w:eastAsia="es-ES"/>
        </w:rPr>
        <w:t xml:space="preserve"> </w:t>
      </w:r>
      <w:r w:rsidRPr="007A2C85">
        <w:rPr>
          <w:bCs/>
          <w:lang w:val="en-US" w:eastAsia="es-ES"/>
        </w:rPr>
        <w:t>41</w:t>
      </w:r>
      <w:r w:rsidRPr="007A2C85">
        <w:rPr>
          <w:lang w:val="en-US" w:eastAsia="es-ES"/>
        </w:rPr>
        <w:t>:251–263</w:t>
      </w:r>
    </w:p>
    <w:p w14:paraId="46C65DD3" w14:textId="77777777" w:rsidR="00715EA7" w:rsidRPr="007A2C85" w:rsidRDefault="00715EA7" w:rsidP="00715EA7">
      <w:pPr>
        <w:ind w:left="426" w:right="284" w:hanging="426"/>
        <w:rPr>
          <w:rFonts w:eastAsia="Times New Roman"/>
        </w:rPr>
      </w:pPr>
      <w:r w:rsidRPr="007A2C85">
        <w:rPr>
          <w:rFonts w:eastAsia="Times New Roman"/>
        </w:rPr>
        <w:t xml:space="preserve">Tonnabel J, Mignot A, Douzery EJ, Rebelo AG, Schurr FM, Midgley J, Illing N, Justy F, Orcel D, Olivieri I (2014) </w:t>
      </w:r>
      <w:r w:rsidRPr="007A2C85">
        <w:rPr>
          <w:rFonts w:eastAsia="Times New Roman"/>
          <w:bCs/>
        </w:rPr>
        <w:t xml:space="preserve">Convergent and correlated evolution of major life-history traits in the angiosperm genus </w:t>
      </w:r>
      <w:r w:rsidRPr="007A2C85">
        <w:rPr>
          <w:rFonts w:eastAsia="Times New Roman"/>
          <w:bCs/>
          <w:i/>
        </w:rPr>
        <w:t>Leucadendron</w:t>
      </w:r>
      <w:r w:rsidRPr="007A2C85">
        <w:rPr>
          <w:rFonts w:eastAsia="Times New Roman"/>
          <w:bCs/>
        </w:rPr>
        <w:t xml:space="preserve"> (Proteaceae).</w:t>
      </w:r>
      <w:r w:rsidRPr="007A2C85">
        <w:rPr>
          <w:rFonts w:eastAsia="Times New Roman"/>
        </w:rPr>
        <w:t xml:space="preserve"> </w:t>
      </w:r>
      <w:r w:rsidRPr="007A2C85">
        <w:rPr>
          <w:rFonts w:eastAsia="Times New Roman"/>
          <w:i/>
          <w:iCs/>
        </w:rPr>
        <w:t>Evolution</w:t>
      </w:r>
      <w:r w:rsidRPr="007A2C85">
        <w:rPr>
          <w:rFonts w:eastAsia="Times New Roman"/>
        </w:rPr>
        <w:t xml:space="preserve"> 68:2775-2792</w:t>
      </w:r>
    </w:p>
    <w:p w14:paraId="430A4EFB" w14:textId="77777777" w:rsidR="00715EA7" w:rsidRPr="00653E8A" w:rsidRDefault="00715EA7" w:rsidP="00715EA7">
      <w:pPr>
        <w:pStyle w:val="Heading5"/>
        <w:spacing w:before="0" w:after="0"/>
        <w:ind w:left="426" w:hanging="426"/>
        <w:rPr>
          <w:rFonts w:ascii="Times New Roman" w:eastAsia="Times New Roman" w:hAnsi="Times New Roman"/>
          <w:b w:val="0"/>
          <w:i w:val="0"/>
          <w:sz w:val="24"/>
          <w:szCs w:val="24"/>
        </w:rPr>
      </w:pPr>
      <w:r>
        <w:rPr>
          <w:rFonts w:ascii="Times New Roman" w:eastAsia="Times New Roman" w:hAnsi="Times New Roman"/>
          <w:b w:val="0"/>
          <w:i w:val="0"/>
          <w:sz w:val="24"/>
          <w:szCs w:val="24"/>
        </w:rPr>
        <w:lastRenderedPageBreak/>
        <w:t>Toon A., Crisp MD, Gamage H, Mant J, Morris DC, Schmidt S, Cook LG</w:t>
      </w:r>
      <w:r w:rsidRPr="00653E8A">
        <w:rPr>
          <w:rFonts w:ascii="Times New Roman" w:eastAsia="Times New Roman" w:hAnsi="Times New Roman"/>
          <w:b w:val="0"/>
          <w:i w:val="0"/>
          <w:sz w:val="24"/>
          <w:szCs w:val="24"/>
        </w:rPr>
        <w:t xml:space="preserve"> </w:t>
      </w:r>
      <w:r>
        <w:rPr>
          <w:rFonts w:ascii="Times New Roman" w:eastAsia="Times New Roman" w:hAnsi="Times New Roman"/>
          <w:b w:val="0"/>
          <w:i w:val="0"/>
          <w:sz w:val="24"/>
          <w:szCs w:val="24"/>
        </w:rPr>
        <w:t>(2015)</w:t>
      </w:r>
      <w:r w:rsidRPr="00653E8A">
        <w:rPr>
          <w:rFonts w:ascii="Times New Roman" w:eastAsia="Times New Roman" w:hAnsi="Times New Roman"/>
          <w:b w:val="0"/>
          <w:i w:val="0"/>
          <w:sz w:val="24"/>
          <w:szCs w:val="24"/>
        </w:rPr>
        <w:t xml:space="preserve"> Key innovation or adaptive change? A test of leaf traits using Triodiinae in Australia. </w:t>
      </w:r>
      <w:r>
        <w:rPr>
          <w:rFonts w:ascii="Times New Roman" w:eastAsia="Times New Roman" w:hAnsi="Times New Roman"/>
          <w:b w:val="0"/>
          <w:i w:val="0"/>
          <w:iCs w:val="0"/>
          <w:sz w:val="24"/>
          <w:szCs w:val="24"/>
        </w:rPr>
        <w:t>Sci Rep</w:t>
      </w:r>
      <w:r w:rsidRPr="00653E8A">
        <w:rPr>
          <w:rFonts w:ascii="Times New Roman" w:eastAsia="Times New Roman" w:hAnsi="Times New Roman"/>
          <w:b w:val="0"/>
          <w:i w:val="0"/>
          <w:sz w:val="24"/>
          <w:szCs w:val="24"/>
        </w:rPr>
        <w:t xml:space="preserve"> </w:t>
      </w:r>
      <w:r w:rsidRPr="00653E8A">
        <w:rPr>
          <w:rFonts w:ascii="Times New Roman" w:eastAsia="Times New Roman" w:hAnsi="Times New Roman"/>
          <w:b w:val="0"/>
          <w:i w:val="0"/>
          <w:iCs w:val="0"/>
          <w:sz w:val="24"/>
          <w:szCs w:val="24"/>
        </w:rPr>
        <w:t>5</w:t>
      </w:r>
      <w:r>
        <w:rPr>
          <w:rFonts w:ascii="Times New Roman" w:eastAsia="Times New Roman" w:hAnsi="Times New Roman"/>
          <w:b w:val="0"/>
          <w:i w:val="0"/>
          <w:sz w:val="24"/>
          <w:szCs w:val="24"/>
        </w:rPr>
        <w:t>:</w:t>
      </w:r>
      <w:r w:rsidRPr="00653E8A">
        <w:rPr>
          <w:rFonts w:ascii="Times New Roman" w:eastAsia="Times New Roman" w:hAnsi="Times New Roman"/>
          <w:b w:val="0"/>
          <w:i w:val="0"/>
          <w:sz w:val="24"/>
          <w:szCs w:val="24"/>
        </w:rPr>
        <w:t>1</w:t>
      </w:r>
      <w:r w:rsidRPr="007A2C85">
        <w:rPr>
          <w:lang w:val="en-US" w:eastAsia="es-ES"/>
        </w:rPr>
        <w:t>–</w:t>
      </w:r>
      <w:r>
        <w:rPr>
          <w:rFonts w:ascii="Times New Roman" w:eastAsia="Times New Roman" w:hAnsi="Times New Roman"/>
          <w:b w:val="0"/>
          <w:i w:val="0"/>
          <w:sz w:val="24"/>
          <w:szCs w:val="24"/>
        </w:rPr>
        <w:t>12</w:t>
      </w:r>
    </w:p>
    <w:p w14:paraId="7D84B92A" w14:textId="77777777" w:rsidR="00715EA7" w:rsidRPr="007A2C85" w:rsidRDefault="00715EA7" w:rsidP="00715EA7">
      <w:pPr>
        <w:pStyle w:val="Heading5"/>
        <w:spacing w:before="0" w:after="0"/>
        <w:ind w:left="426" w:hanging="426"/>
        <w:rPr>
          <w:rFonts w:ascii="Times New Roman" w:hAnsi="Times New Roman"/>
          <w:b w:val="0"/>
          <w:i w:val="0"/>
          <w:sz w:val="24"/>
          <w:szCs w:val="24"/>
        </w:rPr>
      </w:pPr>
      <w:r w:rsidRPr="007A2C85">
        <w:rPr>
          <w:rFonts w:ascii="Times New Roman" w:hAnsi="Times New Roman"/>
          <w:b w:val="0"/>
          <w:i w:val="0"/>
          <w:sz w:val="24"/>
          <w:szCs w:val="24"/>
        </w:rPr>
        <w:t xml:space="preserve">Verdecke W (1984) Ovule and seed of </w:t>
      </w:r>
      <w:r w:rsidRPr="007A2C85">
        <w:rPr>
          <w:rFonts w:ascii="Times New Roman" w:hAnsi="Times New Roman"/>
          <w:b w:val="0"/>
          <w:sz w:val="24"/>
          <w:szCs w:val="24"/>
        </w:rPr>
        <w:t>Xanthophyllum</w:t>
      </w:r>
      <w:r w:rsidRPr="007A2C85">
        <w:rPr>
          <w:rFonts w:ascii="Times New Roman" w:hAnsi="Times New Roman"/>
          <w:b w:val="0"/>
          <w:i w:val="0"/>
          <w:sz w:val="24"/>
          <w:szCs w:val="24"/>
        </w:rPr>
        <w:t xml:space="preserve"> (Polygalaceae). Blumea 29, 409–421</w:t>
      </w:r>
    </w:p>
    <w:p w14:paraId="67C0731F" w14:textId="77777777" w:rsidR="00715EA7" w:rsidRPr="007A2C85" w:rsidRDefault="00715EA7" w:rsidP="00715EA7">
      <w:pPr>
        <w:ind w:left="426" w:right="-306" w:hanging="426"/>
      </w:pPr>
      <w:r w:rsidRPr="007A2C85">
        <w:t xml:space="preserve">Yeşilyurt EB, Erik S, Tavşanoğlu Ç (2017) Inter-population variability in seed dormancy, seed mass and germination in </w:t>
      </w:r>
      <w:r w:rsidRPr="007A2C85">
        <w:rPr>
          <w:i/>
        </w:rPr>
        <w:t>Helianthemum salicifolium</w:t>
      </w:r>
      <w:r w:rsidRPr="007A2C85">
        <w:t xml:space="preserve"> (Cistaceae), a hard-seeded annual herb. </w:t>
      </w:r>
      <w:r w:rsidRPr="007A2C85">
        <w:rPr>
          <w:iCs/>
        </w:rPr>
        <w:t>Folia Geobot</w:t>
      </w:r>
      <w:r w:rsidRPr="007A2C85">
        <w:t xml:space="preserve"> </w:t>
      </w:r>
      <w:r w:rsidRPr="007A2C85">
        <w:rPr>
          <w:iCs/>
        </w:rPr>
        <w:t>52</w:t>
      </w:r>
      <w:r w:rsidRPr="007A2C85">
        <w:t>:253-263</w:t>
      </w:r>
    </w:p>
    <w:p w14:paraId="5D0D57A2" w14:textId="77777777" w:rsidR="00715EA7" w:rsidRPr="007A2C85" w:rsidRDefault="00715EA7" w:rsidP="00715EA7">
      <w:pPr>
        <w:ind w:left="426" w:right="-306" w:hanging="426"/>
        <w:rPr>
          <w:rFonts w:eastAsia="Times New Roman"/>
        </w:rPr>
      </w:pPr>
      <w:r w:rsidRPr="007A2C85">
        <w:t xml:space="preserve">Zaman S, Padmesh S, Tawfiq H (2009) Effect of pre-germination treatments on seed germination of </w:t>
      </w:r>
      <w:r w:rsidRPr="007A2C85">
        <w:rPr>
          <w:i/>
        </w:rPr>
        <w:t>Helianthemum lippii</w:t>
      </w:r>
      <w:r w:rsidRPr="007A2C85">
        <w:t xml:space="preserve"> (L.) Dum. Cours. Desert Plants 25:18-21</w:t>
      </w:r>
    </w:p>
    <w:p w14:paraId="4DC493B4" w14:textId="77777777" w:rsidR="00715EA7" w:rsidRPr="007A2C85" w:rsidRDefault="00715EA7" w:rsidP="00552133">
      <w:bookmarkStart w:id="0" w:name="_GoBack"/>
      <w:bookmarkEnd w:id="0"/>
    </w:p>
    <w:sectPr w:rsidR="00715EA7" w:rsidRPr="007A2C85" w:rsidSect="004D7D82">
      <w:footerReference w:type="even" r:id="rId11"/>
      <w:foot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88BD9" w14:textId="77777777" w:rsidR="00000000" w:rsidRDefault="00552133">
      <w:r>
        <w:separator/>
      </w:r>
    </w:p>
  </w:endnote>
  <w:endnote w:type="continuationSeparator" w:id="0">
    <w:p w14:paraId="640570C0" w14:textId="77777777" w:rsidR="00000000" w:rsidRDefault="00552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E1000AEF" w:usb1="5000A1FF" w:usb2="00000000" w:usb3="00000000" w:csb0="000001BF" w:csb1="00000000"/>
  </w:font>
  <w:font w:name="Times">
    <w:panose1 w:val="000005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39C4C" w14:textId="77777777" w:rsidR="0097062D" w:rsidRDefault="00715EA7" w:rsidP="00931B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8FF909" w14:textId="77777777" w:rsidR="0097062D" w:rsidRDefault="00552133" w:rsidP="00931B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FC86D" w14:textId="77777777" w:rsidR="0097062D" w:rsidRDefault="00715EA7" w:rsidP="00931B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2133">
      <w:rPr>
        <w:rStyle w:val="PageNumber"/>
        <w:noProof/>
      </w:rPr>
      <w:t>11</w:t>
    </w:r>
    <w:r>
      <w:rPr>
        <w:rStyle w:val="PageNumber"/>
      </w:rPr>
      <w:fldChar w:fldCharType="end"/>
    </w:r>
  </w:p>
  <w:p w14:paraId="4C28CD19" w14:textId="77777777" w:rsidR="0097062D" w:rsidRDefault="00552133" w:rsidP="00931B6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76559" w14:textId="77777777" w:rsidR="00000000" w:rsidRDefault="00552133">
      <w:r>
        <w:separator/>
      </w:r>
    </w:p>
  </w:footnote>
  <w:footnote w:type="continuationSeparator" w:id="0">
    <w:p w14:paraId="443270B7" w14:textId="77777777" w:rsidR="00000000" w:rsidRDefault="005521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B597F"/>
    <w:multiLevelType w:val="hybridMultilevel"/>
    <w:tmpl w:val="F8A0D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A14461"/>
    <w:multiLevelType w:val="hybridMultilevel"/>
    <w:tmpl w:val="ECEEE6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5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EA7"/>
    <w:rsid w:val="00187220"/>
    <w:rsid w:val="004D7D82"/>
    <w:rsid w:val="00552133"/>
    <w:rsid w:val="00715EA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BC70E"/>
  <w15:chartTrackingRefBased/>
  <w15:docId w15:val="{FCAA7A8E-5F47-4880-AE6C-A8721B6E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EA7"/>
    <w:pPr>
      <w:spacing w:after="0" w:line="240" w:lineRule="auto"/>
    </w:pPr>
    <w:rPr>
      <w:rFonts w:ascii="Times New Roman" w:eastAsiaTheme="minorEastAsia" w:hAnsi="Times New Roman" w:cs="Times New Roman"/>
      <w:sz w:val="24"/>
      <w:szCs w:val="24"/>
      <w:lang w:val="en-AU"/>
    </w:rPr>
  </w:style>
  <w:style w:type="paragraph" w:styleId="Heading5">
    <w:name w:val="heading 5"/>
    <w:basedOn w:val="Normal"/>
    <w:next w:val="Normal"/>
    <w:link w:val="Heading5Char"/>
    <w:uiPriority w:val="9"/>
    <w:unhideWhenUsed/>
    <w:qFormat/>
    <w:rsid w:val="00715EA7"/>
    <w:pPr>
      <w:spacing w:before="240" w:after="60" w:line="240" w:lineRule="atLeast"/>
      <w:jc w:val="both"/>
      <w:outlineLvl w:val="4"/>
    </w:pPr>
    <w:rPr>
      <w:rFonts w:ascii="Cambria" w:eastAsia="MS Mincho" w:hAnsi="Cambria"/>
      <w:b/>
      <w:bCs/>
      <w:i/>
      <w:i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15EA7"/>
    <w:rPr>
      <w:rFonts w:ascii="Cambria" w:eastAsia="MS Mincho" w:hAnsi="Cambria" w:cs="Times New Roman"/>
      <w:b/>
      <w:bCs/>
      <w:i/>
      <w:iCs/>
      <w:sz w:val="26"/>
      <w:szCs w:val="26"/>
      <w:lang w:val="en-GB"/>
    </w:rPr>
  </w:style>
  <w:style w:type="paragraph" w:styleId="BalloonText">
    <w:name w:val="Balloon Text"/>
    <w:basedOn w:val="Normal"/>
    <w:link w:val="BalloonTextChar"/>
    <w:uiPriority w:val="99"/>
    <w:semiHidden/>
    <w:unhideWhenUsed/>
    <w:rsid w:val="00715E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5EA7"/>
    <w:rPr>
      <w:rFonts w:ascii="Lucida Grande" w:eastAsiaTheme="minorEastAsia" w:hAnsi="Lucida Grande" w:cs="Lucida Grande"/>
      <w:sz w:val="18"/>
      <w:szCs w:val="18"/>
      <w:lang w:val="en-AU"/>
    </w:rPr>
  </w:style>
  <w:style w:type="paragraph" w:styleId="Header">
    <w:name w:val="header"/>
    <w:basedOn w:val="Normal"/>
    <w:link w:val="HeaderChar"/>
    <w:uiPriority w:val="99"/>
    <w:unhideWhenUsed/>
    <w:rsid w:val="00715EA7"/>
    <w:pPr>
      <w:tabs>
        <w:tab w:val="center" w:pos="4320"/>
        <w:tab w:val="right" w:pos="8640"/>
      </w:tabs>
    </w:pPr>
  </w:style>
  <w:style w:type="character" w:customStyle="1" w:styleId="HeaderChar">
    <w:name w:val="Header Char"/>
    <w:basedOn w:val="DefaultParagraphFont"/>
    <w:link w:val="Header"/>
    <w:uiPriority w:val="99"/>
    <w:rsid w:val="00715EA7"/>
    <w:rPr>
      <w:rFonts w:ascii="Times New Roman" w:eastAsiaTheme="minorEastAsia" w:hAnsi="Times New Roman" w:cs="Times New Roman"/>
      <w:sz w:val="24"/>
      <w:szCs w:val="24"/>
      <w:lang w:val="en-AU"/>
    </w:rPr>
  </w:style>
  <w:style w:type="paragraph" w:styleId="Footer">
    <w:name w:val="footer"/>
    <w:basedOn w:val="Normal"/>
    <w:link w:val="FooterChar"/>
    <w:uiPriority w:val="99"/>
    <w:unhideWhenUsed/>
    <w:rsid w:val="00715EA7"/>
    <w:pPr>
      <w:tabs>
        <w:tab w:val="center" w:pos="4320"/>
        <w:tab w:val="right" w:pos="8640"/>
      </w:tabs>
    </w:pPr>
  </w:style>
  <w:style w:type="character" w:customStyle="1" w:styleId="FooterChar">
    <w:name w:val="Footer Char"/>
    <w:basedOn w:val="DefaultParagraphFont"/>
    <w:link w:val="Footer"/>
    <w:uiPriority w:val="99"/>
    <w:rsid w:val="00715EA7"/>
    <w:rPr>
      <w:rFonts w:ascii="Times New Roman" w:eastAsiaTheme="minorEastAsia" w:hAnsi="Times New Roman" w:cs="Times New Roman"/>
      <w:sz w:val="24"/>
      <w:szCs w:val="24"/>
      <w:lang w:val="en-AU"/>
    </w:rPr>
  </w:style>
  <w:style w:type="table" w:styleId="TableGrid">
    <w:name w:val="Table Grid"/>
    <w:basedOn w:val="TableNormal"/>
    <w:uiPriority w:val="59"/>
    <w:rsid w:val="00715EA7"/>
    <w:pPr>
      <w:spacing w:after="0" w:line="240" w:lineRule="auto"/>
    </w:pPr>
    <w:rPr>
      <w:rFonts w:ascii="Times New Roman" w:eastAsiaTheme="minorEastAsia" w:hAnsi="Times New Roman" w:cs="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15EA7"/>
    <w:rPr>
      <w:color w:val="0000FF"/>
      <w:u w:val="single"/>
    </w:rPr>
  </w:style>
  <w:style w:type="character" w:customStyle="1" w:styleId="apple-converted-space">
    <w:name w:val="apple-converted-space"/>
    <w:basedOn w:val="DefaultParagraphFont"/>
    <w:rsid w:val="00715EA7"/>
  </w:style>
  <w:style w:type="character" w:styleId="FollowedHyperlink">
    <w:name w:val="FollowedHyperlink"/>
    <w:basedOn w:val="DefaultParagraphFont"/>
    <w:uiPriority w:val="99"/>
    <w:semiHidden/>
    <w:unhideWhenUsed/>
    <w:rsid w:val="00715EA7"/>
    <w:rPr>
      <w:color w:val="954F72" w:themeColor="followedHyperlink"/>
      <w:u w:val="single"/>
    </w:rPr>
  </w:style>
  <w:style w:type="paragraph" w:styleId="ListParagraph">
    <w:name w:val="List Paragraph"/>
    <w:basedOn w:val="Normal"/>
    <w:uiPriority w:val="34"/>
    <w:qFormat/>
    <w:rsid w:val="00715EA7"/>
    <w:pPr>
      <w:ind w:left="720"/>
      <w:contextualSpacing/>
    </w:pPr>
  </w:style>
  <w:style w:type="character" w:customStyle="1" w:styleId="size-m">
    <w:name w:val="size-m"/>
    <w:basedOn w:val="DefaultParagraphFont"/>
    <w:rsid w:val="00715EA7"/>
  </w:style>
  <w:style w:type="character" w:styleId="LineNumber">
    <w:name w:val="line number"/>
    <w:basedOn w:val="DefaultParagraphFont"/>
    <w:uiPriority w:val="99"/>
    <w:semiHidden/>
    <w:unhideWhenUsed/>
    <w:rsid w:val="00715EA7"/>
  </w:style>
  <w:style w:type="character" w:styleId="Strong">
    <w:name w:val="Strong"/>
    <w:qFormat/>
    <w:rsid w:val="00715EA7"/>
    <w:rPr>
      <w:b/>
    </w:rPr>
  </w:style>
  <w:style w:type="character" w:customStyle="1" w:styleId="publication-title">
    <w:name w:val="publication-title"/>
    <w:rsid w:val="00715EA7"/>
  </w:style>
  <w:style w:type="paragraph" w:styleId="BodyText2">
    <w:name w:val="Body Text 2"/>
    <w:basedOn w:val="Normal"/>
    <w:link w:val="BodyText2Char"/>
    <w:rsid w:val="00715EA7"/>
    <w:pPr>
      <w:spacing w:line="240" w:lineRule="atLeast"/>
      <w:jc w:val="both"/>
    </w:pPr>
    <w:rPr>
      <w:rFonts w:eastAsia="Times New Roman"/>
      <w:color w:val="0000FF"/>
      <w:szCs w:val="20"/>
      <w:lang w:val="en-GB"/>
    </w:rPr>
  </w:style>
  <w:style w:type="character" w:customStyle="1" w:styleId="BodyText2Char">
    <w:name w:val="Body Text 2 Char"/>
    <w:basedOn w:val="DefaultParagraphFont"/>
    <w:link w:val="BodyText2"/>
    <w:rsid w:val="00715EA7"/>
    <w:rPr>
      <w:rFonts w:ascii="Times New Roman" w:eastAsia="Times New Roman" w:hAnsi="Times New Roman" w:cs="Times New Roman"/>
      <w:color w:val="0000FF"/>
      <w:sz w:val="24"/>
      <w:szCs w:val="20"/>
      <w:lang w:val="en-GB"/>
    </w:rPr>
  </w:style>
  <w:style w:type="character" w:customStyle="1" w:styleId="CommentTextChar">
    <w:name w:val="Comment Text Char"/>
    <w:basedOn w:val="DefaultParagraphFont"/>
    <w:link w:val="CommentText"/>
    <w:uiPriority w:val="99"/>
    <w:rsid w:val="00715EA7"/>
    <w:rPr>
      <w:rFonts w:ascii="Times" w:eastAsia="Times New Roman" w:hAnsi="Times"/>
      <w:lang w:val="en-GB"/>
    </w:rPr>
  </w:style>
  <w:style w:type="paragraph" w:styleId="CommentText">
    <w:name w:val="annotation text"/>
    <w:basedOn w:val="Normal"/>
    <w:link w:val="CommentTextChar"/>
    <w:uiPriority w:val="99"/>
    <w:unhideWhenUsed/>
    <w:qFormat/>
    <w:rsid w:val="00715EA7"/>
    <w:pPr>
      <w:spacing w:line="240" w:lineRule="atLeast"/>
      <w:jc w:val="both"/>
    </w:pPr>
    <w:rPr>
      <w:rFonts w:ascii="Times" w:eastAsia="Times New Roman" w:hAnsi="Times" w:cstheme="minorBidi"/>
      <w:sz w:val="22"/>
      <w:szCs w:val="22"/>
      <w:lang w:val="en-GB"/>
    </w:rPr>
  </w:style>
  <w:style w:type="character" w:customStyle="1" w:styleId="CommentTextChar1">
    <w:name w:val="Comment Text Char1"/>
    <w:basedOn w:val="DefaultParagraphFont"/>
    <w:uiPriority w:val="99"/>
    <w:semiHidden/>
    <w:rsid w:val="00715EA7"/>
    <w:rPr>
      <w:rFonts w:ascii="Times New Roman" w:eastAsiaTheme="minorEastAsia" w:hAnsi="Times New Roman" w:cs="Times New Roman"/>
      <w:sz w:val="20"/>
      <w:szCs w:val="20"/>
      <w:lang w:val="en-AU"/>
    </w:rPr>
  </w:style>
  <w:style w:type="character" w:styleId="PageNumber">
    <w:name w:val="page number"/>
    <w:basedOn w:val="DefaultParagraphFont"/>
    <w:uiPriority w:val="99"/>
    <w:semiHidden/>
    <w:unhideWhenUsed/>
    <w:rsid w:val="00715EA7"/>
  </w:style>
  <w:style w:type="character" w:styleId="CommentReference">
    <w:name w:val="annotation reference"/>
    <w:basedOn w:val="DefaultParagraphFont"/>
    <w:uiPriority w:val="99"/>
    <w:semiHidden/>
    <w:unhideWhenUsed/>
    <w:rsid w:val="00715EA7"/>
    <w:rPr>
      <w:sz w:val="16"/>
      <w:szCs w:val="16"/>
    </w:rPr>
  </w:style>
  <w:style w:type="paragraph" w:styleId="CommentSubject">
    <w:name w:val="annotation subject"/>
    <w:basedOn w:val="CommentText"/>
    <w:next w:val="CommentText"/>
    <w:link w:val="CommentSubjectChar"/>
    <w:uiPriority w:val="99"/>
    <w:semiHidden/>
    <w:unhideWhenUsed/>
    <w:rsid w:val="00715EA7"/>
    <w:pPr>
      <w:spacing w:line="240" w:lineRule="auto"/>
      <w:jc w:val="left"/>
    </w:pPr>
    <w:rPr>
      <w:rFonts w:ascii="Times New Roman" w:eastAsiaTheme="minorEastAsia" w:hAnsi="Times New Roman"/>
      <w:b/>
      <w:bCs/>
      <w:sz w:val="20"/>
      <w:szCs w:val="20"/>
      <w:lang w:val="en-AU"/>
    </w:rPr>
  </w:style>
  <w:style w:type="character" w:customStyle="1" w:styleId="CommentSubjectChar">
    <w:name w:val="Comment Subject Char"/>
    <w:basedOn w:val="CommentTextChar1"/>
    <w:link w:val="CommentSubject"/>
    <w:uiPriority w:val="99"/>
    <w:semiHidden/>
    <w:rsid w:val="00715EA7"/>
    <w:rPr>
      <w:rFonts w:ascii="Times New Roman" w:eastAsiaTheme="minorEastAsia"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diabiodiversity.org/species/show/17434"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i.org/10.1002/tax.12119" TargetMode="External"/><Relationship Id="rId4" Type="http://schemas.openxmlformats.org/officeDocument/2006/relationships/webSettings" Target="webSettings.xml"/><Relationship Id="rId9" Type="http://schemas.openxmlformats.org/officeDocument/2006/relationships/hyperlink" Target="https://doi.org/10.1016/j.gloplacha.2017.08.00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5939</Words>
  <Characters>33854</Characters>
  <Application>Microsoft Office Word</Application>
  <DocSecurity>0</DocSecurity>
  <Lines>282</Lines>
  <Paragraphs>79</Paragraphs>
  <ScaleCrop>false</ScaleCrop>
  <Company/>
  <LinksUpToDate>false</LinksUpToDate>
  <CharactersWithSpaces>39714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Hemalatha K Kamaraj D</dc:creator>
  <cp:keywords/>
  <dc:description/>
  <cp:lastModifiedBy>Manju S.</cp:lastModifiedBy>
  <cp:revision>3</cp:revision>
  <dcterms:created xsi:type="dcterms:W3CDTF">2022-03-07T02:11:00Z</dcterms:created>
  <dcterms:modified xsi:type="dcterms:W3CDTF">2022-03-12T05:55:00Z</dcterms:modified>
</cp:coreProperties>
</file>