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D427" w14:textId="77777777" w:rsidR="00563C0D" w:rsidRDefault="00563C0D" w:rsidP="00563C0D">
      <w:pPr>
        <w:pStyle w:val="NormalWeb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Supplementary </w:t>
      </w:r>
      <w:r w:rsidRPr="00C22122">
        <w:rPr>
          <w:b/>
          <w:bCs/>
          <w:sz w:val="20"/>
          <w:szCs w:val="20"/>
        </w:rPr>
        <w:t>Fig. 3</w:t>
      </w:r>
      <w:r w:rsidRPr="00C22122">
        <w:rPr>
          <w:sz w:val="20"/>
          <w:szCs w:val="20"/>
        </w:rPr>
        <w:t xml:space="preserve"> </w:t>
      </w:r>
    </w:p>
    <w:p w14:paraId="6A9A4DA9" w14:textId="00982457" w:rsidR="00563C0D" w:rsidRPr="00C22122" w:rsidRDefault="00563C0D" w:rsidP="00563C0D">
      <w:pPr>
        <w:pStyle w:val="NormalWeb"/>
        <w:jc w:val="both"/>
        <w:rPr>
          <w:sz w:val="20"/>
          <w:szCs w:val="20"/>
        </w:rPr>
      </w:pPr>
      <w:r w:rsidRPr="00C22122">
        <w:rPr>
          <w:i/>
          <w:iCs/>
          <w:sz w:val="20"/>
          <w:szCs w:val="20"/>
        </w:rPr>
        <w:t>Prostaglandin-endoperoxide synthase 2</w:t>
      </w:r>
      <w:r w:rsidRPr="00C22122">
        <w:rPr>
          <w:sz w:val="20"/>
          <w:szCs w:val="20"/>
        </w:rPr>
        <w:t xml:space="preserve"> (</w:t>
      </w:r>
      <w:r w:rsidRPr="00C22122">
        <w:rPr>
          <w:i/>
          <w:iCs/>
          <w:sz w:val="20"/>
          <w:szCs w:val="20"/>
        </w:rPr>
        <w:t>COX-2</w:t>
      </w:r>
      <w:r w:rsidRPr="00C22122">
        <w:rPr>
          <w:sz w:val="20"/>
          <w:szCs w:val="20"/>
        </w:rPr>
        <w:t xml:space="preserve">), </w:t>
      </w:r>
      <w:r w:rsidRPr="00C22122">
        <w:rPr>
          <w:b/>
          <w:bCs/>
          <w:sz w:val="20"/>
          <w:szCs w:val="20"/>
        </w:rPr>
        <w:t xml:space="preserve"> </w:t>
      </w:r>
      <w:r w:rsidRPr="00C22122">
        <w:rPr>
          <w:i/>
          <w:iCs/>
          <w:sz w:val="20"/>
          <w:szCs w:val="20"/>
        </w:rPr>
        <w:t>prostaglandin E2 receptor 2</w:t>
      </w:r>
      <w:r w:rsidRPr="00C22122">
        <w:rPr>
          <w:sz w:val="20"/>
          <w:szCs w:val="20"/>
        </w:rPr>
        <w:t xml:space="preserve"> (EP2), </w:t>
      </w:r>
      <w:r w:rsidRPr="00C22122">
        <w:rPr>
          <w:i/>
          <w:iCs/>
          <w:sz w:val="20"/>
          <w:szCs w:val="20"/>
        </w:rPr>
        <w:t>prostaglandin E2 receptor 4</w:t>
      </w:r>
      <w:r w:rsidRPr="00C22122">
        <w:rPr>
          <w:sz w:val="20"/>
          <w:szCs w:val="20"/>
        </w:rPr>
        <w:t xml:space="preserve"> (</w:t>
      </w:r>
      <w:r w:rsidRPr="00C22122">
        <w:rPr>
          <w:i/>
          <w:iCs/>
          <w:sz w:val="20"/>
          <w:szCs w:val="20"/>
        </w:rPr>
        <w:t>EP4</w:t>
      </w:r>
      <w:r w:rsidRPr="00C22122">
        <w:rPr>
          <w:sz w:val="20"/>
          <w:szCs w:val="20"/>
        </w:rPr>
        <w:t xml:space="preserve">), </w:t>
      </w:r>
      <w:r w:rsidRPr="00C22122">
        <w:rPr>
          <w:i/>
          <w:iCs/>
          <w:sz w:val="20"/>
          <w:szCs w:val="20"/>
        </w:rPr>
        <w:t>PGF-synthase</w:t>
      </w:r>
      <w:r w:rsidRPr="00C22122">
        <w:rPr>
          <w:sz w:val="20"/>
          <w:szCs w:val="20"/>
        </w:rPr>
        <w:t xml:space="preserve"> (</w:t>
      </w:r>
      <w:r w:rsidRPr="00C22122">
        <w:rPr>
          <w:i/>
          <w:iCs/>
          <w:sz w:val="20"/>
          <w:szCs w:val="20"/>
        </w:rPr>
        <w:t>PGFS</w:t>
      </w:r>
      <w:r w:rsidRPr="00C22122">
        <w:rPr>
          <w:sz w:val="20"/>
          <w:szCs w:val="20"/>
        </w:rPr>
        <w:t xml:space="preserve">), </w:t>
      </w:r>
      <w:r w:rsidRPr="00C22122">
        <w:rPr>
          <w:i/>
          <w:iCs/>
          <w:sz w:val="20"/>
          <w:szCs w:val="20"/>
        </w:rPr>
        <w:t xml:space="preserve">prostaglandin E synthase </w:t>
      </w:r>
      <w:r w:rsidRPr="00C22122">
        <w:rPr>
          <w:sz w:val="20"/>
          <w:szCs w:val="20"/>
        </w:rPr>
        <w:t>(</w:t>
      </w:r>
      <w:r w:rsidRPr="00C22122">
        <w:rPr>
          <w:i/>
          <w:iCs/>
          <w:sz w:val="20"/>
          <w:szCs w:val="20"/>
        </w:rPr>
        <w:t>PTGES</w:t>
      </w:r>
      <w:r w:rsidRPr="00C22122">
        <w:rPr>
          <w:sz w:val="20"/>
          <w:szCs w:val="20"/>
        </w:rPr>
        <w:t xml:space="preserve">), and </w:t>
      </w:r>
      <w:r w:rsidRPr="00C22122">
        <w:rPr>
          <w:i/>
          <w:iCs/>
          <w:sz w:val="20"/>
          <w:szCs w:val="20"/>
        </w:rPr>
        <w:t>prostaglandin F receptor</w:t>
      </w:r>
      <w:r w:rsidRPr="00C22122">
        <w:rPr>
          <w:sz w:val="20"/>
          <w:szCs w:val="20"/>
        </w:rPr>
        <w:t xml:space="preserve"> (</w:t>
      </w:r>
      <w:r w:rsidRPr="00C22122">
        <w:rPr>
          <w:i/>
          <w:iCs/>
          <w:sz w:val="20"/>
          <w:szCs w:val="20"/>
        </w:rPr>
        <w:t>PTGFR</w:t>
      </w:r>
      <w:r w:rsidRPr="00C22122">
        <w:rPr>
          <w:sz w:val="20"/>
          <w:szCs w:val="20"/>
        </w:rPr>
        <w:t xml:space="preserve">), mRNA expression by epithelial and stromal cell co-cultured on </w:t>
      </w:r>
      <w:proofErr w:type="spellStart"/>
      <w:r w:rsidRPr="00C22122">
        <w:rPr>
          <w:sz w:val="20"/>
          <w:szCs w:val="20"/>
        </w:rPr>
        <w:t>Alvetex</w:t>
      </w:r>
      <w:proofErr w:type="spellEnd"/>
      <w:r w:rsidRPr="00C22122">
        <w:rPr>
          <w:sz w:val="20"/>
          <w:szCs w:val="20"/>
        </w:rPr>
        <w:t>™ scaffold and treated with oxytocin plus arachidonic acid at 24h</w:t>
      </w:r>
    </w:p>
    <w:p w14:paraId="3CA23465" w14:textId="77777777" w:rsidR="00563C0D" w:rsidRPr="00C22122" w:rsidRDefault="00563C0D" w:rsidP="00563C0D">
      <w:pPr>
        <w:pStyle w:val="NormalWeb"/>
        <w:rPr>
          <w:b/>
          <w:bCs/>
          <w:sz w:val="20"/>
          <w:szCs w:val="20"/>
          <w:lang w:val="es-ES"/>
        </w:rPr>
      </w:pPr>
      <w:r w:rsidRPr="00C22122">
        <w:rPr>
          <w:noProof/>
          <w:sz w:val="20"/>
          <w:szCs w:val="20"/>
        </w:rPr>
        <w:drawing>
          <wp:inline distT="0" distB="0" distL="0" distR="0" wp14:anchorId="76021118" wp14:editId="4856AA6C">
            <wp:extent cx="5400040" cy="334200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0E507" w14:textId="77777777" w:rsidR="00563C0D" w:rsidRPr="00C22122" w:rsidRDefault="00563C0D" w:rsidP="00563C0D">
      <w:pPr>
        <w:jc w:val="both"/>
        <w:rPr>
          <w:rFonts w:ascii="Times New Roman" w:hAnsi="Times New Roman" w:cs="Times New Roman"/>
          <w:sz w:val="20"/>
          <w:szCs w:val="20"/>
        </w:rPr>
      </w:pPr>
      <w:r w:rsidRPr="00C22122">
        <w:rPr>
          <w:rFonts w:ascii="Times New Roman" w:hAnsi="Times New Roman" w:cs="Times New Roman"/>
          <w:sz w:val="20"/>
          <w:szCs w:val="20"/>
        </w:rPr>
        <w:t xml:space="preserve">Relative mRNA expression results for </w:t>
      </w:r>
      <w:r w:rsidRPr="00C22122">
        <w:rPr>
          <w:rFonts w:ascii="Times New Roman" w:hAnsi="Times New Roman" w:cs="Times New Roman"/>
          <w:i/>
          <w:iCs/>
          <w:sz w:val="20"/>
          <w:szCs w:val="20"/>
        </w:rPr>
        <w:t>COX2, EP2, EP</w:t>
      </w:r>
      <w:proofErr w:type="gramStart"/>
      <w:r w:rsidRPr="00C22122">
        <w:rPr>
          <w:rFonts w:ascii="Times New Roman" w:hAnsi="Times New Roman" w:cs="Times New Roman"/>
          <w:i/>
          <w:iCs/>
          <w:sz w:val="20"/>
          <w:szCs w:val="20"/>
        </w:rPr>
        <w:t>4,PGFS</w:t>
      </w:r>
      <w:proofErr w:type="gramEnd"/>
      <w:r w:rsidRPr="00C22122">
        <w:rPr>
          <w:rFonts w:ascii="Times New Roman" w:hAnsi="Times New Roman" w:cs="Times New Roman"/>
          <w:i/>
          <w:iCs/>
          <w:sz w:val="20"/>
          <w:szCs w:val="20"/>
        </w:rPr>
        <w:t xml:space="preserve">, PTGES AND PTGFR </w:t>
      </w:r>
      <w:r w:rsidRPr="00C22122">
        <w:rPr>
          <w:rFonts w:ascii="Times New Roman" w:hAnsi="Times New Roman" w:cs="Times New Roman"/>
          <w:sz w:val="20"/>
          <w:szCs w:val="20"/>
        </w:rPr>
        <w:t xml:space="preserve">in control and experimental groups when normalized with endogenous control genes </w:t>
      </w:r>
      <w:r w:rsidRPr="00C22122">
        <w:rPr>
          <w:rFonts w:ascii="Times New Roman" w:hAnsi="Times New Roman" w:cs="Times New Roman"/>
          <w:i/>
          <w:iCs/>
          <w:sz w:val="20"/>
          <w:szCs w:val="20"/>
        </w:rPr>
        <w:t>SUZ12</w:t>
      </w:r>
      <w:r w:rsidRPr="00C22122">
        <w:rPr>
          <w:rFonts w:ascii="Times New Roman" w:hAnsi="Times New Roman" w:cs="Times New Roman"/>
          <w:sz w:val="20"/>
          <w:szCs w:val="20"/>
        </w:rPr>
        <w:t xml:space="preserve"> and </w:t>
      </w:r>
      <w:r w:rsidRPr="00C22122">
        <w:rPr>
          <w:rFonts w:ascii="Times New Roman" w:hAnsi="Times New Roman" w:cs="Times New Roman"/>
          <w:i/>
          <w:iCs/>
          <w:sz w:val="20"/>
          <w:szCs w:val="20"/>
        </w:rPr>
        <w:t>C2ORF29</w:t>
      </w:r>
      <w:r w:rsidRPr="00C22122">
        <w:rPr>
          <w:rFonts w:ascii="Times New Roman" w:hAnsi="Times New Roman" w:cs="Times New Roman"/>
          <w:sz w:val="20"/>
          <w:szCs w:val="20"/>
        </w:rPr>
        <w:t>. No significant differences were found between the experimental and control groups (p&gt;0.05)</w:t>
      </w:r>
    </w:p>
    <w:p w14:paraId="441F0B52" w14:textId="77777777" w:rsidR="00563C0D" w:rsidRPr="00C22122" w:rsidRDefault="00563C0D" w:rsidP="00563C0D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  <w:r w:rsidRPr="00C22122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3D313F3" w14:textId="77777777" w:rsidR="00055E8C" w:rsidRDefault="00055E8C"/>
    <w:sectPr w:rsidR="00055E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0D"/>
    <w:rsid w:val="00055E8C"/>
    <w:rsid w:val="00357F57"/>
    <w:rsid w:val="0056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5F6C"/>
  <w15:chartTrackingRefBased/>
  <w15:docId w15:val="{754E0B13-1F6E-42D9-B333-95891E0C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C0D"/>
    <w:rPr>
      <w:kern w:val="0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540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Muñoz LLamosas</dc:creator>
  <cp:keywords/>
  <dc:description/>
  <cp:lastModifiedBy>Marta Muñoz LLamosas</cp:lastModifiedBy>
  <cp:revision>1</cp:revision>
  <dcterms:created xsi:type="dcterms:W3CDTF">2023-03-23T14:17:00Z</dcterms:created>
  <dcterms:modified xsi:type="dcterms:W3CDTF">2023-03-23T14:17:00Z</dcterms:modified>
</cp:coreProperties>
</file>