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32AA9">
      <w:pPr>
        <w:rPr>
          <w:rFonts w:eastAsia="Times New Roman"/>
          <w:b/>
          <w:sz w:val="20"/>
          <w:szCs w:val="20"/>
          <w:lang w:eastAsia="en-GB"/>
        </w:rPr>
      </w:pPr>
      <w:r>
        <w:rPr>
          <w:rFonts w:hint="eastAsia" w:cs="Times New Roman"/>
          <w:b/>
          <w:bCs/>
          <w:color w:val="auto"/>
          <w:lang w:eastAsia="zh-CN"/>
        </w:rPr>
        <w:t>Supplementary Table</w:t>
      </w:r>
      <w:r>
        <w:rPr>
          <w:rFonts w:hint="eastAsia" w:cs="Times New Roman"/>
          <w:b/>
          <w:bCs/>
          <w:color w:val="auto"/>
          <w:lang w:val="en-US" w:eastAsia="zh-CN"/>
        </w:rPr>
        <w:t xml:space="preserve"> 1.</w:t>
      </w:r>
      <w:r>
        <w:rPr>
          <w:rFonts w:hint="eastAsia" w:cs="Times New Roman"/>
          <w:b/>
          <w:bCs/>
          <w:color w:val="0432FF"/>
          <w:lang w:val="en-US" w:eastAsia="zh-CN"/>
        </w:rPr>
        <w:t xml:space="preserve"> </w:t>
      </w:r>
      <w:r>
        <w:rPr>
          <w:rFonts w:eastAsia="Times New Roman"/>
          <w:b w:val="0"/>
          <w:bCs/>
          <w:sz w:val="20"/>
          <w:szCs w:val="20"/>
          <w:lang w:eastAsia="en-GB"/>
        </w:rPr>
        <w:t xml:space="preserve">STROBE-MR checklist of recommended items to address in reports of </w:t>
      </w:r>
      <w:bookmarkStart w:id="0" w:name="_GoBack"/>
      <w:bookmarkEnd w:id="0"/>
      <w:r>
        <w:rPr>
          <w:rFonts w:eastAsia="Times New Roman"/>
          <w:b w:val="0"/>
          <w:bCs/>
          <w:sz w:val="20"/>
          <w:szCs w:val="20"/>
          <w:lang w:eastAsia="en-GB"/>
        </w:rPr>
        <w:t>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14:paraId="3EE539AD">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00"/>
        <w:gridCol w:w="6047"/>
        <w:gridCol w:w="727"/>
        <w:gridCol w:w="5329"/>
      </w:tblGrid>
      <w:tr w14:paraId="68BC94E2">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14:paraId="00DEF8A5">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14:paraId="04F587D2">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14:paraId="5A682768">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14:paraId="26D050FB">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14:paraId="3B169EDD">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14:paraId="6D71F361">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14:paraId="25A8835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14:paraId="4CC4316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14:paraId="1DA8BD4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14:paraId="428F187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Borders>
              <w:top w:val="single" w:color="7F7F7F" w:sz="6" w:space="0"/>
              <w:bottom w:val="single" w:color="7F7F7F" w:sz="6" w:space="0"/>
            </w:tcBorders>
            <w:shd w:val="clear" w:color="auto" w:fill="EEEEEE"/>
          </w:tcPr>
          <w:p w14:paraId="2F6D1FAF">
            <w:pPr>
              <w:spacing w:before="96" w:beforeLines="40" w:after="96" w:afterLines="40" w:line="24" w:lineRule="atLeast"/>
              <w:jc w:val="left"/>
              <w:rPr>
                <w:rFonts w:hint="eastAsia" w:eastAsia="Times New Roman"/>
                <w:sz w:val="18"/>
                <w:szCs w:val="18"/>
                <w:lang w:val="en-GB" w:eastAsia="en-GB"/>
              </w:rPr>
            </w:pPr>
            <w:r>
              <w:rPr>
                <w:rFonts w:hint="eastAsia" w:eastAsia="Times New Roman"/>
                <w:sz w:val="18"/>
                <w:szCs w:val="18"/>
                <w:lang w:val="en-GB" w:eastAsia="en-GB"/>
              </w:rPr>
              <w:t>Plasma proteins and herpes simplex virus infection: a proteome-wide Mendelian randomization study</w:t>
            </w:r>
          </w:p>
          <w:p w14:paraId="031F47E3">
            <w:pPr>
              <w:spacing w:before="96" w:beforeLines="40" w:after="96" w:afterLines="40" w:line="24" w:lineRule="atLeast"/>
              <w:jc w:val="left"/>
              <w:rPr>
                <w:rFonts w:hint="eastAsia" w:eastAsia="Times New Roman"/>
                <w:sz w:val="18"/>
                <w:szCs w:val="18"/>
                <w:lang w:val="en-GB" w:eastAsia="en-GB"/>
              </w:rPr>
            </w:pPr>
            <w:r>
              <w:rPr>
                <w:rFonts w:hint="eastAsia" w:eastAsia="Times New Roman"/>
                <w:sz w:val="18"/>
                <w:szCs w:val="18"/>
                <w:lang w:val="en-GB" w:eastAsia="en-GB"/>
              </w:rPr>
              <w:t>We conducted proteome-wide Mendelian randomization (MR) study and Phenome-wide MR analyses to estimate the causal association between plasma proteins and Herpes simplex virus (HSV) infection.</w:t>
            </w:r>
          </w:p>
        </w:tc>
      </w:tr>
      <w:tr w14:paraId="641E6A58">
        <w:tblPrEx>
          <w:tblCellMar>
            <w:top w:w="0" w:type="dxa"/>
            <w:left w:w="108" w:type="dxa"/>
            <w:bottom w:w="0" w:type="dxa"/>
            <w:right w:w="108" w:type="dxa"/>
          </w:tblCellMar>
        </w:tblPrEx>
        <w:tc>
          <w:tcPr>
            <w:tcW w:w="587" w:type="dxa"/>
            <w:tcBorders>
              <w:top w:val="single" w:color="7F7F7F" w:sz="6" w:space="0"/>
            </w:tcBorders>
            <w:shd w:val="clear" w:color="auto" w:fill="auto"/>
          </w:tcPr>
          <w:p w14:paraId="4792BEFB">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63B58F01">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14:paraId="473C01D0">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6681F500">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7A6DC6E9">
            <w:pPr>
              <w:spacing w:before="96" w:beforeLines="40" w:after="96" w:afterLines="40" w:line="24" w:lineRule="atLeast"/>
              <w:rPr>
                <w:rFonts w:eastAsia="Cambria"/>
                <w:sz w:val="18"/>
                <w:szCs w:val="18"/>
                <w:lang w:val="en-GB" w:eastAsia="en-US"/>
              </w:rPr>
            </w:pPr>
          </w:p>
        </w:tc>
      </w:tr>
      <w:tr w14:paraId="7DB622D8">
        <w:tblPrEx>
          <w:tblCellMar>
            <w:top w:w="0" w:type="dxa"/>
            <w:left w:w="108" w:type="dxa"/>
            <w:bottom w:w="0" w:type="dxa"/>
            <w:right w:w="108" w:type="dxa"/>
          </w:tblCellMar>
        </w:tblPrEx>
        <w:tc>
          <w:tcPr>
            <w:tcW w:w="587" w:type="dxa"/>
            <w:shd w:val="clear" w:color="auto" w:fill="EEEEEE"/>
          </w:tcPr>
          <w:p w14:paraId="7DE28D61">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14:paraId="7756B327">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14:paraId="5423D52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460FB29C">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4-5</w:t>
            </w:r>
          </w:p>
        </w:tc>
        <w:tc>
          <w:tcPr>
            <w:tcW w:w="4320" w:type="dxa"/>
            <w:shd w:val="clear" w:color="auto" w:fill="EEEEEE"/>
          </w:tcPr>
          <w:p w14:paraId="5D990A22">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Herpes simplex virus (HSV) is an enveloped, double-stranded DNA virus classified within the Herpesviridae family and the alpha Herpesviruses subgroup, which is highly prevalent worldwide</w:t>
            </w:r>
            <w:r>
              <w:rPr>
                <w:rFonts w:hint="eastAsia" w:eastAsia="宋体"/>
                <w:sz w:val="18"/>
                <w:szCs w:val="18"/>
                <w:lang w:val="en-US" w:eastAsia="zh-CN"/>
              </w:rPr>
              <w:t>.</w:t>
            </w:r>
          </w:p>
          <w:p w14:paraId="2CD33A82">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Proteomics plays a pivotal role in clinical diagnostics and monitoring, with studies demonstrating its potential to identify novel proteins in serum and diseased tissues.</w:t>
            </w:r>
          </w:p>
          <w:p w14:paraId="0F0D412F">
            <w:pPr>
              <w:spacing w:before="96" w:beforeLines="40" w:after="96" w:afterLines="40" w:line="24" w:lineRule="atLeast"/>
              <w:rPr>
                <w:rFonts w:hint="default" w:eastAsia="宋体"/>
                <w:sz w:val="18"/>
                <w:szCs w:val="18"/>
                <w:lang w:val="en-US" w:eastAsia="zh-CN"/>
              </w:rPr>
            </w:pPr>
            <w:r>
              <w:rPr>
                <w:rFonts w:hint="default" w:eastAsia="宋体"/>
                <w:sz w:val="18"/>
                <w:szCs w:val="18"/>
                <w:lang w:val="en-US" w:eastAsia="zh-CN"/>
              </w:rPr>
              <w:t>Single nucleotide polymorphisms (SNP) identified by GWAS serve as instrumental variables (IVs) for causality analysis, providing robust evidence for identifying disease diagnostic markers and drug targets. It has been widely used to detect causal relationships between plasma proteins and various diseases</w:t>
            </w:r>
          </w:p>
        </w:tc>
      </w:tr>
      <w:tr w14:paraId="7907A3D3">
        <w:tblPrEx>
          <w:tblCellMar>
            <w:top w:w="0" w:type="dxa"/>
            <w:left w:w="108" w:type="dxa"/>
            <w:bottom w:w="0" w:type="dxa"/>
            <w:right w:w="108" w:type="dxa"/>
          </w:tblCellMar>
        </w:tblPrEx>
        <w:tc>
          <w:tcPr>
            <w:tcW w:w="587" w:type="dxa"/>
            <w:tcBorders>
              <w:bottom w:val="single" w:color="7F7F7F" w:sz="6" w:space="0"/>
            </w:tcBorders>
            <w:shd w:val="clear" w:color="auto" w:fill="auto"/>
          </w:tcPr>
          <w:p w14:paraId="4F63B03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14:paraId="3E6B9EEC">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14:paraId="41BC8A0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14:paraId="2294F6C5">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5</w:t>
            </w:r>
          </w:p>
        </w:tc>
        <w:tc>
          <w:tcPr>
            <w:tcW w:w="4320" w:type="dxa"/>
            <w:tcBorders>
              <w:bottom w:val="single" w:color="7F7F7F" w:sz="6" w:space="0"/>
            </w:tcBorders>
          </w:tcPr>
          <w:p w14:paraId="11250836">
            <w:pPr>
              <w:spacing w:before="96" w:beforeLines="40" w:after="96" w:afterLines="40" w:line="24" w:lineRule="atLeast"/>
              <w:rPr>
                <w:rFonts w:eastAsia="Times New Roman"/>
                <w:sz w:val="18"/>
                <w:szCs w:val="18"/>
                <w:lang w:val="en-GB" w:eastAsia="en-GB"/>
              </w:rPr>
            </w:pPr>
            <w:r>
              <w:rPr>
                <w:rFonts w:hint="default" w:eastAsia="宋体"/>
                <w:sz w:val="18"/>
                <w:szCs w:val="18"/>
                <w:lang w:val="en-US" w:eastAsia="zh-CN"/>
              </w:rPr>
              <w:t>Mendelian randomization (MR) is frequently employed to ascertain the causal relationship between exposure and outcome. Single nucleotide polymorphisms (SNP) identified by GWAS serve as instrumental variables (IVs) for causality analysis, providing robust evidence for identifying disease diagnostic markers and drug targets. It has been widely used to detect causal relationships between plasma proteins and various diseases</w:t>
            </w:r>
            <w:r>
              <w:rPr>
                <w:rFonts w:hint="eastAsia" w:eastAsia="宋体"/>
                <w:sz w:val="18"/>
                <w:szCs w:val="18"/>
                <w:lang w:val="en-US" w:eastAsia="zh-CN"/>
              </w:rPr>
              <w:t>.</w:t>
            </w:r>
          </w:p>
        </w:tc>
      </w:tr>
      <w:tr w14:paraId="59599383">
        <w:tblPrEx>
          <w:tblCellMar>
            <w:top w:w="0" w:type="dxa"/>
            <w:left w:w="108" w:type="dxa"/>
            <w:bottom w:w="0" w:type="dxa"/>
            <w:right w:w="108" w:type="dxa"/>
          </w:tblCellMar>
        </w:tblPrEx>
        <w:tc>
          <w:tcPr>
            <w:tcW w:w="587" w:type="dxa"/>
            <w:tcBorders>
              <w:top w:val="single" w:color="7F7F7F" w:sz="6" w:space="0"/>
            </w:tcBorders>
            <w:shd w:val="clear" w:color="auto" w:fill="EEEEEE"/>
          </w:tcPr>
          <w:p w14:paraId="3524D6D4">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14:paraId="6152628C">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14:paraId="309B8567">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14:paraId="2FFEF450">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14:paraId="6CB9315A">
            <w:pPr>
              <w:spacing w:before="96" w:beforeLines="40" w:after="96" w:afterLines="40" w:line="24" w:lineRule="atLeast"/>
              <w:rPr>
                <w:rFonts w:eastAsia="Cambria"/>
                <w:sz w:val="18"/>
                <w:szCs w:val="18"/>
                <w:lang w:val="en-GB" w:eastAsia="en-US"/>
              </w:rPr>
            </w:pPr>
          </w:p>
        </w:tc>
      </w:tr>
      <w:tr w14:paraId="6440155E">
        <w:tblPrEx>
          <w:tblCellMar>
            <w:top w:w="0" w:type="dxa"/>
            <w:left w:w="108" w:type="dxa"/>
            <w:bottom w:w="0" w:type="dxa"/>
            <w:right w:w="108" w:type="dxa"/>
          </w:tblCellMar>
        </w:tblPrEx>
        <w:tc>
          <w:tcPr>
            <w:tcW w:w="587" w:type="dxa"/>
            <w:shd w:val="clear" w:color="auto" w:fill="auto"/>
          </w:tcPr>
          <w:p w14:paraId="5C7CF34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14:paraId="408E2A89">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14:paraId="29029CA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pPr>
              <w:spacing w:before="96" w:beforeLines="40" w:after="96" w:afterLines="40" w:line="24" w:lineRule="atLeast"/>
              <w:rPr>
                <w:rFonts w:hint="default" w:eastAsia="宋体"/>
                <w:sz w:val="18"/>
                <w:szCs w:val="18"/>
                <w:lang w:val="en-US" w:eastAsia="zh-CN"/>
              </w:rPr>
            </w:pPr>
          </w:p>
        </w:tc>
        <w:tc>
          <w:tcPr>
            <w:tcW w:w="4320" w:type="dxa"/>
          </w:tcPr>
          <w:p w14:paraId="23CE0AC6">
            <w:pPr>
              <w:spacing w:before="96" w:beforeLines="40" w:after="96" w:afterLines="40" w:line="24" w:lineRule="atLeast"/>
              <w:rPr>
                <w:rFonts w:eastAsia="Times New Roman"/>
                <w:sz w:val="18"/>
                <w:szCs w:val="18"/>
                <w:lang w:val="en-GB" w:eastAsia="en-GB"/>
              </w:rPr>
            </w:pPr>
          </w:p>
        </w:tc>
      </w:tr>
      <w:tr w14:paraId="47D5AE21">
        <w:tblPrEx>
          <w:tblCellMar>
            <w:top w:w="0" w:type="dxa"/>
            <w:left w:w="108" w:type="dxa"/>
            <w:bottom w:w="0" w:type="dxa"/>
            <w:right w:w="108" w:type="dxa"/>
          </w:tblCellMar>
        </w:tblPrEx>
        <w:tc>
          <w:tcPr>
            <w:tcW w:w="587" w:type="dxa"/>
            <w:shd w:val="clear" w:color="auto" w:fill="EEEEEE"/>
          </w:tcPr>
          <w:p w14:paraId="0980B688">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9E72ACB">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246167BE">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pPr>
              <w:spacing w:before="96" w:beforeLines="40" w:after="96" w:afterLines="40" w:line="24" w:lineRule="atLeast"/>
              <w:rPr>
                <w:rFonts w:eastAsia="Times New Roman"/>
                <w:sz w:val="18"/>
                <w:szCs w:val="18"/>
                <w:shd w:val="clear" w:color="auto" w:fill="FFFFFF"/>
                <w:lang w:val="en-GB" w:eastAsia="en-GB"/>
              </w:rPr>
            </w:pPr>
            <w:r>
              <w:rPr>
                <w:rFonts w:hint="eastAsia" w:eastAsia="宋体"/>
                <w:sz w:val="18"/>
                <w:szCs w:val="18"/>
                <w:lang w:val="en-US" w:eastAsia="zh-CN"/>
              </w:rPr>
              <w:t>5, Figure 1</w:t>
            </w:r>
          </w:p>
        </w:tc>
        <w:tc>
          <w:tcPr>
            <w:tcW w:w="4320" w:type="dxa"/>
            <w:shd w:val="clear" w:color="auto" w:fill="EEEEEE"/>
          </w:tcPr>
          <w:p w14:paraId="33F4171D">
            <w:pPr>
              <w:spacing w:before="96" w:beforeLines="40" w:after="96" w:afterLines="40" w:line="24" w:lineRule="atLeast"/>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European population.</w:t>
            </w:r>
            <w:r>
              <w:rPr>
                <w:rFonts w:hint="eastAsia" w:eastAsia="宋体"/>
                <w:sz w:val="18"/>
                <w:szCs w:val="18"/>
                <w:shd w:val="clear" w:color="auto" w:fill="FFFFFF"/>
                <w:lang w:val="en-US" w:eastAsia="zh-CN"/>
              </w:rPr>
              <w:t xml:space="preserve"> </w:t>
            </w:r>
            <w:r>
              <w:rPr>
                <w:rFonts w:hint="eastAsia" w:eastAsia="Times New Roman"/>
                <w:sz w:val="18"/>
                <w:szCs w:val="18"/>
                <w:shd w:val="clear" w:color="auto" w:fill="FFFFFF"/>
                <w:lang w:val="en-GB" w:eastAsia="en-GB"/>
              </w:rPr>
              <w:t>Table S</w:t>
            </w:r>
            <w:r>
              <w:rPr>
                <w:rFonts w:hint="eastAsia" w:eastAsia="宋体"/>
                <w:sz w:val="18"/>
                <w:szCs w:val="18"/>
                <w:shd w:val="clear" w:color="auto" w:fill="FFFFFF"/>
                <w:lang w:val="en-US" w:eastAsia="zh-CN"/>
              </w:rPr>
              <w:t>2</w:t>
            </w:r>
            <w:r>
              <w:rPr>
                <w:rFonts w:hint="eastAsia" w:eastAsia="Times New Roman"/>
                <w:sz w:val="18"/>
                <w:szCs w:val="18"/>
                <w:shd w:val="clear" w:color="auto" w:fill="FFFFFF"/>
                <w:lang w:val="en-GB" w:eastAsia="en-GB"/>
              </w:rPr>
              <w:t xml:space="preserve">. </w:t>
            </w:r>
          </w:p>
        </w:tc>
      </w:tr>
      <w:tr w14:paraId="376A6F82">
        <w:tblPrEx>
          <w:tblCellMar>
            <w:top w:w="0" w:type="dxa"/>
            <w:left w:w="108" w:type="dxa"/>
            <w:bottom w:w="0" w:type="dxa"/>
            <w:right w:w="108" w:type="dxa"/>
          </w:tblCellMar>
        </w:tblPrEx>
        <w:tc>
          <w:tcPr>
            <w:tcW w:w="587" w:type="dxa"/>
            <w:shd w:val="clear" w:color="auto" w:fill="auto"/>
          </w:tcPr>
          <w:p w14:paraId="6B85F41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CF2EB5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E3BCE69">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14:paraId="29ACC32C">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6</w:t>
            </w:r>
          </w:p>
        </w:tc>
        <w:tc>
          <w:tcPr>
            <w:tcW w:w="4320" w:type="dxa"/>
          </w:tcPr>
          <w:p w14:paraId="37C3B4C3">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Times New Roman"/>
                <w:sz w:val="18"/>
                <w:szCs w:val="18"/>
                <w:shd w:val="clear" w:color="auto" w:fill="FFFFFF"/>
                <w:lang w:val="en-GB" w:eastAsia="en-GB"/>
              </w:rPr>
              <w:t>Index SNPs associated with the levels of plasma proteins were obtained from a large-scale GWAS in the UK Biobank Pharma Proteomics Project (UKB-PPP)</w:t>
            </w:r>
            <w:r>
              <w:rPr>
                <w:rFonts w:hint="eastAsia" w:eastAsia="宋体"/>
                <w:sz w:val="18"/>
                <w:szCs w:val="18"/>
                <w:shd w:val="clear" w:color="auto" w:fill="FFFFFF"/>
                <w:lang w:val="en-US" w:eastAsia="zh-CN"/>
              </w:rPr>
              <w:t>.</w:t>
            </w:r>
          </w:p>
          <w:p w14:paraId="62BDD370">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Herpes simplex virus-associated SNPs were derived from the FinnGen study. A total of 400,098 subjects of European descent for HSV infection (3,723 cases and 396,375 controls) were extracted from the summary data labeled as Certain infectious and parasitic diseases (AB1).</w:t>
            </w:r>
          </w:p>
        </w:tc>
      </w:tr>
      <w:tr w14:paraId="04B065C7">
        <w:tblPrEx>
          <w:tblCellMar>
            <w:top w:w="0" w:type="dxa"/>
            <w:left w:w="108" w:type="dxa"/>
            <w:bottom w:w="0" w:type="dxa"/>
            <w:right w:w="108" w:type="dxa"/>
          </w:tblCellMar>
        </w:tblPrEx>
        <w:tc>
          <w:tcPr>
            <w:tcW w:w="587" w:type="dxa"/>
            <w:shd w:val="clear" w:color="auto" w:fill="EEEEEE"/>
          </w:tcPr>
          <w:p w14:paraId="09448E2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60DD29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7B54F10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14:paraId="2CDB28F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shd w:val="clear" w:color="auto" w:fill="EEEEEE"/>
          </w:tcPr>
          <w:p w14:paraId="26B556E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215DDE8E">
        <w:tblPrEx>
          <w:tblCellMar>
            <w:top w:w="0" w:type="dxa"/>
            <w:left w:w="108" w:type="dxa"/>
            <w:bottom w:w="0" w:type="dxa"/>
            <w:right w:w="108" w:type="dxa"/>
          </w:tblCellMar>
        </w:tblPrEx>
        <w:tc>
          <w:tcPr>
            <w:tcW w:w="587" w:type="dxa"/>
            <w:shd w:val="clear" w:color="auto" w:fill="auto"/>
          </w:tcPr>
          <w:p w14:paraId="7E3D460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FB55AD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3B6B6065">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6</w:t>
            </w:r>
          </w:p>
        </w:tc>
        <w:tc>
          <w:tcPr>
            <w:tcW w:w="4320" w:type="dxa"/>
          </w:tcPr>
          <w:p w14:paraId="18BB4B57">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Infection with HSV infection was diagnosed identified using International Classification of Diseases codes 10.</w:t>
            </w:r>
          </w:p>
        </w:tc>
      </w:tr>
      <w:tr w14:paraId="69A6C8B1">
        <w:tblPrEx>
          <w:tblCellMar>
            <w:top w:w="0" w:type="dxa"/>
            <w:left w:w="108" w:type="dxa"/>
            <w:bottom w:w="0" w:type="dxa"/>
            <w:right w:w="108" w:type="dxa"/>
          </w:tblCellMar>
        </w:tblPrEx>
        <w:tc>
          <w:tcPr>
            <w:tcW w:w="587" w:type="dxa"/>
            <w:shd w:val="clear" w:color="auto" w:fill="EEEEEE"/>
          </w:tcPr>
          <w:p w14:paraId="292FBB9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73C46B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14:paraId="4E713FBB">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pPr>
              <w:spacing w:before="96" w:beforeLines="40" w:after="96" w:afterLines="40" w:line="24" w:lineRule="atLeast"/>
              <w:textAlignment w:val="baseline"/>
              <w:rPr>
                <w:rFonts w:hint="eastAsia" w:eastAsia="宋体"/>
                <w:sz w:val="18"/>
                <w:szCs w:val="18"/>
                <w:shd w:val="clear" w:color="auto" w:fill="FFFFFF"/>
                <w:lang w:val="en-US" w:eastAsia="zh-CN"/>
              </w:rPr>
            </w:pPr>
            <w:r>
              <w:rPr>
                <w:rFonts w:hint="eastAsia" w:eastAsia="宋体"/>
                <w:sz w:val="18"/>
                <w:szCs w:val="18"/>
                <w:shd w:val="clear" w:color="auto" w:fill="FFFFFF"/>
                <w:lang w:val="en-US" w:eastAsia="zh-CN"/>
              </w:rPr>
              <w:t>5</w:t>
            </w:r>
          </w:p>
        </w:tc>
        <w:tc>
          <w:tcPr>
            <w:tcW w:w="4320" w:type="dxa"/>
            <w:shd w:val="clear" w:color="auto" w:fill="EEEEEE"/>
          </w:tcPr>
          <w:p w14:paraId="6067A95B">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 xml:space="preserve">Given that this study relies exclusively on preexisting publications and publicly available databases, additional ethical approval or consent to participate was deemed unnecessary. </w:t>
            </w:r>
          </w:p>
        </w:tc>
      </w:tr>
      <w:tr w14:paraId="23EA53EC">
        <w:tblPrEx>
          <w:tblCellMar>
            <w:top w:w="0" w:type="dxa"/>
            <w:left w:w="108" w:type="dxa"/>
            <w:bottom w:w="0" w:type="dxa"/>
            <w:right w:w="108" w:type="dxa"/>
          </w:tblCellMar>
        </w:tblPrEx>
        <w:tc>
          <w:tcPr>
            <w:tcW w:w="587" w:type="dxa"/>
            <w:shd w:val="clear" w:color="auto" w:fill="auto"/>
          </w:tcPr>
          <w:p w14:paraId="3E6E0D63">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14:paraId="1F0455B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14:paraId="0458797D">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14:paraId="5139727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5</w:t>
            </w:r>
          </w:p>
        </w:tc>
        <w:tc>
          <w:tcPr>
            <w:tcW w:w="4320" w:type="dxa"/>
          </w:tcPr>
          <w:p w14:paraId="7A54DE1B">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In order to be an appropriate pQTLs as IVs, a genetic variant must demonstrate a robust association with the exposure of interest, no association with potential confounders, or a common cause with the outcome variable</w:t>
            </w:r>
            <w:r>
              <w:rPr>
                <w:rFonts w:hint="eastAsia" w:eastAsia="宋体"/>
                <w:sz w:val="18"/>
                <w:szCs w:val="18"/>
                <w:lang w:val="en-US" w:eastAsia="zh-CN"/>
              </w:rPr>
              <w:t>.</w:t>
            </w:r>
          </w:p>
        </w:tc>
      </w:tr>
      <w:tr w14:paraId="6209F8C8">
        <w:tblPrEx>
          <w:tblCellMar>
            <w:top w:w="0" w:type="dxa"/>
            <w:left w:w="108" w:type="dxa"/>
            <w:bottom w:w="0" w:type="dxa"/>
            <w:right w:w="108" w:type="dxa"/>
          </w:tblCellMar>
        </w:tblPrEx>
        <w:tc>
          <w:tcPr>
            <w:tcW w:w="587" w:type="dxa"/>
            <w:shd w:val="clear" w:color="auto" w:fill="EEEEEE"/>
          </w:tcPr>
          <w:p w14:paraId="6FA239C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14:paraId="3D8F9E93">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14:paraId="49C33D0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14:paraId="0D1191BA">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75DF0C4B">
            <w:pPr>
              <w:spacing w:before="96" w:beforeLines="40" w:after="96" w:afterLines="40" w:line="24" w:lineRule="atLeast"/>
              <w:rPr>
                <w:rFonts w:eastAsia="Times New Roman"/>
                <w:sz w:val="18"/>
                <w:szCs w:val="18"/>
                <w:lang w:val="en-GB" w:eastAsia="en-GB"/>
              </w:rPr>
            </w:pPr>
          </w:p>
        </w:tc>
      </w:tr>
      <w:tr w14:paraId="4346E621">
        <w:tblPrEx>
          <w:tblCellMar>
            <w:top w:w="0" w:type="dxa"/>
            <w:left w:w="108" w:type="dxa"/>
            <w:bottom w:w="0" w:type="dxa"/>
            <w:right w:w="108" w:type="dxa"/>
          </w:tblCellMar>
        </w:tblPrEx>
        <w:tc>
          <w:tcPr>
            <w:tcW w:w="587" w:type="dxa"/>
            <w:shd w:val="clear" w:color="auto" w:fill="auto"/>
          </w:tcPr>
          <w:p w14:paraId="339A016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635743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3BB9002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14:paraId="22720A5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tcPr>
          <w:p w14:paraId="7615984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642A4D4B">
        <w:tblPrEx>
          <w:tblCellMar>
            <w:top w:w="0" w:type="dxa"/>
            <w:left w:w="108" w:type="dxa"/>
            <w:bottom w:w="0" w:type="dxa"/>
            <w:right w:w="108" w:type="dxa"/>
          </w:tblCellMar>
        </w:tblPrEx>
        <w:tc>
          <w:tcPr>
            <w:tcW w:w="587" w:type="dxa"/>
            <w:shd w:val="clear" w:color="auto" w:fill="EEEEEE"/>
          </w:tcPr>
          <w:p w14:paraId="11F7484C">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69D49F3">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6B2ACDE9">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6</w:t>
            </w:r>
          </w:p>
        </w:tc>
        <w:tc>
          <w:tcPr>
            <w:tcW w:w="4320" w:type="dxa"/>
            <w:shd w:val="clear" w:color="auto" w:fill="EEEEEE"/>
          </w:tcPr>
          <w:p w14:paraId="1612F89F">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Selection criteria for instruments and proteins were as follows (28): (i) A genome-wide significance threshold of P &lt; 5×10-8 used to identify highly correlated SNPs with plasma proteins; (ii) Threshold of the linkage disequilibrium (LD) parameter (r2) set at 0.001 and a genetic distance of 10,000 kb to mitigate the effect of LD on independent SNPs; (iii) SNP within a vicinity of ±1 Mb around the gene region is defined as cis-pQTLs. Finally, the strength of each instrument was assessed by examining the F-statistic, calculated using the equation: . We excluded instruments with an F &lt; 10, which suggests weak mechanisms</w:t>
            </w:r>
            <w:r>
              <w:rPr>
                <w:rFonts w:hint="eastAsia" w:eastAsia="宋体"/>
                <w:sz w:val="18"/>
                <w:szCs w:val="18"/>
                <w:lang w:val="en-US" w:eastAsia="zh-CN"/>
              </w:rPr>
              <w:t>.</w:t>
            </w:r>
          </w:p>
        </w:tc>
      </w:tr>
      <w:tr w14:paraId="70378831">
        <w:tblPrEx>
          <w:tblCellMar>
            <w:top w:w="0" w:type="dxa"/>
            <w:left w:w="108" w:type="dxa"/>
            <w:bottom w:w="0" w:type="dxa"/>
            <w:right w:w="108" w:type="dxa"/>
          </w:tblCellMar>
        </w:tblPrEx>
        <w:tc>
          <w:tcPr>
            <w:tcW w:w="587" w:type="dxa"/>
            <w:shd w:val="clear" w:color="auto" w:fill="auto"/>
          </w:tcPr>
          <w:p w14:paraId="45E4149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9F665E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5CB03D9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tcPr>
          <w:p w14:paraId="334D44E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0D8F3A7E">
        <w:tblPrEx>
          <w:tblCellMar>
            <w:top w:w="0" w:type="dxa"/>
            <w:left w:w="108" w:type="dxa"/>
            <w:bottom w:w="0" w:type="dxa"/>
            <w:right w:w="108" w:type="dxa"/>
          </w:tblCellMar>
        </w:tblPrEx>
        <w:tc>
          <w:tcPr>
            <w:tcW w:w="587" w:type="dxa"/>
            <w:shd w:val="clear" w:color="auto" w:fill="EEEEEE"/>
          </w:tcPr>
          <w:p w14:paraId="1D70C4CD">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A3AAFD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0878638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14:paraId="297C3632">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shd w:val="clear" w:color="auto" w:fill="EEEEEE"/>
          </w:tcPr>
          <w:p w14:paraId="1680866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77F037B8">
        <w:tblPrEx>
          <w:tblCellMar>
            <w:top w:w="0" w:type="dxa"/>
            <w:left w:w="108" w:type="dxa"/>
            <w:bottom w:w="0" w:type="dxa"/>
            <w:right w:w="108" w:type="dxa"/>
          </w:tblCellMar>
        </w:tblPrEx>
        <w:tc>
          <w:tcPr>
            <w:tcW w:w="587" w:type="dxa"/>
            <w:shd w:val="clear" w:color="auto" w:fill="auto"/>
          </w:tcPr>
          <w:p w14:paraId="4AC39E5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D9E035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14:paraId="41F1E52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14:paraId="6B5C4982">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Pr>
          <w:p w14:paraId="6E5960CC">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To avoid type I error, we defined significance statistically at false discovery rate (FDR) of 0.10 for each MR analysis. A PFDR &gt; 0.10 while the P value &lt; 0.05 was considered as suggestive evidence.</w:t>
            </w:r>
          </w:p>
        </w:tc>
      </w:tr>
      <w:tr w14:paraId="585043CE">
        <w:tblPrEx>
          <w:tblCellMar>
            <w:top w:w="0" w:type="dxa"/>
            <w:left w:w="108" w:type="dxa"/>
            <w:bottom w:w="0" w:type="dxa"/>
            <w:right w:w="108" w:type="dxa"/>
          </w:tblCellMar>
        </w:tblPrEx>
        <w:tc>
          <w:tcPr>
            <w:tcW w:w="587" w:type="dxa"/>
            <w:shd w:val="clear" w:color="auto" w:fill="EEEEEE"/>
          </w:tcPr>
          <w:p w14:paraId="55967D0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14:paraId="0947B164">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1E6D0B1E">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14:paraId="61C50F74">
            <w:pPr>
              <w:tabs>
                <w:tab w:val="left" w:pos="1620"/>
              </w:tabs>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shd w:val="clear" w:color="auto" w:fill="EEEEEE"/>
          </w:tcPr>
          <w:p w14:paraId="5D46DB2B">
            <w:pPr>
              <w:tabs>
                <w:tab w:val="left" w:pos="162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For plasma proteins with only one SNP, we used the Wald ratio method to estimate the odds change in HSV infection risk for per standard deviation (SD) increment of circulating protein levels as proxied by the IVs. The inverse-variance weighted (IVW) approach was employed to derive the MR effect estimates for proteins that had multiple instruments. Additionally, we supplemented weighted median, simple median, and maximum likelihood method to validate the accuracy of our results, which relied on different assumptions compared to IVW.</w:t>
            </w:r>
          </w:p>
        </w:tc>
      </w:tr>
      <w:tr w14:paraId="383932D9">
        <w:tblPrEx>
          <w:tblCellMar>
            <w:top w:w="0" w:type="dxa"/>
            <w:left w:w="108" w:type="dxa"/>
            <w:bottom w:w="0" w:type="dxa"/>
            <w:right w:w="108" w:type="dxa"/>
          </w:tblCellMar>
        </w:tblPrEx>
        <w:tc>
          <w:tcPr>
            <w:tcW w:w="587" w:type="dxa"/>
            <w:shd w:val="clear" w:color="auto" w:fill="auto"/>
          </w:tcPr>
          <w:p w14:paraId="1A4621B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14:paraId="0F88F25B">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14:paraId="13C6445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Pr>
          <w:p w14:paraId="229BFDFD">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To further account for potential pleiotropy, series sensitivity analyses were performed. Cochran's Q test quantified the heterogeneity of the IVs, with Cochran’s Q-derived P &lt; 0.05 indicating the presence of heterogeneity. If heterogeneity was detected, the random-effect IVW method was utilized. MR-Egger method was used as a weighted linear regression with intercepts to assess the presence of horizontal pleiotropy among the IVs. A P value of the MR-Egger intercept of more than 0.05 indicates no horizontal pleiotropic effects.</w:t>
            </w:r>
          </w:p>
        </w:tc>
      </w:tr>
      <w:tr w14:paraId="55C7A410">
        <w:tblPrEx>
          <w:tblCellMar>
            <w:top w:w="0" w:type="dxa"/>
            <w:left w:w="108" w:type="dxa"/>
            <w:bottom w:w="0" w:type="dxa"/>
            <w:right w:w="108" w:type="dxa"/>
          </w:tblCellMar>
        </w:tblPrEx>
        <w:tc>
          <w:tcPr>
            <w:tcW w:w="587" w:type="dxa"/>
            <w:shd w:val="clear" w:color="auto" w:fill="EEEEEE"/>
          </w:tcPr>
          <w:p w14:paraId="056075DE">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14:paraId="6096809E">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14:paraId="08D1055E">
            <w:pPr>
              <w:spacing w:before="96" w:beforeLines="40" w:after="96" w:afterLines="40" w:line="24" w:lineRule="atLeast"/>
              <w:rPr>
                <w:rFonts w:eastAsia="Cambria"/>
                <w:sz w:val="18"/>
                <w:szCs w:val="18"/>
                <w:lang w:val="en-GB" w:eastAsia="en-US"/>
              </w:rPr>
            </w:pPr>
          </w:p>
        </w:tc>
        <w:tc>
          <w:tcPr>
            <w:tcW w:w="720" w:type="dxa"/>
            <w:shd w:val="clear" w:color="auto" w:fill="EEEEEE"/>
          </w:tcPr>
          <w:p w14:paraId="721E714E">
            <w:pPr>
              <w:spacing w:before="96" w:beforeLines="40" w:after="96" w:afterLines="40" w:line="24" w:lineRule="atLeast"/>
              <w:rPr>
                <w:rFonts w:eastAsia="Cambria"/>
                <w:sz w:val="18"/>
                <w:szCs w:val="18"/>
                <w:lang w:val="en-GB" w:eastAsia="en-US"/>
              </w:rPr>
            </w:pPr>
          </w:p>
        </w:tc>
        <w:tc>
          <w:tcPr>
            <w:tcW w:w="4320" w:type="dxa"/>
            <w:shd w:val="clear" w:color="auto" w:fill="EEEEEE"/>
          </w:tcPr>
          <w:p w14:paraId="495710C0">
            <w:pPr>
              <w:spacing w:before="96" w:beforeLines="40" w:after="96" w:afterLines="40" w:line="24" w:lineRule="atLeast"/>
              <w:rPr>
                <w:rFonts w:eastAsia="Cambria"/>
                <w:sz w:val="18"/>
                <w:szCs w:val="18"/>
                <w:lang w:val="en-GB" w:eastAsia="en-US"/>
              </w:rPr>
            </w:pPr>
          </w:p>
        </w:tc>
      </w:tr>
      <w:tr w14:paraId="5EA9EBD1">
        <w:tblPrEx>
          <w:tblCellMar>
            <w:top w:w="0" w:type="dxa"/>
            <w:left w:w="108" w:type="dxa"/>
            <w:bottom w:w="0" w:type="dxa"/>
            <w:right w:w="108" w:type="dxa"/>
          </w:tblCellMar>
        </w:tblPrEx>
        <w:tc>
          <w:tcPr>
            <w:tcW w:w="587" w:type="dxa"/>
            <w:shd w:val="clear" w:color="auto" w:fill="auto"/>
          </w:tcPr>
          <w:p w14:paraId="66EDED80">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0BD32B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054FBA47">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14:paraId="305BB821">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7</w:t>
            </w:r>
          </w:p>
        </w:tc>
        <w:tc>
          <w:tcPr>
            <w:tcW w:w="4320" w:type="dxa"/>
          </w:tcPr>
          <w:p w14:paraId="79626260">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The analyses in this research were conducted using R software version 4.1.3 with the 'TwoSampleMR' package (version 0.5.8). </w:t>
            </w:r>
          </w:p>
        </w:tc>
      </w:tr>
      <w:tr w14:paraId="6A631D93">
        <w:tblPrEx>
          <w:tblCellMar>
            <w:top w:w="0" w:type="dxa"/>
            <w:left w:w="108" w:type="dxa"/>
            <w:bottom w:w="0" w:type="dxa"/>
            <w:right w:w="108" w:type="dxa"/>
          </w:tblCellMar>
        </w:tblPrEx>
        <w:tc>
          <w:tcPr>
            <w:tcW w:w="587" w:type="dxa"/>
            <w:tcBorders>
              <w:bottom w:val="single" w:color="7F7F7F" w:sz="6" w:space="0"/>
            </w:tcBorders>
            <w:shd w:val="clear" w:color="auto" w:fill="EEEEEE"/>
          </w:tcPr>
          <w:p w14:paraId="37C88958">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2349B55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14:paraId="5DBE58D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14:paraId="2325504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tcBorders>
              <w:bottom w:val="single" w:color="7F7F7F" w:sz="6" w:space="0"/>
            </w:tcBorders>
            <w:shd w:val="clear" w:color="auto" w:fill="EEEEEE"/>
          </w:tcPr>
          <w:p w14:paraId="3EFCD23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040F15E5">
        <w:tblPrEx>
          <w:tblCellMar>
            <w:top w:w="0" w:type="dxa"/>
            <w:left w:w="108" w:type="dxa"/>
            <w:bottom w:w="0" w:type="dxa"/>
            <w:right w:w="108" w:type="dxa"/>
          </w:tblCellMar>
        </w:tblPrEx>
        <w:tc>
          <w:tcPr>
            <w:tcW w:w="587" w:type="dxa"/>
            <w:tcBorders>
              <w:top w:val="single" w:color="7F7F7F" w:sz="6" w:space="0"/>
            </w:tcBorders>
            <w:shd w:val="clear" w:color="auto" w:fill="auto"/>
          </w:tcPr>
          <w:p w14:paraId="777278B3">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7D8D653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14:paraId="34719287">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0E355A6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33E956D1">
            <w:pPr>
              <w:spacing w:before="96" w:beforeLines="40" w:after="96" w:afterLines="40" w:line="24" w:lineRule="atLeast"/>
              <w:rPr>
                <w:rFonts w:eastAsia="Cambria"/>
                <w:sz w:val="18"/>
                <w:szCs w:val="18"/>
                <w:lang w:val="en-GB" w:eastAsia="en-US"/>
              </w:rPr>
            </w:pPr>
          </w:p>
        </w:tc>
      </w:tr>
      <w:tr w14:paraId="67F47EED">
        <w:tblPrEx>
          <w:tblCellMar>
            <w:top w:w="0" w:type="dxa"/>
            <w:left w:w="108" w:type="dxa"/>
            <w:bottom w:w="0" w:type="dxa"/>
            <w:right w:w="108" w:type="dxa"/>
          </w:tblCellMar>
        </w:tblPrEx>
        <w:tc>
          <w:tcPr>
            <w:tcW w:w="587" w:type="dxa"/>
            <w:shd w:val="clear" w:color="auto" w:fill="EEEEEE"/>
          </w:tcPr>
          <w:p w14:paraId="51C7A54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14:paraId="731D0370">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14:paraId="3B19CDAF">
            <w:pPr>
              <w:spacing w:before="96" w:beforeLines="40" w:after="96" w:afterLines="40" w:line="24" w:lineRule="atLeast"/>
              <w:rPr>
                <w:rFonts w:eastAsia="Cambria"/>
                <w:sz w:val="18"/>
                <w:szCs w:val="18"/>
                <w:lang w:val="en-GB" w:eastAsia="en-US"/>
              </w:rPr>
            </w:pPr>
          </w:p>
        </w:tc>
        <w:tc>
          <w:tcPr>
            <w:tcW w:w="720" w:type="dxa"/>
            <w:shd w:val="clear" w:color="auto" w:fill="EEEEEE"/>
          </w:tcPr>
          <w:p w14:paraId="1091FF57">
            <w:pPr>
              <w:spacing w:before="96" w:beforeLines="40" w:after="96" w:afterLines="40" w:line="24" w:lineRule="atLeast"/>
              <w:rPr>
                <w:rFonts w:eastAsia="Cambria"/>
                <w:sz w:val="18"/>
                <w:szCs w:val="18"/>
                <w:lang w:val="en-GB" w:eastAsia="en-US"/>
              </w:rPr>
            </w:pPr>
          </w:p>
        </w:tc>
        <w:tc>
          <w:tcPr>
            <w:tcW w:w="4320" w:type="dxa"/>
            <w:shd w:val="clear" w:color="auto" w:fill="EEEEEE"/>
          </w:tcPr>
          <w:p w14:paraId="4B684E79">
            <w:pPr>
              <w:spacing w:before="96" w:beforeLines="40" w:after="96" w:afterLines="40" w:line="24" w:lineRule="atLeast"/>
              <w:rPr>
                <w:rFonts w:eastAsia="Cambria"/>
                <w:sz w:val="18"/>
                <w:szCs w:val="18"/>
                <w:lang w:val="en-GB" w:eastAsia="en-US"/>
              </w:rPr>
            </w:pPr>
          </w:p>
        </w:tc>
      </w:tr>
      <w:tr w14:paraId="6CA228D1">
        <w:tblPrEx>
          <w:tblCellMar>
            <w:top w:w="0" w:type="dxa"/>
            <w:left w:w="108" w:type="dxa"/>
            <w:bottom w:w="0" w:type="dxa"/>
            <w:right w:w="108" w:type="dxa"/>
          </w:tblCellMar>
        </w:tblPrEx>
        <w:tc>
          <w:tcPr>
            <w:tcW w:w="587" w:type="dxa"/>
            <w:shd w:val="clear" w:color="auto" w:fill="auto"/>
          </w:tcPr>
          <w:p w14:paraId="29B6277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C1499C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4D5C652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14:paraId="7AF8CC2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1</w:t>
            </w:r>
          </w:p>
        </w:tc>
        <w:tc>
          <w:tcPr>
            <w:tcW w:w="4320" w:type="dxa"/>
          </w:tcPr>
          <w:p w14:paraId="00D65497">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Figure 1</w:t>
            </w:r>
          </w:p>
        </w:tc>
      </w:tr>
      <w:tr w14:paraId="0765C344">
        <w:tblPrEx>
          <w:tblCellMar>
            <w:top w:w="0" w:type="dxa"/>
            <w:left w:w="108" w:type="dxa"/>
            <w:bottom w:w="0" w:type="dxa"/>
            <w:right w:w="108" w:type="dxa"/>
          </w:tblCellMar>
        </w:tblPrEx>
        <w:tc>
          <w:tcPr>
            <w:tcW w:w="587" w:type="dxa"/>
            <w:shd w:val="clear" w:color="auto" w:fill="EEEEEE"/>
          </w:tcPr>
          <w:p w14:paraId="2404BFFB">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545C2F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5491A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03BBA61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Table S3</w:t>
            </w:r>
          </w:p>
        </w:tc>
        <w:tc>
          <w:tcPr>
            <w:tcW w:w="4320" w:type="dxa"/>
            <w:shd w:val="clear" w:color="auto" w:fill="EEEEEE"/>
          </w:tcPr>
          <w:p w14:paraId="0FD9D468">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Table S3</w:t>
            </w:r>
          </w:p>
        </w:tc>
      </w:tr>
      <w:tr w14:paraId="48F10342">
        <w:tblPrEx>
          <w:tblCellMar>
            <w:top w:w="0" w:type="dxa"/>
            <w:left w:w="108" w:type="dxa"/>
            <w:bottom w:w="0" w:type="dxa"/>
            <w:right w:w="108" w:type="dxa"/>
          </w:tblCellMar>
        </w:tblPrEx>
        <w:tc>
          <w:tcPr>
            <w:tcW w:w="587" w:type="dxa"/>
            <w:shd w:val="clear" w:color="auto" w:fill="auto"/>
          </w:tcPr>
          <w:p w14:paraId="6600AF43">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35099F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062EB56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tcPr>
          <w:p w14:paraId="449D40F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51930A8C">
        <w:tblPrEx>
          <w:tblCellMar>
            <w:top w:w="0" w:type="dxa"/>
            <w:left w:w="108" w:type="dxa"/>
            <w:bottom w:w="0" w:type="dxa"/>
            <w:right w:w="108" w:type="dxa"/>
          </w:tblCellMar>
        </w:tblPrEx>
        <w:tc>
          <w:tcPr>
            <w:tcW w:w="587" w:type="dxa"/>
            <w:shd w:val="clear" w:color="auto" w:fill="EEEEEE"/>
          </w:tcPr>
          <w:p w14:paraId="6116DD9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53F787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2EFD572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14:paraId="48065368">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14:paraId="35BA928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shd w:val="clear" w:color="auto" w:fill="EEEEEE"/>
          </w:tcPr>
          <w:p w14:paraId="5B2A1A71">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We selected a total 5,952 SNPs as IVs for 1,949 proteins, with F-statistic value &gt; 10, suggesting that no weak instrument effect on the association between proteins with HSV infection</w:t>
            </w:r>
            <w:r>
              <w:rPr>
                <w:rFonts w:hint="eastAsia" w:eastAsia="宋体"/>
                <w:sz w:val="18"/>
                <w:szCs w:val="18"/>
                <w:lang w:val="en-US" w:eastAsia="zh-CN"/>
              </w:rPr>
              <w:t>.</w:t>
            </w:r>
          </w:p>
        </w:tc>
      </w:tr>
      <w:tr w14:paraId="52CFCA59">
        <w:tblPrEx>
          <w:tblCellMar>
            <w:top w:w="0" w:type="dxa"/>
            <w:left w:w="108" w:type="dxa"/>
            <w:bottom w:w="0" w:type="dxa"/>
            <w:right w:w="108" w:type="dxa"/>
          </w:tblCellMar>
        </w:tblPrEx>
        <w:tc>
          <w:tcPr>
            <w:tcW w:w="587" w:type="dxa"/>
            <w:shd w:val="clear" w:color="auto" w:fill="auto"/>
          </w:tcPr>
          <w:p w14:paraId="110872B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14:paraId="0C26298F">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14:paraId="2F14FA37">
            <w:pPr>
              <w:spacing w:before="96" w:beforeLines="40" w:after="96" w:afterLines="40" w:line="24" w:lineRule="atLeast"/>
              <w:rPr>
                <w:rFonts w:eastAsia="Cambria"/>
                <w:sz w:val="18"/>
                <w:szCs w:val="18"/>
                <w:lang w:val="en-GB" w:eastAsia="en-US"/>
              </w:rPr>
            </w:pPr>
          </w:p>
        </w:tc>
        <w:tc>
          <w:tcPr>
            <w:tcW w:w="720" w:type="dxa"/>
          </w:tcPr>
          <w:p w14:paraId="035B3367">
            <w:pPr>
              <w:spacing w:before="96" w:beforeLines="40" w:after="96" w:afterLines="40" w:line="24" w:lineRule="atLeast"/>
              <w:rPr>
                <w:rFonts w:eastAsia="Cambria"/>
                <w:sz w:val="18"/>
                <w:szCs w:val="18"/>
                <w:lang w:val="en-GB" w:eastAsia="en-US"/>
              </w:rPr>
            </w:pPr>
          </w:p>
        </w:tc>
        <w:tc>
          <w:tcPr>
            <w:tcW w:w="4320" w:type="dxa"/>
          </w:tcPr>
          <w:p w14:paraId="0AFA0083">
            <w:pPr>
              <w:spacing w:before="96" w:beforeLines="40" w:after="96" w:afterLines="40" w:line="24" w:lineRule="atLeast"/>
              <w:rPr>
                <w:rFonts w:eastAsia="Cambria"/>
                <w:sz w:val="18"/>
                <w:szCs w:val="18"/>
                <w:lang w:val="en-GB" w:eastAsia="en-US"/>
              </w:rPr>
            </w:pPr>
          </w:p>
        </w:tc>
      </w:tr>
      <w:tr w14:paraId="56845A2A">
        <w:tblPrEx>
          <w:tblCellMar>
            <w:top w:w="0" w:type="dxa"/>
            <w:left w:w="108" w:type="dxa"/>
            <w:bottom w:w="0" w:type="dxa"/>
            <w:right w:w="108" w:type="dxa"/>
          </w:tblCellMar>
        </w:tblPrEx>
        <w:tc>
          <w:tcPr>
            <w:tcW w:w="587" w:type="dxa"/>
            <w:shd w:val="clear" w:color="auto" w:fill="EEEEEE"/>
          </w:tcPr>
          <w:p w14:paraId="0892A548">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CDB72A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09CB478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shd w:val="clear" w:color="auto" w:fill="EEEEEE"/>
          </w:tcPr>
          <w:p w14:paraId="7BCA1C07">
            <w:pPr>
              <w:spacing w:before="96" w:beforeLines="40" w:after="96" w:afterLines="40" w:line="24" w:lineRule="atLeast"/>
              <w:rPr>
                <w:rFonts w:eastAsia="Times New Roman"/>
                <w:sz w:val="18"/>
                <w:szCs w:val="18"/>
                <w:lang w:val="en-GB" w:eastAsia="en-GB"/>
              </w:rPr>
            </w:pPr>
            <w:r>
              <w:rPr>
                <w:rFonts w:hint="default" w:ascii="Arial" w:hAnsi="Arial" w:eastAsia="ArialMT" w:cs="Arial"/>
                <w:b w:val="0"/>
                <w:bCs w:val="0"/>
                <w:color w:val="000000"/>
                <w:sz w:val="18"/>
                <w:szCs w:val="18"/>
              </w:rPr>
              <w:t xml:space="preserve">IVW method showed a association between </w:t>
            </w:r>
            <w:r>
              <w:rPr>
                <w:rFonts w:hint="eastAsia" w:ascii="Arial" w:hAnsi="Arial" w:eastAsia="宋体" w:cs="Arial"/>
                <w:b w:val="0"/>
                <w:bCs w:val="0"/>
                <w:color w:val="000000"/>
                <w:sz w:val="18"/>
                <w:szCs w:val="18"/>
                <w:lang w:val="en-US" w:eastAsia="zh-CN"/>
              </w:rPr>
              <w:t xml:space="preserve">plasma proteins </w:t>
            </w:r>
            <w:r>
              <w:rPr>
                <w:rFonts w:hint="default" w:ascii="Arial" w:hAnsi="Arial" w:eastAsia="ArialMT" w:cs="Arial"/>
                <w:b w:val="0"/>
                <w:bCs w:val="0"/>
                <w:color w:val="000000"/>
                <w:sz w:val="18"/>
                <w:szCs w:val="18"/>
              </w:rPr>
              <w:t xml:space="preserve">and </w:t>
            </w:r>
            <w:r>
              <w:rPr>
                <w:rFonts w:hint="eastAsia" w:ascii="Arial" w:hAnsi="Arial" w:eastAsia="宋体" w:cs="Arial"/>
                <w:b w:val="0"/>
                <w:bCs w:val="0"/>
                <w:color w:val="000000"/>
                <w:sz w:val="18"/>
                <w:szCs w:val="18"/>
                <w:lang w:val="en-US" w:eastAsia="zh-CN"/>
              </w:rPr>
              <w:t>HSV infection</w:t>
            </w:r>
            <w:r>
              <w:rPr>
                <w:rFonts w:hint="default" w:ascii="Arial" w:hAnsi="Arial" w:eastAsia="ArialMT" w:cs="Arial"/>
                <w:b w:val="0"/>
                <w:bCs w:val="0"/>
                <w:color w:val="000000"/>
                <w:sz w:val="18"/>
                <w:szCs w:val="18"/>
              </w:rPr>
              <w:t xml:space="preserve"> risk.</w:t>
            </w:r>
          </w:p>
        </w:tc>
      </w:tr>
      <w:tr w14:paraId="2FAEFE68">
        <w:tblPrEx>
          <w:tblCellMar>
            <w:top w:w="0" w:type="dxa"/>
            <w:left w:w="108" w:type="dxa"/>
            <w:bottom w:w="0" w:type="dxa"/>
            <w:right w:w="108" w:type="dxa"/>
          </w:tblCellMar>
        </w:tblPrEx>
        <w:tc>
          <w:tcPr>
            <w:tcW w:w="587" w:type="dxa"/>
            <w:shd w:val="clear" w:color="auto" w:fill="auto"/>
          </w:tcPr>
          <w:p w14:paraId="2E83DFB7">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42A3CE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336E75EE">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1E1B567F">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8</w:t>
            </w:r>
          </w:p>
        </w:tc>
        <w:tc>
          <w:tcPr>
            <w:tcW w:w="4320" w:type="dxa"/>
          </w:tcPr>
          <w:p w14:paraId="4564CEDB">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Especially, genetically predicted higher levels of HLA class I histocompatibility antigen, alpha chain E (HLA-E) were significantly associated with an increased risk of HSV infection (OR = 1.39, 95% CI: 1.17-1.65, P = 2.13×10-4, PFDR = 0.098) using IVW method.</w:t>
            </w:r>
          </w:p>
        </w:tc>
      </w:tr>
      <w:tr w14:paraId="1FAC379E">
        <w:tblPrEx>
          <w:tblCellMar>
            <w:top w:w="0" w:type="dxa"/>
            <w:left w:w="108" w:type="dxa"/>
            <w:bottom w:w="0" w:type="dxa"/>
            <w:right w:w="108" w:type="dxa"/>
          </w:tblCellMar>
        </w:tblPrEx>
        <w:tc>
          <w:tcPr>
            <w:tcW w:w="587" w:type="dxa"/>
            <w:shd w:val="clear" w:color="auto" w:fill="EEEEEE"/>
          </w:tcPr>
          <w:p w14:paraId="6762B88A">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14E816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4BC6AB7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shd w:val="clear" w:color="auto" w:fill="EEEEEE"/>
          </w:tcPr>
          <w:p w14:paraId="4A2216F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00F87C74">
        <w:tblPrEx>
          <w:tblCellMar>
            <w:top w:w="0" w:type="dxa"/>
            <w:left w:w="108" w:type="dxa"/>
            <w:bottom w:w="0" w:type="dxa"/>
            <w:right w:w="108" w:type="dxa"/>
          </w:tblCellMar>
        </w:tblPrEx>
        <w:tc>
          <w:tcPr>
            <w:tcW w:w="587" w:type="dxa"/>
            <w:shd w:val="clear" w:color="auto" w:fill="auto"/>
          </w:tcPr>
          <w:p w14:paraId="2CDE5DE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9C50E8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47CC3AC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Figure 2</w:t>
            </w:r>
          </w:p>
        </w:tc>
        <w:tc>
          <w:tcPr>
            <w:tcW w:w="4320" w:type="dxa"/>
          </w:tcPr>
          <w:p w14:paraId="7B9F0A4D">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Figure 2</w:t>
            </w:r>
          </w:p>
        </w:tc>
      </w:tr>
      <w:tr w14:paraId="62E6DFEA">
        <w:tblPrEx>
          <w:tblCellMar>
            <w:top w:w="0" w:type="dxa"/>
            <w:left w:w="108" w:type="dxa"/>
            <w:bottom w:w="0" w:type="dxa"/>
            <w:right w:w="108" w:type="dxa"/>
          </w:tblCellMar>
        </w:tblPrEx>
        <w:tc>
          <w:tcPr>
            <w:tcW w:w="587" w:type="dxa"/>
            <w:shd w:val="clear" w:color="auto" w:fill="EEEEEE"/>
          </w:tcPr>
          <w:p w14:paraId="57CB278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14:paraId="27B891DB">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6EC050C1">
            <w:pPr>
              <w:spacing w:before="96" w:beforeLines="40" w:after="96" w:afterLines="40" w:line="24" w:lineRule="atLeast"/>
              <w:rPr>
                <w:rFonts w:eastAsia="Cambria"/>
                <w:sz w:val="18"/>
                <w:szCs w:val="18"/>
                <w:lang w:val="en-GB" w:eastAsia="en-US"/>
              </w:rPr>
            </w:pPr>
          </w:p>
        </w:tc>
        <w:tc>
          <w:tcPr>
            <w:tcW w:w="720" w:type="dxa"/>
            <w:shd w:val="clear" w:color="auto" w:fill="EEEEEE"/>
          </w:tcPr>
          <w:p w14:paraId="3871A389">
            <w:pPr>
              <w:spacing w:before="96" w:beforeLines="40" w:after="96" w:afterLines="40" w:line="24" w:lineRule="atLeast"/>
              <w:rPr>
                <w:rFonts w:eastAsia="Cambria"/>
                <w:sz w:val="18"/>
                <w:szCs w:val="18"/>
                <w:lang w:val="en-GB" w:eastAsia="en-US"/>
              </w:rPr>
            </w:pPr>
          </w:p>
        </w:tc>
        <w:tc>
          <w:tcPr>
            <w:tcW w:w="4320" w:type="dxa"/>
            <w:shd w:val="clear" w:color="auto" w:fill="EEEEEE"/>
          </w:tcPr>
          <w:p w14:paraId="10C8ADE2">
            <w:pPr>
              <w:spacing w:before="96" w:beforeLines="40" w:after="96" w:afterLines="40" w:line="24" w:lineRule="atLeast"/>
              <w:rPr>
                <w:rFonts w:eastAsia="Cambria"/>
                <w:sz w:val="18"/>
                <w:szCs w:val="18"/>
                <w:lang w:val="en-GB" w:eastAsia="en-US"/>
              </w:rPr>
            </w:pPr>
          </w:p>
        </w:tc>
      </w:tr>
      <w:tr w14:paraId="48EE0AFA">
        <w:tblPrEx>
          <w:tblCellMar>
            <w:top w:w="0" w:type="dxa"/>
            <w:left w:w="108" w:type="dxa"/>
            <w:bottom w:w="0" w:type="dxa"/>
            <w:right w:w="108" w:type="dxa"/>
          </w:tblCellMar>
        </w:tblPrEx>
        <w:tc>
          <w:tcPr>
            <w:tcW w:w="587" w:type="dxa"/>
            <w:shd w:val="clear" w:color="auto" w:fill="auto"/>
          </w:tcPr>
          <w:p w14:paraId="4E29121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8A8B0E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1A97B45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14:paraId="6E2D56F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c>
          <w:tcPr>
            <w:tcW w:w="4320" w:type="dxa"/>
          </w:tcPr>
          <w:p w14:paraId="5E7081D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N/A</w:t>
            </w:r>
          </w:p>
        </w:tc>
      </w:tr>
      <w:tr w14:paraId="7BDA55CD">
        <w:tblPrEx>
          <w:tblCellMar>
            <w:top w:w="0" w:type="dxa"/>
            <w:left w:w="108" w:type="dxa"/>
            <w:bottom w:w="0" w:type="dxa"/>
            <w:right w:w="108" w:type="dxa"/>
          </w:tblCellMar>
        </w:tblPrEx>
        <w:tc>
          <w:tcPr>
            <w:tcW w:w="587" w:type="dxa"/>
            <w:shd w:val="clear" w:color="auto" w:fill="EEEEEE"/>
          </w:tcPr>
          <w:p w14:paraId="6F27FA73">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BC0019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0ADD58">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14:paraId="2D6E39C6">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Table S4</w:t>
            </w:r>
          </w:p>
        </w:tc>
        <w:tc>
          <w:tcPr>
            <w:tcW w:w="4320" w:type="dxa"/>
            <w:shd w:val="clear" w:color="auto" w:fill="EEEEEE"/>
          </w:tcPr>
          <w:p w14:paraId="205C4ED8">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Table S4</w:t>
            </w:r>
          </w:p>
        </w:tc>
      </w:tr>
      <w:tr w14:paraId="23F1C43D">
        <w:tblPrEx>
          <w:tblCellMar>
            <w:top w:w="0" w:type="dxa"/>
            <w:left w:w="108" w:type="dxa"/>
            <w:bottom w:w="0" w:type="dxa"/>
            <w:right w:w="108" w:type="dxa"/>
          </w:tblCellMar>
        </w:tblPrEx>
        <w:tc>
          <w:tcPr>
            <w:tcW w:w="587" w:type="dxa"/>
            <w:shd w:val="clear" w:color="auto" w:fill="auto"/>
          </w:tcPr>
          <w:p w14:paraId="021A9BB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14:paraId="51D3F02D">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14:paraId="4AB1D97F">
            <w:pPr>
              <w:spacing w:before="96" w:beforeLines="40" w:after="96" w:afterLines="40" w:line="24" w:lineRule="atLeast"/>
              <w:rPr>
                <w:rFonts w:eastAsia="Cambria"/>
                <w:sz w:val="18"/>
                <w:szCs w:val="18"/>
                <w:lang w:val="en-GB" w:eastAsia="en-US"/>
              </w:rPr>
            </w:pPr>
          </w:p>
        </w:tc>
        <w:tc>
          <w:tcPr>
            <w:tcW w:w="720" w:type="dxa"/>
          </w:tcPr>
          <w:p w14:paraId="50481D19">
            <w:pPr>
              <w:spacing w:before="96" w:beforeLines="40" w:after="96" w:afterLines="40" w:line="24" w:lineRule="atLeast"/>
              <w:rPr>
                <w:rFonts w:eastAsia="Cambria"/>
                <w:sz w:val="18"/>
                <w:szCs w:val="18"/>
                <w:lang w:val="en-GB" w:eastAsia="en-US"/>
              </w:rPr>
            </w:pPr>
          </w:p>
        </w:tc>
        <w:tc>
          <w:tcPr>
            <w:tcW w:w="4320" w:type="dxa"/>
          </w:tcPr>
          <w:p w14:paraId="0F2C43F0">
            <w:pPr>
              <w:spacing w:before="96" w:beforeLines="40" w:after="96" w:afterLines="40" w:line="24" w:lineRule="atLeast"/>
              <w:rPr>
                <w:rFonts w:eastAsia="Cambria"/>
                <w:sz w:val="18"/>
                <w:szCs w:val="18"/>
                <w:lang w:val="en-GB" w:eastAsia="en-US"/>
              </w:rPr>
            </w:pPr>
          </w:p>
        </w:tc>
      </w:tr>
      <w:tr w14:paraId="1ABE2F1D">
        <w:tblPrEx>
          <w:tblCellMar>
            <w:top w:w="0" w:type="dxa"/>
            <w:left w:w="108" w:type="dxa"/>
            <w:bottom w:w="0" w:type="dxa"/>
            <w:right w:w="108" w:type="dxa"/>
          </w:tblCellMar>
        </w:tblPrEx>
        <w:tc>
          <w:tcPr>
            <w:tcW w:w="587" w:type="dxa"/>
            <w:shd w:val="clear" w:color="auto" w:fill="EEEEEE"/>
          </w:tcPr>
          <w:p w14:paraId="0D022F9B">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7E8FFD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30AA926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8-9</w:t>
            </w:r>
          </w:p>
        </w:tc>
        <w:tc>
          <w:tcPr>
            <w:tcW w:w="4320" w:type="dxa"/>
            <w:shd w:val="clear" w:color="auto" w:fill="EEEEEE"/>
          </w:tcPr>
          <w:p w14:paraId="73386906">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association were similarly found by the weighted median method (OR = 1.40; 95% CI: 1.17-1.69; P = 3.42×10-4) and maximum-likelihood method (OR = 1.39; 95% CI: 1.17-1.65; P = 2.19×10-4).</w:t>
            </w:r>
          </w:p>
        </w:tc>
      </w:tr>
      <w:tr w14:paraId="3696A9F1">
        <w:tblPrEx>
          <w:tblCellMar>
            <w:top w:w="0" w:type="dxa"/>
            <w:left w:w="108" w:type="dxa"/>
            <w:bottom w:w="0" w:type="dxa"/>
            <w:right w:w="108" w:type="dxa"/>
          </w:tblCellMar>
        </w:tblPrEx>
        <w:tc>
          <w:tcPr>
            <w:tcW w:w="587" w:type="dxa"/>
            <w:shd w:val="clear" w:color="auto" w:fill="auto"/>
          </w:tcPr>
          <w:p w14:paraId="0D2234E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453E1FF">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111E54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14:paraId="447F5BF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8-9</w:t>
            </w:r>
          </w:p>
        </w:tc>
        <w:tc>
          <w:tcPr>
            <w:tcW w:w="4320" w:type="dxa"/>
          </w:tcPr>
          <w:p w14:paraId="5BB83735">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Furthermore, no significant heterogeneity (Pheterogeneity &gt; 0.05) or pleiotropy (Ppleiotropy &gt; 0.05) was observed in any of the results. </w:t>
            </w:r>
          </w:p>
        </w:tc>
      </w:tr>
      <w:tr w14:paraId="1650BAB8">
        <w:tblPrEx>
          <w:tblCellMar>
            <w:top w:w="0" w:type="dxa"/>
            <w:left w:w="108" w:type="dxa"/>
            <w:bottom w:w="0" w:type="dxa"/>
            <w:right w:w="108" w:type="dxa"/>
          </w:tblCellMar>
        </w:tblPrEx>
        <w:tc>
          <w:tcPr>
            <w:tcW w:w="587" w:type="dxa"/>
            <w:shd w:val="clear" w:color="auto" w:fill="EEEEEE"/>
          </w:tcPr>
          <w:p w14:paraId="4D025CC4">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EAD995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14E0FCD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c>
          <w:tcPr>
            <w:tcW w:w="4320" w:type="dxa"/>
            <w:shd w:val="clear" w:color="auto" w:fill="EEEEEE"/>
          </w:tcPr>
          <w:p w14:paraId="66751F07">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r>
      <w:tr w14:paraId="2034ACF7">
        <w:tblPrEx>
          <w:tblCellMar>
            <w:top w:w="0" w:type="dxa"/>
            <w:left w:w="108" w:type="dxa"/>
            <w:bottom w:w="0" w:type="dxa"/>
            <w:right w:w="108" w:type="dxa"/>
          </w:tblCellMar>
        </w:tblPrEx>
        <w:tc>
          <w:tcPr>
            <w:tcW w:w="587" w:type="dxa"/>
            <w:shd w:val="clear" w:color="auto" w:fill="auto"/>
          </w:tcPr>
          <w:p w14:paraId="3217ECE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AE90FE5">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3A13AF3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14:paraId="528F9F4C">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c>
          <w:tcPr>
            <w:tcW w:w="4320" w:type="dxa"/>
          </w:tcPr>
          <w:p w14:paraId="7B882C5B">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r>
      <w:tr w14:paraId="3E7CFBFC">
        <w:tblPrEx>
          <w:tblCellMar>
            <w:top w:w="0" w:type="dxa"/>
            <w:left w:w="108" w:type="dxa"/>
            <w:bottom w:w="0" w:type="dxa"/>
            <w:right w:w="108" w:type="dxa"/>
          </w:tblCellMar>
        </w:tblPrEx>
        <w:tc>
          <w:tcPr>
            <w:tcW w:w="587" w:type="dxa"/>
            <w:tcBorders>
              <w:bottom w:val="single" w:color="7F7F7F" w:sz="6" w:space="0"/>
            </w:tcBorders>
            <w:shd w:val="clear" w:color="auto" w:fill="EEEEEE"/>
          </w:tcPr>
          <w:p w14:paraId="1FDC421F">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5FE1503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14:paraId="61CE32BA">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14:paraId="33892A62">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c>
          <w:tcPr>
            <w:tcW w:w="4320" w:type="dxa"/>
            <w:tcBorders>
              <w:bottom w:val="single" w:color="7F7F7F" w:sz="6" w:space="0"/>
            </w:tcBorders>
            <w:shd w:val="clear" w:color="auto" w:fill="EEEEEE"/>
          </w:tcPr>
          <w:p w14:paraId="03A6AB93">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N/A</w:t>
            </w:r>
          </w:p>
        </w:tc>
      </w:tr>
      <w:tr w14:paraId="5B7D2773">
        <w:tblPrEx>
          <w:tblCellMar>
            <w:top w:w="0" w:type="dxa"/>
            <w:left w:w="108" w:type="dxa"/>
            <w:bottom w:w="0" w:type="dxa"/>
            <w:right w:w="108" w:type="dxa"/>
          </w:tblCellMar>
        </w:tblPrEx>
        <w:tc>
          <w:tcPr>
            <w:tcW w:w="587" w:type="dxa"/>
            <w:tcBorders>
              <w:top w:val="single" w:color="7F7F7F" w:sz="6" w:space="0"/>
            </w:tcBorders>
            <w:shd w:val="clear" w:color="auto" w:fill="auto"/>
          </w:tcPr>
          <w:p w14:paraId="5BDBDA65">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1C564B75">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14:paraId="35997729">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1AAD7FFB">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2AE3A897">
            <w:pPr>
              <w:spacing w:before="96" w:beforeLines="40" w:after="96" w:afterLines="40" w:line="24" w:lineRule="atLeast"/>
              <w:rPr>
                <w:rFonts w:eastAsia="Cambria"/>
                <w:sz w:val="18"/>
                <w:szCs w:val="18"/>
                <w:lang w:val="en-GB" w:eastAsia="en-US"/>
              </w:rPr>
            </w:pPr>
          </w:p>
        </w:tc>
      </w:tr>
      <w:tr w14:paraId="1800AF05">
        <w:tblPrEx>
          <w:tblCellMar>
            <w:top w:w="0" w:type="dxa"/>
            <w:left w:w="108" w:type="dxa"/>
            <w:bottom w:w="0" w:type="dxa"/>
            <w:right w:w="108" w:type="dxa"/>
          </w:tblCellMar>
        </w:tblPrEx>
        <w:tc>
          <w:tcPr>
            <w:tcW w:w="587" w:type="dxa"/>
            <w:shd w:val="clear" w:color="auto" w:fill="EEEEEE"/>
          </w:tcPr>
          <w:p w14:paraId="6B5F5286">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14:paraId="42EDC029">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14:paraId="35F1CAD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14:paraId="2C7117B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9-10</w:t>
            </w:r>
          </w:p>
        </w:tc>
        <w:tc>
          <w:tcPr>
            <w:tcW w:w="4320" w:type="dxa"/>
            <w:shd w:val="clear" w:color="auto" w:fill="EEEEEE"/>
          </w:tcPr>
          <w:p w14:paraId="70F1DDE7">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Our findings revealed that genetically predicted levels of 54 plasma proteins exhibited a potentially positive association with HSV infection, while 48 plasma proteins showed a potentially negative association. Particularly, we found HLA-E might significant associated with HSV infection while ULBP2 was associated with lower risk of HSV infection.</w:t>
            </w:r>
          </w:p>
        </w:tc>
      </w:tr>
      <w:tr w14:paraId="06BFAFA4">
        <w:tblPrEx>
          <w:tblCellMar>
            <w:top w:w="0" w:type="dxa"/>
            <w:left w:w="108" w:type="dxa"/>
            <w:bottom w:w="0" w:type="dxa"/>
            <w:right w:w="108" w:type="dxa"/>
          </w:tblCellMar>
        </w:tblPrEx>
        <w:tc>
          <w:tcPr>
            <w:tcW w:w="587" w:type="dxa"/>
            <w:shd w:val="clear" w:color="auto" w:fill="auto"/>
          </w:tcPr>
          <w:p w14:paraId="6D471CC5">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14:paraId="5C27961E">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14:paraId="75B6F41B">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14:paraId="201D428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12-13</w:t>
            </w:r>
          </w:p>
        </w:tc>
        <w:tc>
          <w:tcPr>
            <w:tcW w:w="4320" w:type="dxa"/>
          </w:tcPr>
          <w:p w14:paraId="7CB4BA33">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However, our research has certain limitations. Initially, it's worth noting that this study draws from a European database, which may constrain the generalizability of its findings to the broader human population. </w:t>
            </w:r>
          </w:p>
        </w:tc>
      </w:tr>
      <w:tr w14:paraId="71F8B8B5">
        <w:tblPrEx>
          <w:tblCellMar>
            <w:top w:w="0" w:type="dxa"/>
            <w:left w:w="108" w:type="dxa"/>
            <w:bottom w:w="0" w:type="dxa"/>
            <w:right w:w="108" w:type="dxa"/>
          </w:tblCellMar>
        </w:tblPrEx>
        <w:tc>
          <w:tcPr>
            <w:tcW w:w="587" w:type="dxa"/>
            <w:shd w:val="clear" w:color="auto" w:fill="EEEEEE"/>
          </w:tcPr>
          <w:p w14:paraId="02C1D59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14:paraId="612AA484">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14:paraId="3BF6466E">
            <w:pPr>
              <w:spacing w:before="96" w:beforeLines="40" w:after="96" w:afterLines="40" w:line="24" w:lineRule="atLeast"/>
              <w:rPr>
                <w:rFonts w:eastAsia="Cambria"/>
                <w:sz w:val="18"/>
                <w:szCs w:val="18"/>
                <w:lang w:val="en-GB" w:eastAsia="en-US"/>
              </w:rPr>
            </w:pPr>
          </w:p>
        </w:tc>
        <w:tc>
          <w:tcPr>
            <w:tcW w:w="720" w:type="dxa"/>
            <w:shd w:val="clear" w:color="auto" w:fill="EEEEEE"/>
          </w:tcPr>
          <w:p w14:paraId="4B5179B2">
            <w:pPr>
              <w:spacing w:before="96" w:beforeLines="40" w:after="96" w:afterLines="40" w:line="24" w:lineRule="atLeast"/>
              <w:rPr>
                <w:rFonts w:hint="eastAsia" w:eastAsia="宋体"/>
                <w:sz w:val="18"/>
                <w:szCs w:val="18"/>
                <w:lang w:val="en-US" w:eastAsia="zh-CN"/>
              </w:rPr>
            </w:pPr>
          </w:p>
        </w:tc>
        <w:tc>
          <w:tcPr>
            <w:tcW w:w="4320" w:type="dxa"/>
            <w:shd w:val="clear" w:color="auto" w:fill="EEEEEE"/>
          </w:tcPr>
          <w:p w14:paraId="1C445080">
            <w:pPr>
              <w:spacing w:before="96" w:beforeLines="40" w:after="96" w:afterLines="40" w:line="24" w:lineRule="atLeast"/>
              <w:rPr>
                <w:rFonts w:eastAsia="Cambria"/>
                <w:sz w:val="18"/>
                <w:szCs w:val="18"/>
                <w:lang w:val="en-GB" w:eastAsia="en-US"/>
              </w:rPr>
            </w:pPr>
          </w:p>
        </w:tc>
      </w:tr>
      <w:tr w14:paraId="62E6D51A">
        <w:tblPrEx>
          <w:tblCellMar>
            <w:top w:w="0" w:type="dxa"/>
            <w:left w:w="108" w:type="dxa"/>
            <w:bottom w:w="0" w:type="dxa"/>
            <w:right w:w="108" w:type="dxa"/>
          </w:tblCellMar>
        </w:tblPrEx>
        <w:tc>
          <w:tcPr>
            <w:tcW w:w="587" w:type="dxa"/>
            <w:shd w:val="clear" w:color="auto" w:fill="auto"/>
          </w:tcPr>
          <w:p w14:paraId="6DD2F448">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0F26A2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7EDF9868">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14:paraId="565CC165">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9</w:t>
            </w:r>
          </w:p>
        </w:tc>
        <w:tc>
          <w:tcPr>
            <w:tcW w:w="4320" w:type="dxa"/>
          </w:tcPr>
          <w:p w14:paraId="5251245C">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This study based on large-scale GWAS data is the first to utilize a series of rigorous analyses including comprehensive MR analysis, and Phe-MR analysis to investigate the potential causal relationships between 1,949 plasma proteins and HSV infection risk. </w:t>
            </w:r>
          </w:p>
        </w:tc>
      </w:tr>
      <w:tr w14:paraId="156B69E5">
        <w:tblPrEx>
          <w:tblCellMar>
            <w:top w:w="0" w:type="dxa"/>
            <w:left w:w="108" w:type="dxa"/>
            <w:bottom w:w="0" w:type="dxa"/>
            <w:right w:w="108" w:type="dxa"/>
          </w:tblCellMar>
        </w:tblPrEx>
        <w:tc>
          <w:tcPr>
            <w:tcW w:w="587" w:type="dxa"/>
            <w:shd w:val="clear" w:color="auto" w:fill="EEEEEE"/>
          </w:tcPr>
          <w:p w14:paraId="4C8A221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A4A5F1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22EB891">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2FA4AA4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10-12</w:t>
            </w:r>
          </w:p>
        </w:tc>
        <w:tc>
          <w:tcPr>
            <w:tcW w:w="4320" w:type="dxa"/>
            <w:shd w:val="clear" w:color="auto" w:fill="EEEEEE"/>
          </w:tcPr>
          <w:p w14:paraId="3A91F000">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According to the preceding evidence, ULBP2 might stimulate NK cells to bolster their ability to identify and eradicate HSV-infected cells which highlights the essential role of ULBP in immune defense mechanisms</w:t>
            </w:r>
            <w:r>
              <w:rPr>
                <w:rFonts w:hint="eastAsia" w:eastAsia="宋体"/>
                <w:sz w:val="18"/>
                <w:szCs w:val="18"/>
                <w:lang w:val="en-US" w:eastAsia="zh-CN"/>
              </w:rPr>
              <w:t>.</w:t>
            </w:r>
          </w:p>
        </w:tc>
      </w:tr>
      <w:tr w14:paraId="203390A0">
        <w:tblPrEx>
          <w:tblCellMar>
            <w:top w:w="0" w:type="dxa"/>
            <w:left w:w="108" w:type="dxa"/>
            <w:bottom w:w="0" w:type="dxa"/>
            <w:right w:w="108" w:type="dxa"/>
          </w:tblCellMar>
        </w:tblPrEx>
        <w:tc>
          <w:tcPr>
            <w:tcW w:w="587" w:type="dxa"/>
            <w:shd w:val="clear" w:color="auto" w:fill="auto"/>
          </w:tcPr>
          <w:p w14:paraId="54CA3A27">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D25BA5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5B6A8315">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14:paraId="32FCF028">
            <w:pPr>
              <w:tabs>
                <w:tab w:val="left" w:pos="1350"/>
              </w:tabs>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13</w:t>
            </w:r>
          </w:p>
        </w:tc>
        <w:tc>
          <w:tcPr>
            <w:tcW w:w="4320" w:type="dxa"/>
          </w:tcPr>
          <w:p w14:paraId="78058AE6">
            <w:pPr>
              <w:tabs>
                <w:tab w:val="left" w:pos="135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These findings offered fresh insights into the biological mechanisms of HSV and support the exploration of early intervention and treatment strategies.</w:t>
            </w:r>
          </w:p>
        </w:tc>
      </w:tr>
      <w:tr w14:paraId="71FDAFC1">
        <w:tblPrEx>
          <w:tblCellMar>
            <w:top w:w="0" w:type="dxa"/>
            <w:left w:w="108" w:type="dxa"/>
            <w:bottom w:w="0" w:type="dxa"/>
            <w:right w:w="108" w:type="dxa"/>
          </w:tblCellMar>
        </w:tblPrEx>
        <w:tc>
          <w:tcPr>
            <w:tcW w:w="587" w:type="dxa"/>
            <w:tcBorders>
              <w:bottom w:val="single" w:color="7F7F7F" w:sz="6" w:space="0"/>
            </w:tcBorders>
            <w:shd w:val="clear" w:color="auto" w:fill="EEEEEE"/>
          </w:tcPr>
          <w:p w14:paraId="7540155A">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14:paraId="3680059F">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14:paraId="68647C3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14:paraId="3ACD3D08">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w:t>
            </w:r>
          </w:p>
        </w:tc>
        <w:tc>
          <w:tcPr>
            <w:tcW w:w="4320" w:type="dxa"/>
            <w:tcBorders>
              <w:bottom w:val="single" w:color="7F7F7F" w:sz="6" w:space="0"/>
            </w:tcBorders>
            <w:shd w:val="clear" w:color="auto" w:fill="EEEEEE"/>
          </w:tcPr>
          <w:p w14:paraId="41ABF5A9">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 Initially, it's worth noting that this study draws from a European database, which may constrain the generalizability of its findings to the broader human population.</w:t>
            </w:r>
          </w:p>
        </w:tc>
      </w:tr>
      <w:tr w14:paraId="57884E75">
        <w:tblPrEx>
          <w:tblCellMar>
            <w:top w:w="0" w:type="dxa"/>
            <w:left w:w="108" w:type="dxa"/>
            <w:bottom w:w="0" w:type="dxa"/>
            <w:right w:w="108" w:type="dxa"/>
          </w:tblCellMar>
        </w:tblPrEx>
        <w:tc>
          <w:tcPr>
            <w:tcW w:w="587" w:type="dxa"/>
            <w:tcBorders>
              <w:top w:val="single" w:color="7F7F7F" w:sz="6" w:space="0"/>
            </w:tcBorders>
            <w:shd w:val="clear" w:color="auto" w:fill="auto"/>
          </w:tcPr>
          <w:p w14:paraId="2C4C694A">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0A6FFE3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14:paraId="0577947E">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7561574C">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3718ED5B">
            <w:pPr>
              <w:spacing w:before="96" w:beforeLines="40" w:after="96" w:afterLines="40" w:line="24" w:lineRule="atLeast"/>
              <w:rPr>
                <w:rFonts w:eastAsia="Cambria"/>
                <w:sz w:val="18"/>
                <w:szCs w:val="18"/>
                <w:lang w:val="en-GB" w:eastAsia="en-US"/>
              </w:rPr>
            </w:pPr>
          </w:p>
        </w:tc>
      </w:tr>
      <w:tr w14:paraId="0014C6D1">
        <w:tblPrEx>
          <w:tblCellMar>
            <w:top w:w="0" w:type="dxa"/>
            <w:left w:w="108" w:type="dxa"/>
            <w:bottom w:w="0" w:type="dxa"/>
            <w:right w:w="108" w:type="dxa"/>
          </w:tblCellMar>
        </w:tblPrEx>
        <w:tc>
          <w:tcPr>
            <w:tcW w:w="587" w:type="dxa"/>
            <w:shd w:val="clear" w:color="auto" w:fill="EEEEEE"/>
          </w:tcPr>
          <w:p w14:paraId="2336D08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14:paraId="08EB4FDF">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14:paraId="4663DCA7">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shd w:val="clear" w:color="auto" w:fill="EEEEEE"/>
          </w:tcPr>
          <w:p w14:paraId="51F7CC2F">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This work was supported by Science and Technology Bureau of Quzhou, Zhejiang, China (Project No. 2023K178).</w:t>
            </w:r>
          </w:p>
        </w:tc>
      </w:tr>
      <w:tr w14:paraId="1B22CB41">
        <w:tblPrEx>
          <w:tblCellMar>
            <w:top w:w="0" w:type="dxa"/>
            <w:left w:w="108" w:type="dxa"/>
            <w:bottom w:w="0" w:type="dxa"/>
            <w:right w:w="108" w:type="dxa"/>
          </w:tblCellMar>
        </w:tblPrEx>
        <w:tc>
          <w:tcPr>
            <w:tcW w:w="587" w:type="dxa"/>
            <w:shd w:val="clear" w:color="auto" w:fill="auto"/>
          </w:tcPr>
          <w:p w14:paraId="381BF2BA">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14:paraId="233BA942">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14:paraId="42D9085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5725EE6D">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13</w:t>
            </w:r>
          </w:p>
        </w:tc>
        <w:tc>
          <w:tcPr>
            <w:tcW w:w="4320" w:type="dxa"/>
          </w:tcPr>
          <w:p w14:paraId="6149046A">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Datasets used for the analyses are available under reasonable requests. Data on plasma proteins were contributed by Sun et al, (2023) and were downloaded from https://www.synapse.org/#!Synapse:syn51365301. The summary statistics of the genome-wide association study of herpes virus are available at the website (https://storage.googleapis.com/finngen-public-data-r10/summary_stats/finngen_R10_AB1_HERPES_SIMPLEX.gz). </w:t>
            </w:r>
          </w:p>
        </w:tc>
      </w:tr>
      <w:tr w14:paraId="1BFE6A86">
        <w:tblPrEx>
          <w:tblCellMar>
            <w:top w:w="0" w:type="dxa"/>
            <w:left w:w="108" w:type="dxa"/>
            <w:bottom w:w="0" w:type="dxa"/>
            <w:right w:w="108" w:type="dxa"/>
          </w:tblCellMar>
        </w:tblPrEx>
        <w:tc>
          <w:tcPr>
            <w:tcW w:w="587" w:type="dxa"/>
            <w:tcBorders>
              <w:bottom w:val="single" w:color="7F7F7F" w:sz="6" w:space="0"/>
            </w:tcBorders>
            <w:shd w:val="clear" w:color="auto" w:fill="EEEEEE"/>
          </w:tcPr>
          <w:p w14:paraId="20DC2C92">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14:paraId="39A69A1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14:paraId="4772D912">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14:paraId="1B63BC8B">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14</w:t>
            </w:r>
          </w:p>
        </w:tc>
        <w:tc>
          <w:tcPr>
            <w:tcW w:w="4320" w:type="dxa"/>
            <w:tcBorders>
              <w:bottom w:val="single" w:color="7F7F7F" w:sz="6" w:space="0"/>
            </w:tcBorders>
            <w:shd w:val="clear" w:color="auto" w:fill="EEEEEE"/>
          </w:tcPr>
          <w:p w14:paraId="7F5E7BB2">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authors declare that the research was conducted in the absence of any commercial or financial relationships that could be construed as a potential conflict of interest.</w:t>
            </w:r>
          </w:p>
        </w:tc>
      </w:tr>
    </w:tbl>
    <w:p w14:paraId="386115B2">
      <w:pPr>
        <w:spacing w:before="240" w:after="240"/>
        <w:rPr>
          <w:sz w:val="19"/>
          <w:szCs w:val="19"/>
        </w:rPr>
      </w:pPr>
      <w:r>
        <w:rPr>
          <w:sz w:val="19"/>
          <w:szCs w:val="19"/>
        </w:rPr>
        <w:t>This checklist is copyrighted by the Equator Network under the Creative Commons Attribution 3.0 Unported (CC BY 3.0) license.</w:t>
      </w:r>
    </w:p>
    <w:p w14:paraId="5DDF8A06">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14:paraId="63BF03A9">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华文楷体">
    <w:panose1 w:val="02010600040101010101"/>
    <w:charset w:val="86"/>
    <w:family w:val="auto"/>
    <w:pitch w:val="variable"/>
    <w:sig w:usb0="00000287" w:usb1="080F0000" w:usb2="00000000" w:usb3="00000000" w:csb0="0004009F" w:csb1="DFD70000"/>
  </w:font>
  <w:font w:name="@华文楷体">
    <w:panose1 w:val="02010600040101010101"/>
    <w:charset w:val="86"/>
    <w:family w:val="auto"/>
    <w:pitch w:val="variable"/>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ArialMT">
    <w:altName w:val="Times New Roman"/>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7B5E">
    <w:pPr>
      <w:pStyle w:val="2"/>
      <w:jc w:val="right"/>
    </w:pPr>
    <w:r>
      <w:fldChar w:fldCharType="begin"/>
    </w:r>
    <w:r>
      <w:instrText xml:space="preserve"> PAGE   \* MERGEFORMAT </w:instrText>
    </w:r>
    <w:r>
      <w:fldChar w:fldCharType="separate"/>
    </w:r>
    <w:r>
      <w:t>1</w:t>
    </w:r>
    <w:r>
      <w:fldChar w:fldCharType="end"/>
    </w:r>
  </w:p>
  <w:p w14:paraId="41D8967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4A166">
    <w:pPr>
      <w:pStyle w:val="2"/>
      <w:framePr w:wrap="auto" w:vAnchor="text" w:hAnchor="margin" w:xAlign="right" w:y="1"/>
      <w:rPr>
        <w:rStyle w:val="5"/>
      </w:rPr>
    </w:pPr>
  </w:p>
  <w:p w14:paraId="40A0897E">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yYmZmZWUwMTRmYTJmZjVkZGRmMjJiMjU2ZmM0MTY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1B7C7581"/>
    <w:rsid w:val="289E5635"/>
    <w:rsid w:val="32430FFB"/>
    <w:rsid w:val="38BD7950"/>
    <w:rsid w:val="6E6D62A7"/>
    <w:rsid w:val="79290B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qFormat/>
    <w:uiPriority w:val="1"/>
  </w:style>
  <w:style w:type="table" w:default="1" w:styleId="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680"/>
        <w:tab w:val="right" w:pos="9360"/>
      </w:tabs>
      <w:spacing w:line="240" w:lineRule="auto"/>
    </w:pPr>
  </w:style>
  <w:style w:type="character" w:styleId="5">
    <w:name w:val="page number"/>
    <w:basedOn w:val="4"/>
    <w:semiHidden/>
    <w:unhideWhenUsed/>
    <w:qFormat/>
    <w:uiPriority w:val="99"/>
  </w:style>
  <w:style w:type="character" w:styleId="6">
    <w:name w:val="line number"/>
    <w:basedOn w:val="4"/>
    <w:semiHidden/>
    <w:unhideWhenUsed/>
    <w:qFormat/>
    <w:uiPriority w:val="99"/>
  </w:style>
  <w:style w:type="character" w:styleId="7">
    <w:name w:val="Hyperlink"/>
    <w:basedOn w:val="4"/>
    <w:unhideWhenUsed/>
    <w:qFormat/>
    <w:uiPriority w:val="99"/>
    <w:rPr>
      <w:color w:val="0563C1" w:themeColor="hyperlink"/>
      <w:u w:val="single"/>
      <w14:textFill>
        <w14:solidFill>
          <w14:schemeClr w14:val="hlink"/>
        </w14:solidFill>
      </w14:textFill>
    </w:rPr>
  </w:style>
  <w:style w:type="character" w:customStyle="1" w:styleId="8">
    <w:name w:val="Footer Char"/>
    <w:basedOn w:val="4"/>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0931C-FCE2-4CC4-80DE-15614B41F1F9}">
  <ds:schemaRefs/>
</ds:datastoreItem>
</file>

<file path=customXml/itemProps2.xml><?xml version="1.0" encoding="utf-8"?>
<ds:datastoreItem xmlns:ds="http://schemas.openxmlformats.org/officeDocument/2006/customXml" ds:itemID="{B7DA32DB-E5B8-4E32-AD11-08F2E668867B}">
  <ds:schemaRefs/>
</ds:datastoreItem>
</file>

<file path=customXml/itemProps3.xml><?xml version="1.0" encoding="utf-8"?>
<ds:datastoreItem xmlns:ds="http://schemas.openxmlformats.org/officeDocument/2006/customXml" ds:itemID="{A9898B61-61B7-44F1-9388-8B27875B1EDA}">
  <ds:schemaRefs/>
</ds:datastoreItem>
</file>

<file path=customXml/itemProps4.xml><?xml version="1.0" encoding="utf-8"?>
<ds:datastoreItem xmlns:ds="http://schemas.openxmlformats.org/officeDocument/2006/customXml" ds:itemID="{5DF20111-77FD-4F18-8E31-D737874646AB}">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6</Pages>
  <Words>1118</Words>
  <Characters>6520</Characters>
  <Lines>286</Lines>
  <Paragraphs>146</Paragraphs>
  <TotalTime>0</TotalTime>
  <ScaleCrop>false</ScaleCrop>
  <LinksUpToDate>false</LinksUpToDate>
  <CharactersWithSpaces>7535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Bingo</cp:lastModifiedBy>
  <cp:lastPrinted>2021-09-28T07:08:00Z</cp:lastPrinted>
  <dcterms:modified xsi:type="dcterms:W3CDTF">2024-06-22T07:53:37Z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2052-12.1.0.17133</vt:lpwstr>
  </property>
  <property fmtid="{D5CDD505-2E9C-101B-9397-08002B2CF9AE}" pid="27" name="ICV">
    <vt:lpwstr>30952988ACD3478FB63B1EC0B90C523D_13</vt:lpwstr>
  </property>
</Properties>
</file>