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09D" w:rsidRPr="009B2444" w:rsidRDefault="00BE709D" w:rsidP="00BE709D">
      <w:pPr>
        <w:pStyle w:val="Heading1"/>
      </w:pPr>
      <w:r w:rsidRPr="009B2444">
        <w:t>Supplementary File 1. Internal and external validity assessment for included reviews</w:t>
      </w:r>
    </w:p>
    <w:p w:rsidR="00BE709D" w:rsidRPr="009B2444" w:rsidRDefault="00BE709D" w:rsidP="00BE709D">
      <w:pPr>
        <w:pStyle w:val="Heading2"/>
      </w:pPr>
      <w:bookmarkStart w:id="0" w:name="_cuohi6z4yhy9" w:colFirst="0" w:colLast="0"/>
      <w:bookmarkEnd w:id="0"/>
      <w:r w:rsidRPr="009B2444">
        <w:t>Quality Appraisal of the Included Reviews</w:t>
      </w:r>
    </w:p>
    <w:p w:rsidR="00BE709D" w:rsidRPr="009B2444" w:rsidRDefault="00BE709D" w:rsidP="00BE709D">
      <w:r w:rsidRPr="009B2444">
        <w:t>We assessed the quality of the included reviews using an abbreviated list of quality criteria drawn from AMSTAR 2 (Shea et al., 2017). The full AMSTAR2 tool was developed on the basis of a scoping review of tools for assessing the quality of systematic reviews, followed by iterative workshops with content experts (Shea et al., 2017). This abbreviated list has been used to assess core quality requirements for marketing systematic reviews, such as those discussed by Palmatier and colleagues (2018): focused question, comprehensive search, clear inclusion/exclusion, duplicate screening, duplicate quality assessment, presentation of each included study, assessment of heterogeneity, and assessment of publication bias. These quality assessment items are judged to be the most important in assessing the reliability and validity of systematic reviews (National Heart, Lung, and Blood Institute [NHLBI], n.d.) and deliberately omit AMSTAR 2 criteria that are unlikely to be relevant in marketing (e.g., searching trial registries). The ‘comprehensive search' criteria assessed whether the search strategy was likely to find the majority of studies meeting inclusion criteria. The ‘clear inclusion/exclusion’ criteria assessed the reproducibility of the systematic review’s eligibility criteria. The ‘duplicate screening’ and ‘duplicate quality assessment’ criteria assess whether tasks prone to consequential errors or judgement are done in duplicate. The ‘presentation of each included study’ criteria assessed the transparency of the results from the systematic review, used to inform conclusions. Finally, the ‘assessment of heterogeneity’ and ‘assessment of publication bias’ criteria assessed how well the reviews accounted for these two sources of uncertainty in conclusions. Low quality reviews were kept in this meta-review but used to qualify the certainty of the findings.</w:t>
      </w:r>
    </w:p>
    <w:p w:rsidR="00BE709D" w:rsidRPr="009B2444" w:rsidRDefault="00BE709D" w:rsidP="00BE709D">
      <w:pPr>
        <w:sectPr w:rsidR="00BE709D" w:rsidRPr="009B2444" w:rsidSect="009B2444">
          <w:type w:val="continuous"/>
          <w:pgSz w:w="12240" w:h="15840"/>
          <w:pgMar w:top="1440" w:right="1440" w:bottom="1440" w:left="1440" w:header="720" w:footer="720" w:gutter="0"/>
          <w:cols w:space="720"/>
        </w:sectPr>
      </w:pPr>
      <w:r w:rsidRPr="009B2444">
        <w:t xml:space="preserve">Results from our quality appraisal are available in Supplementary Table S1. All reviews except two asked a focused question and presented each study included in the review (usually through a Characteristics of Included Studies table). Most (16/21) clearly specified their inclusion criteria and over half conducted a comprehensive search (14/21). Only two clearly described duplicate screening, and only one review clearly described duplicate quality assessment </w:t>
      </w:r>
      <w:hyperlink r:id="rId4">
        <w:r w:rsidRPr="009B2444">
          <w:rPr>
            <w:color w:val="000000"/>
          </w:rPr>
          <w:t>(Jung et al., 2020)</w:t>
        </w:r>
      </w:hyperlink>
      <w:r w:rsidRPr="009B2444">
        <w:t xml:space="preserve">. This quality assessment critiqued an important area (blinding) but omitted all other key threats to internal validity </w:t>
      </w:r>
      <w:hyperlink r:id="rId5">
        <w:r w:rsidRPr="009B2444">
          <w:rPr>
            <w:color w:val="000000"/>
          </w:rPr>
          <w:t>(e.g., selective reporting; Higgins et al., 2011)</w:t>
        </w:r>
      </w:hyperlink>
      <w:r w:rsidRPr="009B2444">
        <w:t xml:space="preserve">. Half of the reviews tested for publication bias (10/21) and fifteen explicitly assessed heterogeneity. </w:t>
      </w:r>
    </w:p>
    <w:p w:rsidR="00BE709D" w:rsidRPr="009B2444" w:rsidRDefault="00BE709D" w:rsidP="00BE709D">
      <w:pPr>
        <w:pStyle w:val="Heading2"/>
        <w:spacing w:line="276" w:lineRule="auto"/>
      </w:pPr>
      <w:bookmarkStart w:id="1" w:name="_ly88joqitcmr" w:colFirst="0" w:colLast="0"/>
      <w:bookmarkEnd w:id="1"/>
      <w:r w:rsidRPr="009B2444">
        <w:lastRenderedPageBreak/>
        <w:t>Supplementary Table S1</w:t>
      </w:r>
    </w:p>
    <w:p w:rsidR="00BE709D" w:rsidRPr="009B2444" w:rsidRDefault="00BE709D" w:rsidP="00BE709D">
      <w:pPr>
        <w:pStyle w:val="Heading2"/>
        <w:spacing w:line="276" w:lineRule="auto"/>
        <w:rPr>
          <w:b w:val="0"/>
          <w:i/>
        </w:rPr>
      </w:pPr>
      <w:bookmarkStart w:id="2" w:name="_ih0u9411uaat" w:colFirst="0" w:colLast="0"/>
      <w:bookmarkEnd w:id="2"/>
      <w:r w:rsidRPr="009B2444">
        <w:rPr>
          <w:b w:val="0"/>
          <w:i/>
          <w:sz w:val="20"/>
          <w:szCs w:val="20"/>
        </w:rPr>
        <w:t>Results From Quality Appraisal of the Included Reviews</w:t>
      </w:r>
    </w:p>
    <w:tbl>
      <w:tblPr>
        <w:tblW w:w="0" w:type="auto"/>
        <w:tblInd w:w="30" w:type="dxa"/>
        <w:tblLook w:val="0400" w:firstRow="0" w:lastRow="0" w:firstColumn="0" w:lastColumn="0" w:noHBand="0" w:noVBand="1"/>
      </w:tblPr>
      <w:tblGrid>
        <w:gridCol w:w="1426"/>
        <w:gridCol w:w="1315"/>
        <w:gridCol w:w="1624"/>
        <w:gridCol w:w="1817"/>
        <w:gridCol w:w="1425"/>
        <w:gridCol w:w="1823"/>
        <w:gridCol w:w="1460"/>
        <w:gridCol w:w="1677"/>
        <w:gridCol w:w="1787"/>
      </w:tblGrid>
      <w:tr w:rsidR="009B2444" w:rsidRPr="009B2444" w:rsidTr="00BE39AF">
        <w:trPr>
          <w:trHeight w:val="525"/>
        </w:trPr>
        <w:tc>
          <w:tcPr>
            <w:tcW w:w="0" w:type="auto"/>
            <w:tcBorders>
              <w:top w:val="single" w:sz="6" w:space="0" w:color="000000"/>
              <w:left w:val="single" w:sz="6" w:space="0" w:color="FFFFFF"/>
              <w:bottom w:val="single" w:sz="6" w:space="0" w:color="000000"/>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Review</w:t>
            </w:r>
          </w:p>
        </w:tc>
        <w:tc>
          <w:tcPr>
            <w:tcW w:w="0" w:type="auto"/>
            <w:tcBorders>
              <w:top w:val="single" w:sz="6" w:space="0" w:color="000000"/>
              <w:bottom w:val="single" w:sz="6" w:space="0" w:color="000000"/>
            </w:tcBorders>
            <w:tcMar>
              <w:top w:w="30" w:type="dxa"/>
              <w:left w:w="45" w:type="dxa"/>
              <w:bottom w:w="30" w:type="dxa"/>
              <w:right w:w="45" w:type="dxa"/>
            </w:tcMar>
            <w:vAlign w:val="center"/>
          </w:tcPr>
          <w:p w:rsidR="00BE709D" w:rsidRPr="009B2444" w:rsidRDefault="00BE709D" w:rsidP="00BE39AF">
            <w:pPr>
              <w:spacing w:line="240" w:lineRule="auto"/>
              <w:ind w:left="113" w:right="113"/>
              <w:rPr>
                <w:sz w:val="20"/>
                <w:szCs w:val="20"/>
              </w:rPr>
            </w:pPr>
            <w:r w:rsidRPr="009B2444">
              <w:rPr>
                <w:sz w:val="20"/>
                <w:szCs w:val="20"/>
              </w:rPr>
              <w:t>Focused question</w:t>
            </w:r>
          </w:p>
        </w:tc>
        <w:tc>
          <w:tcPr>
            <w:tcW w:w="0" w:type="auto"/>
            <w:tcBorders>
              <w:top w:val="single" w:sz="6" w:space="0" w:color="000000"/>
              <w:bottom w:val="single" w:sz="6" w:space="0" w:color="000000"/>
            </w:tcBorders>
            <w:tcMar>
              <w:top w:w="30" w:type="dxa"/>
              <w:left w:w="45" w:type="dxa"/>
              <w:bottom w:w="30" w:type="dxa"/>
              <w:right w:w="45" w:type="dxa"/>
            </w:tcMar>
            <w:vAlign w:val="center"/>
          </w:tcPr>
          <w:p w:rsidR="00BE709D" w:rsidRPr="009B2444" w:rsidRDefault="00BE709D" w:rsidP="00BE39AF">
            <w:pPr>
              <w:spacing w:line="240" w:lineRule="auto"/>
              <w:ind w:left="113" w:right="113"/>
              <w:rPr>
                <w:sz w:val="20"/>
                <w:szCs w:val="20"/>
              </w:rPr>
            </w:pPr>
            <w:r w:rsidRPr="009B2444">
              <w:rPr>
                <w:sz w:val="20"/>
                <w:szCs w:val="20"/>
              </w:rPr>
              <w:t>Inclusion prespecified</w:t>
            </w:r>
          </w:p>
        </w:tc>
        <w:tc>
          <w:tcPr>
            <w:tcW w:w="0" w:type="auto"/>
            <w:tcBorders>
              <w:top w:val="single" w:sz="6" w:space="0" w:color="000000"/>
              <w:bottom w:val="single" w:sz="6" w:space="0" w:color="000000"/>
            </w:tcBorders>
            <w:tcMar>
              <w:top w:w="30" w:type="dxa"/>
              <w:left w:w="45" w:type="dxa"/>
              <w:bottom w:w="30" w:type="dxa"/>
              <w:right w:w="45" w:type="dxa"/>
            </w:tcMar>
            <w:vAlign w:val="center"/>
          </w:tcPr>
          <w:p w:rsidR="00BE709D" w:rsidRPr="009B2444" w:rsidRDefault="00BE709D" w:rsidP="00BE39AF">
            <w:pPr>
              <w:spacing w:line="240" w:lineRule="auto"/>
              <w:ind w:left="113" w:right="113"/>
              <w:rPr>
                <w:sz w:val="20"/>
                <w:szCs w:val="20"/>
              </w:rPr>
            </w:pPr>
            <w:r w:rsidRPr="009B2444">
              <w:rPr>
                <w:sz w:val="20"/>
                <w:szCs w:val="20"/>
              </w:rPr>
              <w:t>Comprehensive search</w:t>
            </w:r>
          </w:p>
        </w:tc>
        <w:tc>
          <w:tcPr>
            <w:tcW w:w="0" w:type="auto"/>
            <w:tcBorders>
              <w:top w:val="single" w:sz="6" w:space="0" w:color="000000"/>
              <w:bottom w:val="single" w:sz="6" w:space="0" w:color="000000"/>
            </w:tcBorders>
            <w:tcMar>
              <w:top w:w="30" w:type="dxa"/>
              <w:left w:w="45" w:type="dxa"/>
              <w:bottom w:w="30" w:type="dxa"/>
              <w:right w:w="45" w:type="dxa"/>
            </w:tcMar>
            <w:vAlign w:val="center"/>
          </w:tcPr>
          <w:p w:rsidR="00BE709D" w:rsidRPr="009B2444" w:rsidRDefault="00BE709D" w:rsidP="00BE39AF">
            <w:pPr>
              <w:spacing w:line="240" w:lineRule="auto"/>
              <w:ind w:left="113" w:right="113"/>
              <w:rPr>
                <w:sz w:val="20"/>
                <w:szCs w:val="20"/>
              </w:rPr>
            </w:pPr>
            <w:r w:rsidRPr="009B2444">
              <w:rPr>
                <w:sz w:val="20"/>
                <w:szCs w:val="20"/>
              </w:rPr>
              <w:t>Duplicate screening</w:t>
            </w:r>
          </w:p>
        </w:tc>
        <w:tc>
          <w:tcPr>
            <w:tcW w:w="0" w:type="auto"/>
            <w:tcBorders>
              <w:top w:val="single" w:sz="6" w:space="0" w:color="000000"/>
              <w:bottom w:val="single" w:sz="6" w:space="0" w:color="000000"/>
            </w:tcBorders>
            <w:tcMar>
              <w:top w:w="30" w:type="dxa"/>
              <w:left w:w="45" w:type="dxa"/>
              <w:bottom w:w="30" w:type="dxa"/>
              <w:right w:w="45" w:type="dxa"/>
            </w:tcMar>
            <w:vAlign w:val="center"/>
          </w:tcPr>
          <w:p w:rsidR="00BE709D" w:rsidRPr="009B2444" w:rsidRDefault="00BE709D" w:rsidP="00BE39AF">
            <w:pPr>
              <w:spacing w:line="240" w:lineRule="auto"/>
              <w:ind w:left="113" w:right="113"/>
              <w:rPr>
                <w:sz w:val="20"/>
                <w:szCs w:val="20"/>
              </w:rPr>
            </w:pPr>
            <w:r w:rsidRPr="009B2444">
              <w:rPr>
                <w:sz w:val="20"/>
                <w:szCs w:val="20"/>
              </w:rPr>
              <w:t>Duplicate quality assessment</w:t>
            </w:r>
          </w:p>
        </w:tc>
        <w:tc>
          <w:tcPr>
            <w:tcW w:w="0" w:type="auto"/>
            <w:tcBorders>
              <w:top w:val="single" w:sz="6" w:space="0" w:color="000000"/>
              <w:bottom w:val="single" w:sz="6" w:space="0" w:color="000000"/>
            </w:tcBorders>
            <w:tcMar>
              <w:top w:w="30" w:type="dxa"/>
              <w:left w:w="45" w:type="dxa"/>
              <w:bottom w:w="30" w:type="dxa"/>
              <w:right w:w="45" w:type="dxa"/>
            </w:tcMar>
            <w:vAlign w:val="center"/>
          </w:tcPr>
          <w:p w:rsidR="00BE709D" w:rsidRPr="009B2444" w:rsidRDefault="00BE709D" w:rsidP="00BE39AF">
            <w:pPr>
              <w:spacing w:line="240" w:lineRule="auto"/>
              <w:ind w:left="113" w:right="113"/>
              <w:rPr>
                <w:sz w:val="20"/>
                <w:szCs w:val="20"/>
              </w:rPr>
            </w:pPr>
            <w:r w:rsidRPr="009B2444">
              <w:rPr>
                <w:sz w:val="20"/>
                <w:szCs w:val="20"/>
              </w:rPr>
              <w:t>All studies described</w:t>
            </w:r>
          </w:p>
        </w:tc>
        <w:tc>
          <w:tcPr>
            <w:tcW w:w="0" w:type="auto"/>
            <w:tcBorders>
              <w:top w:val="single" w:sz="6" w:space="0" w:color="000000"/>
              <w:bottom w:val="single" w:sz="6" w:space="0" w:color="000000"/>
            </w:tcBorders>
            <w:tcMar>
              <w:top w:w="30" w:type="dxa"/>
              <w:left w:w="45" w:type="dxa"/>
              <w:bottom w:w="30" w:type="dxa"/>
              <w:right w:w="45" w:type="dxa"/>
            </w:tcMar>
            <w:vAlign w:val="center"/>
          </w:tcPr>
          <w:p w:rsidR="00BE709D" w:rsidRPr="009B2444" w:rsidRDefault="00BE709D" w:rsidP="00BE39AF">
            <w:pPr>
              <w:spacing w:line="240" w:lineRule="auto"/>
              <w:ind w:left="113" w:right="113"/>
              <w:rPr>
                <w:sz w:val="20"/>
                <w:szCs w:val="20"/>
              </w:rPr>
            </w:pPr>
            <w:r w:rsidRPr="009B2444">
              <w:rPr>
                <w:sz w:val="20"/>
                <w:szCs w:val="20"/>
              </w:rPr>
              <w:t>Publication bias assessed</w:t>
            </w:r>
          </w:p>
        </w:tc>
        <w:tc>
          <w:tcPr>
            <w:tcW w:w="0" w:type="auto"/>
            <w:tcBorders>
              <w:top w:val="single" w:sz="6" w:space="0" w:color="000000"/>
              <w:bottom w:val="single" w:sz="6" w:space="0" w:color="000000"/>
              <w:right w:val="single" w:sz="6" w:space="0" w:color="CCCCCC"/>
            </w:tcBorders>
            <w:tcMar>
              <w:top w:w="30" w:type="dxa"/>
              <w:left w:w="45" w:type="dxa"/>
              <w:bottom w:w="30" w:type="dxa"/>
              <w:right w:w="45" w:type="dxa"/>
            </w:tcMar>
            <w:vAlign w:val="center"/>
          </w:tcPr>
          <w:p w:rsidR="00BE709D" w:rsidRPr="009B2444" w:rsidRDefault="00BE709D" w:rsidP="00BE39AF">
            <w:pPr>
              <w:spacing w:line="240" w:lineRule="auto"/>
              <w:ind w:left="113" w:right="113"/>
              <w:rPr>
                <w:sz w:val="20"/>
                <w:szCs w:val="20"/>
              </w:rPr>
            </w:pPr>
            <w:r w:rsidRPr="009B2444">
              <w:rPr>
                <w:sz w:val="20"/>
                <w:szCs w:val="20"/>
              </w:rPr>
              <w:t>Heterogeneity assessed</w:t>
            </w:r>
          </w:p>
        </w:tc>
      </w:tr>
      <w:tr w:rsidR="00BE709D" w:rsidRPr="009B2444" w:rsidTr="00BE39AF">
        <w:trPr>
          <w:trHeight w:val="315"/>
        </w:trPr>
        <w:tc>
          <w:tcPr>
            <w:tcW w:w="0" w:type="auto"/>
            <w:tcBorders>
              <w:top w:val="single" w:sz="6" w:space="0" w:color="000000"/>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Andrews et al., 2008</w:t>
            </w:r>
          </w:p>
        </w:tc>
        <w:tc>
          <w:tcPr>
            <w:tcW w:w="0" w:type="auto"/>
            <w:tcBorders>
              <w:top w:val="single" w:sz="6" w:space="0" w:color="000000"/>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top w:val="single" w:sz="6" w:space="0" w:color="000000"/>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top w:val="single" w:sz="6" w:space="0" w:color="000000"/>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top w:val="single" w:sz="6" w:space="0" w:color="000000"/>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top w:val="single" w:sz="6" w:space="0" w:color="000000"/>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top w:val="single" w:sz="6" w:space="0" w:color="000000"/>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top w:val="single" w:sz="6" w:space="0" w:color="000000"/>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top w:val="single" w:sz="6" w:space="0" w:color="000000"/>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Bolkan &amp; Rains, 2017</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NR</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Bradley et al., 2018</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NR</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Butts et al., 2019</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Coyne et al., 2018</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NA </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de Wit &amp; Bekkers, 2017</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Engel, 2011</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NA </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Feeley et al., 2012</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Fromell et al., 2020</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NR</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Jung et al., 2020</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NR</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Larney et al., 2019</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Lee et al., 2016</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Lee &amp; Feeley, 2017</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NR</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Lu, 2016</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lastRenderedPageBreak/>
              <w:t>Nettle et al., 2013</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Northover et al., 2017</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NA </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Peloza &amp; Steel, 2005</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NA </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Rand et al., 2016</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CD </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NA </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Salido-Andres et al., 2020</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Yes </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NA </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r>
      <w:tr w:rsidR="00BE709D" w:rsidRPr="009B2444" w:rsidTr="00BE39AF">
        <w:trPr>
          <w:trHeight w:val="315"/>
        </w:trPr>
        <w:tc>
          <w:tcPr>
            <w:tcW w:w="0" w:type="auto"/>
            <w:tcBorders>
              <w:left w:val="single" w:sz="6" w:space="0" w:color="FFFFFF"/>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Sparks &amp; Barclay, 2013</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CD </w:t>
            </w:r>
          </w:p>
        </w:tc>
        <w:tc>
          <w:tcPr>
            <w:tcW w:w="0" w:type="auto"/>
            <w:tcBorders>
              <w:left w:val="single" w:sz="6" w:space="0" w:color="CCCCCC"/>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NR </w:t>
            </w:r>
          </w:p>
        </w:tc>
        <w:tc>
          <w:tcPr>
            <w:tcW w:w="0" w:type="auto"/>
            <w:tcBorders>
              <w:left w:val="single" w:sz="6" w:space="0" w:color="CCCCCC"/>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 xml:space="preserve">NA </w:t>
            </w:r>
          </w:p>
        </w:tc>
        <w:tc>
          <w:tcPr>
            <w:tcW w:w="0" w:type="auto"/>
            <w:tcBorders>
              <w:left w:val="single" w:sz="6" w:space="0" w:color="CCCCCC"/>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r>
      <w:tr w:rsidR="00BE709D" w:rsidRPr="009B2444" w:rsidTr="00BE39AF">
        <w:trPr>
          <w:trHeight w:val="315"/>
        </w:trPr>
        <w:tc>
          <w:tcPr>
            <w:tcW w:w="0" w:type="auto"/>
            <w:tcBorders>
              <w:left w:val="single" w:sz="6" w:space="0" w:color="FFFFFF"/>
              <w:bottom w:val="single" w:sz="6" w:space="0" w:color="000000"/>
              <w:right w:val="single" w:sz="6" w:space="0" w:color="FFFFFF"/>
            </w:tcBorders>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Xu &amp; Huang, 2020</w:t>
            </w:r>
          </w:p>
        </w:tc>
        <w:tc>
          <w:tcPr>
            <w:tcW w:w="0" w:type="auto"/>
            <w:tcBorders>
              <w:left w:val="single" w:sz="6" w:space="0" w:color="CCCCCC"/>
              <w:bottom w:val="single" w:sz="6" w:space="0" w:color="000000"/>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bottom w:val="single" w:sz="6" w:space="0" w:color="000000"/>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bottom w:val="single" w:sz="6" w:space="0" w:color="000000"/>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bottom w:val="single" w:sz="6" w:space="0" w:color="000000"/>
              <w:right w:val="single" w:sz="6" w:space="0" w:color="FFFFFF"/>
            </w:tcBorders>
            <w:shd w:val="clear" w:color="auto" w:fill="FFFFBF"/>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NR</w:t>
            </w:r>
          </w:p>
        </w:tc>
        <w:tc>
          <w:tcPr>
            <w:tcW w:w="0" w:type="auto"/>
            <w:tcBorders>
              <w:left w:val="single" w:sz="6" w:space="0" w:color="CCCCCC"/>
              <w:bottom w:val="single" w:sz="6" w:space="0" w:color="000000"/>
              <w:right w:val="single" w:sz="6" w:space="0" w:color="FFFFFF"/>
            </w:tcBorders>
            <w:shd w:val="clear" w:color="auto" w:fill="auto"/>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NA</w:t>
            </w:r>
          </w:p>
        </w:tc>
        <w:tc>
          <w:tcPr>
            <w:tcW w:w="0" w:type="auto"/>
            <w:tcBorders>
              <w:left w:val="single" w:sz="6" w:space="0" w:color="CCCCCC"/>
              <w:bottom w:val="single" w:sz="6" w:space="0" w:color="000000"/>
              <w:right w:val="single" w:sz="6" w:space="0" w:color="FFFFFF"/>
            </w:tcBorders>
            <w:shd w:val="clear" w:color="auto" w:fill="99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c>
          <w:tcPr>
            <w:tcW w:w="0" w:type="auto"/>
            <w:tcBorders>
              <w:left w:val="single" w:sz="6" w:space="0" w:color="CCCCCC"/>
              <w:bottom w:val="single" w:sz="6" w:space="0" w:color="000000"/>
              <w:right w:val="single" w:sz="6" w:space="0" w:color="FFFFFF"/>
            </w:tcBorders>
            <w:shd w:val="clear" w:color="auto" w:fill="FC8D59"/>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No</w:t>
            </w:r>
          </w:p>
        </w:tc>
        <w:tc>
          <w:tcPr>
            <w:tcW w:w="0" w:type="auto"/>
            <w:tcBorders>
              <w:left w:val="single" w:sz="6" w:space="0" w:color="CCCCCC"/>
              <w:bottom w:val="single" w:sz="6" w:space="0" w:color="000000"/>
              <w:right w:val="single" w:sz="6" w:space="0" w:color="FFFFFF"/>
            </w:tcBorders>
            <w:shd w:val="clear" w:color="auto" w:fill="9AD594"/>
            <w:tcMar>
              <w:top w:w="30" w:type="dxa"/>
              <w:left w:w="45" w:type="dxa"/>
              <w:bottom w:w="30" w:type="dxa"/>
              <w:right w:w="45" w:type="dxa"/>
            </w:tcMar>
            <w:vAlign w:val="bottom"/>
          </w:tcPr>
          <w:p w:rsidR="00BE709D" w:rsidRPr="009B2444" w:rsidRDefault="00BE709D" w:rsidP="00BE39AF">
            <w:pPr>
              <w:spacing w:line="240" w:lineRule="auto"/>
              <w:rPr>
                <w:sz w:val="20"/>
                <w:szCs w:val="20"/>
              </w:rPr>
            </w:pPr>
            <w:r w:rsidRPr="009B2444">
              <w:rPr>
                <w:sz w:val="20"/>
                <w:szCs w:val="20"/>
              </w:rPr>
              <w:t>Yes</w:t>
            </w:r>
          </w:p>
        </w:tc>
      </w:tr>
      <w:tr w:rsidR="00BE709D" w:rsidRPr="009B2444" w:rsidTr="00BE39AF">
        <w:trPr>
          <w:trHeight w:val="315"/>
        </w:trPr>
        <w:tc>
          <w:tcPr>
            <w:tcW w:w="0" w:type="auto"/>
            <w:gridSpan w:val="9"/>
            <w:tcBorders>
              <w:top w:val="single" w:sz="6" w:space="0" w:color="CCCCCC"/>
              <w:left w:val="single" w:sz="6" w:space="0" w:color="FFFFFF"/>
              <w:bottom w:val="single" w:sz="6" w:space="0" w:color="FFFFFF"/>
              <w:right w:val="single" w:sz="6" w:space="0" w:color="FFFFFF"/>
            </w:tcBorders>
            <w:tcMar>
              <w:top w:w="30" w:type="dxa"/>
              <w:left w:w="0" w:type="dxa"/>
              <w:bottom w:w="30" w:type="dxa"/>
              <w:right w:w="0" w:type="dxa"/>
            </w:tcMar>
            <w:vAlign w:val="bottom"/>
          </w:tcPr>
          <w:p w:rsidR="00BE709D" w:rsidRPr="009B2444" w:rsidRDefault="00BE709D" w:rsidP="00BE39AF">
            <w:pPr>
              <w:spacing w:line="240" w:lineRule="auto"/>
              <w:rPr>
                <w:sz w:val="20"/>
                <w:szCs w:val="20"/>
              </w:rPr>
            </w:pPr>
            <w:r w:rsidRPr="009B2444">
              <w:rPr>
                <w:i/>
                <w:sz w:val="20"/>
                <w:szCs w:val="20"/>
              </w:rPr>
              <w:t>Note</w:t>
            </w:r>
            <w:r w:rsidRPr="009B2444">
              <w:rPr>
                <w:sz w:val="20"/>
                <w:szCs w:val="20"/>
              </w:rPr>
              <w:t>. NR = not reported, CD = Cannot determine, NA = Not applicable</w:t>
            </w:r>
          </w:p>
        </w:tc>
      </w:tr>
    </w:tbl>
    <w:p w:rsidR="00BE709D" w:rsidRPr="009B2444" w:rsidRDefault="00BE709D" w:rsidP="00BE709D">
      <w:pPr>
        <w:pStyle w:val="Subtitle"/>
        <w:jc w:val="left"/>
        <w:sectPr w:rsidR="00BE709D" w:rsidRPr="009B2444" w:rsidSect="009B2444">
          <w:type w:val="continuous"/>
          <w:pgSz w:w="15840" w:h="12240" w:orient="landscape"/>
          <w:pgMar w:top="720" w:right="720" w:bottom="720" w:left="720" w:header="720" w:footer="720" w:gutter="0"/>
          <w:cols w:space="720"/>
          <w:docGrid w:linePitch="326"/>
        </w:sectPr>
      </w:pPr>
      <w:bookmarkStart w:id="3" w:name="_mem9rdxk48jy" w:colFirst="0" w:colLast="0"/>
      <w:bookmarkEnd w:id="3"/>
    </w:p>
    <w:p w:rsidR="00BE709D" w:rsidRPr="009B2444" w:rsidRDefault="00BE709D" w:rsidP="00BE709D">
      <w:pPr>
        <w:pStyle w:val="Heading2"/>
      </w:pPr>
      <w:bookmarkStart w:id="4" w:name="_iz357kti7yro" w:colFirst="0" w:colLast="0"/>
      <w:bookmarkEnd w:id="4"/>
      <w:r w:rsidRPr="009B2444">
        <w:lastRenderedPageBreak/>
        <w:t>Certainty Assessment</w:t>
      </w:r>
    </w:p>
    <w:p w:rsidR="00BE709D" w:rsidRPr="009B2444" w:rsidRDefault="00BE709D" w:rsidP="00BE709D">
      <w:r w:rsidRPr="009B2444">
        <w:t>Where quality assessment considers each review separately, certainty assessment considers the quality of the evidence across all evidence for each combination of intervention and outcome (Guyatt et al., 2011; Higgins et al., 2019; Hultcrantz et al., 2017). The best-practice method of certainty assessment is the GRADE approach (Guyatt et al., 2011; Higgins et al., 2019; Hultcrantz et al., 2017). GRADE does not assess the size of an effect, per-se, but the confidence readers should have in the findings. The method considers both internal and external validity of the evidence for the intervention. A series of randomised experiments is given a rating of ‘high certainty’, but confidence is downgraded for one of five reasons (Guyatt et al., 2011; Hultcrantz et al., 2017): high risk of bias among the randomised experiments, high risk of publication bias, imprecise findings (usually indicated by wide confidence intervals), inconsistency (usually indicated by high unexplained heterogeneity), and indirectness (i.e., low external validity). Studies can also be upgraded for having large effect sizes (so biases would seldom negate the benefit), a dose-response gradient where more of the intervention leads to better results, and where any residual confounding would lead to increased rather than decreased effects (Guyatt et al., 2011; Hultcrantz et al., 2017). While this method is seldom used in marketing, it answers a key question practitioners and researchers want to know: how confident should I be in this effect? The criteria are drawn from meta-reviews of experimental biases that have been shown to add uncertainty to effect sizes, usually in the direction of inflating reported effects (Guyatt et al., 2011; Hultcrantz et al., 2017).</w:t>
      </w:r>
    </w:p>
    <w:p w:rsidR="00BE709D" w:rsidRPr="009B2444" w:rsidRDefault="00BE709D" w:rsidP="00BE709D">
      <w:pPr>
        <w:pStyle w:val="Heading2"/>
      </w:pPr>
      <w:bookmarkStart w:id="5" w:name="_xwfxwhkzt487" w:colFirst="0" w:colLast="0"/>
      <w:bookmarkEnd w:id="5"/>
      <w:r w:rsidRPr="009B2444">
        <w:t>Certainty Assessments</w:t>
      </w:r>
    </w:p>
    <w:p w:rsidR="00BE709D" w:rsidRPr="009B2444" w:rsidRDefault="00BE709D" w:rsidP="00BE709D">
      <w:pPr>
        <w:sectPr w:rsidR="00BE709D" w:rsidRPr="009B2444" w:rsidSect="009B2444">
          <w:type w:val="continuous"/>
          <w:pgSz w:w="12240" w:h="15840"/>
          <w:pgMar w:top="1440" w:right="1440" w:bottom="1440" w:left="1440" w:header="720" w:footer="720" w:gutter="0"/>
          <w:cols w:space="720"/>
        </w:sectPr>
      </w:pPr>
      <w:r w:rsidRPr="009B2444">
        <w:t xml:space="preserve">Our certainty assessment </w:t>
      </w:r>
      <w:hyperlink r:id="rId6">
        <w:r w:rsidRPr="009B2444">
          <w:rPr>
            <w:color w:val="000000"/>
          </w:rPr>
          <w:t>(GRADE, Hultcrantz et al., 2017)</w:t>
        </w:r>
      </w:hyperlink>
      <w:r w:rsidRPr="009B2444">
        <w:t xml:space="preserve"> found key threats to internal and external validity of the interventions reported in the included reviews, which reduce our certainty in all reported effects (see Supplementary Table S2). One intervention received a GRADE of ‘low’ (“The true effect might be markedly different from the estimated effect”) because the effect sizes were large enough that the threats to internal and external validity would seldom eliminate effects entirely </w:t>
      </w:r>
      <w:hyperlink r:id="rId7">
        <w:r w:rsidRPr="009B2444">
          <w:rPr>
            <w:color w:val="000000"/>
          </w:rPr>
          <w:t>(pique technique; Lee &amp; Feeley, 2017)</w:t>
        </w:r>
      </w:hyperlink>
      <w:r w:rsidRPr="009B2444">
        <w:t>. All other interventions received a GRADE of ‘very low’ (“The true effect is probably markedly different from the estimated effect”).</w:t>
      </w:r>
    </w:p>
    <w:p w:rsidR="00BE709D" w:rsidRPr="009B2444" w:rsidRDefault="00BE709D" w:rsidP="00BE709D">
      <w:pPr>
        <w:pStyle w:val="Heading2"/>
      </w:pPr>
      <w:bookmarkStart w:id="6" w:name="_2ni8m4d2egt5" w:colFirst="0" w:colLast="0"/>
      <w:bookmarkEnd w:id="6"/>
      <w:r w:rsidRPr="009B2444">
        <w:lastRenderedPageBreak/>
        <w:t>Supplementary Table S2</w:t>
      </w:r>
    </w:p>
    <w:p w:rsidR="00BE709D" w:rsidRPr="009B2444" w:rsidRDefault="00BE709D" w:rsidP="00BE709D">
      <w:pPr>
        <w:rPr>
          <w:i/>
          <w:sz w:val="20"/>
          <w:szCs w:val="20"/>
        </w:rPr>
      </w:pPr>
      <w:r w:rsidRPr="009B2444">
        <w:rPr>
          <w:i/>
          <w:sz w:val="20"/>
          <w:szCs w:val="20"/>
        </w:rPr>
        <w:t>GRADE Table with Pooled Effect for Each Intervention and Confidence in that Effect Size Estimate (GRADE) from High to Very Low</w:t>
      </w:r>
    </w:p>
    <w:tbl>
      <w:tblPr>
        <w:tblW w:w="0" w:type="auto"/>
        <w:tblLook w:val="0400" w:firstRow="0" w:lastRow="0" w:firstColumn="0" w:lastColumn="0" w:noHBand="0" w:noVBand="1"/>
      </w:tblPr>
      <w:tblGrid>
        <w:gridCol w:w="1430"/>
        <w:gridCol w:w="1200"/>
        <w:gridCol w:w="1032"/>
        <w:gridCol w:w="809"/>
        <w:gridCol w:w="1656"/>
        <w:gridCol w:w="1041"/>
        <w:gridCol w:w="1613"/>
        <w:gridCol w:w="1596"/>
        <w:gridCol w:w="1815"/>
        <w:gridCol w:w="1484"/>
        <w:gridCol w:w="724"/>
      </w:tblGrid>
      <w:tr w:rsidR="00BE709D" w:rsidRPr="009B2444" w:rsidTr="00BE39AF">
        <w:trPr>
          <w:trHeight w:val="212"/>
          <w:tblHeader/>
        </w:trPr>
        <w:tc>
          <w:tcPr>
            <w:tcW w:w="0" w:type="auto"/>
            <w:tcBorders>
              <w:top w:val="nil"/>
              <w:left w:val="nil"/>
              <w:bottom w:val="nil"/>
              <w:right w:val="nil"/>
            </w:tcBorders>
            <w:shd w:val="clear" w:color="auto" w:fill="auto"/>
            <w:vAlign w:val="bottom"/>
          </w:tcPr>
          <w:p w:rsidR="00BE709D" w:rsidRPr="009B2444" w:rsidRDefault="00BE709D" w:rsidP="00BE39AF">
            <w:pPr>
              <w:spacing w:line="240" w:lineRule="auto"/>
              <w:rPr>
                <w:b/>
                <w:sz w:val="20"/>
                <w:szCs w:val="20"/>
              </w:rPr>
            </w:pPr>
            <w:r w:rsidRPr="009B2444">
              <w:rPr>
                <w:b/>
                <w:sz w:val="20"/>
                <w:szCs w:val="20"/>
              </w:rPr>
              <w:t>Intervention</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Outcome</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i/>
                <w:sz w:val="20"/>
                <w:szCs w:val="20"/>
              </w:rPr>
              <w:t>r</w:t>
            </w:r>
            <w:r w:rsidRPr="009B2444">
              <w:rPr>
                <w:b/>
                <w:sz w:val="20"/>
                <w:szCs w:val="20"/>
              </w:rPr>
              <w:t xml:space="preserve"> with</w:t>
            </w:r>
            <w:r w:rsidRPr="009B2444">
              <w:rPr>
                <w:b/>
                <w:sz w:val="20"/>
                <w:szCs w:val="20"/>
              </w:rPr>
              <w:br/>
              <w:t>95% CI</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GRADE</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Design</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Risk of Bias</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Imprecision</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Inconsistency</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Indirectness</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Publication Bias</w:t>
            </w:r>
          </w:p>
        </w:tc>
        <w:tc>
          <w:tcPr>
            <w:tcW w:w="0" w:type="auto"/>
            <w:tcBorders>
              <w:top w:val="nil"/>
              <w:left w:val="nil"/>
              <w:bottom w:val="nil"/>
              <w:right w:val="nil"/>
            </w:tcBorders>
            <w:shd w:val="clear" w:color="auto" w:fill="FFFFFF"/>
            <w:vAlign w:val="bottom"/>
          </w:tcPr>
          <w:p w:rsidR="00BE709D" w:rsidRPr="009B2444" w:rsidRDefault="00BE709D" w:rsidP="00BE39AF">
            <w:pPr>
              <w:spacing w:line="240" w:lineRule="auto"/>
              <w:rPr>
                <w:b/>
                <w:sz w:val="20"/>
                <w:szCs w:val="20"/>
              </w:rPr>
            </w:pPr>
            <w:r w:rsidRPr="009B2444">
              <w:rPr>
                <w:b/>
                <w:sz w:val="20"/>
                <w:szCs w:val="20"/>
              </w:rPr>
              <w:t>Large Effect</w:t>
            </w:r>
          </w:p>
        </w:tc>
      </w:tr>
      <w:tr w:rsidR="00BE709D" w:rsidRPr="009B2444" w:rsidTr="00BE39AF">
        <w:trPr>
          <w:trHeight w:val="1400"/>
        </w:trPr>
        <w:tc>
          <w:tcPr>
            <w:tcW w:w="0" w:type="auto"/>
            <w:tcBorders>
              <w:top w:val="single" w:sz="4" w:space="0" w:color="000000"/>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t>Crowding out</w:t>
            </w:r>
          </w:p>
        </w:tc>
        <w:tc>
          <w:tcPr>
            <w:tcW w:w="0" w:type="auto"/>
            <w:tcBorders>
              <w:top w:val="single" w:sz="4" w:space="0" w:color="000000"/>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Donation revenue</w:t>
            </w:r>
          </w:p>
        </w:tc>
        <w:tc>
          <w:tcPr>
            <w:tcW w:w="0" w:type="auto"/>
            <w:tcBorders>
              <w:top w:val="single" w:sz="4" w:space="0" w:color="000000"/>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Uncertain</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single" w:sz="4" w:space="0" w:color="000000"/>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Both experimental and non-experimental studies</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Wide CIs and divergent results for experimental and non-experimental studies</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Large between-study standard deviation (often &gt;= effect size)</w:t>
            </w:r>
          </w:p>
        </w:tc>
        <w:tc>
          <w:tcPr>
            <w:tcW w:w="0" w:type="auto"/>
            <w:tcBorders>
              <w:top w:val="single" w:sz="4" w:space="0" w:color="000000"/>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Mostly field experiments</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Not assessed</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1400"/>
        </w:trPr>
        <w:tc>
          <w:tcPr>
            <w:tcW w:w="0" w:type="auto"/>
            <w:tcBorders>
              <w:top w:val="nil"/>
              <w:left w:val="nil"/>
              <w:bottom w:val="nil"/>
              <w:right w:val="nil"/>
            </w:tcBorders>
            <w:shd w:val="clear" w:color="auto" w:fill="auto"/>
          </w:tcPr>
          <w:p w:rsidR="00BE709D" w:rsidRPr="009B2444" w:rsidRDefault="00BE709D" w:rsidP="00BE39AF">
            <w:pPr>
              <w:spacing w:line="240" w:lineRule="auto"/>
              <w:rPr>
                <w:i/>
                <w:sz w:val="20"/>
                <w:szCs w:val="20"/>
              </w:rPr>
            </w:pPr>
            <w:r w:rsidRPr="009B2444">
              <w:rPr>
                <w:i/>
                <w:sz w:val="20"/>
                <w:szCs w:val="20"/>
              </w:rPr>
              <w:t xml:space="preserve">Door in the face </w:t>
            </w:r>
          </w:p>
        </w:tc>
        <w:tc>
          <w:tcPr>
            <w:tcW w:w="0" w:type="auto"/>
            <w:tcBorders>
              <w:top w:val="nil"/>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Compliance</w:t>
            </w:r>
          </w:p>
        </w:tc>
        <w:tc>
          <w:tcPr>
            <w:tcW w:w="0" w:type="auto"/>
            <w:tcBorders>
              <w:top w:val="nil"/>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 xml:space="preserve">0.06 </w:t>
            </w:r>
          </w:p>
          <w:p w:rsidR="00BE709D" w:rsidRPr="009B2444" w:rsidRDefault="00BE709D" w:rsidP="00BE39AF">
            <w:pPr>
              <w:spacing w:line="240" w:lineRule="auto"/>
              <w:rPr>
                <w:sz w:val="20"/>
                <w:szCs w:val="20"/>
              </w:rPr>
            </w:pPr>
            <w:r w:rsidRPr="009B2444">
              <w:rPr>
                <w:sz w:val="20"/>
                <w:szCs w:val="20"/>
              </w:rPr>
              <w:t>[-0.01, 0.12]</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Apparently experimental studies</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Wide confidence intervals for monetary donations</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 xml:space="preserve">Significant unexplained heterogeneity </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About half of the studies involved students with smaller effects in non-student populations</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Assessed and low risk</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1120"/>
        </w:trPr>
        <w:tc>
          <w:tcPr>
            <w:tcW w:w="0" w:type="auto"/>
            <w:tcBorders>
              <w:top w:val="single" w:sz="4" w:space="0" w:color="000000"/>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t>Gain-framed messages</w:t>
            </w:r>
          </w:p>
        </w:tc>
        <w:tc>
          <w:tcPr>
            <w:tcW w:w="0" w:type="auto"/>
            <w:tcBorders>
              <w:top w:val="single" w:sz="4" w:space="0" w:color="000000"/>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single" w:sz="4" w:space="0" w:color="000000"/>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-0.01</w:t>
            </w:r>
          </w:p>
          <w:p w:rsidR="00BE709D" w:rsidRPr="009B2444" w:rsidRDefault="00BE709D" w:rsidP="00BE39AF">
            <w:pPr>
              <w:spacing w:line="240" w:lineRule="auto"/>
              <w:rPr>
                <w:sz w:val="20"/>
                <w:szCs w:val="20"/>
              </w:rPr>
            </w:pPr>
            <w:r w:rsidRPr="009B2444">
              <w:rPr>
                <w:sz w:val="20"/>
                <w:szCs w:val="20"/>
              </w:rPr>
              <w:t>[-0.09, 0.07]</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single" w:sz="4" w:space="0" w:color="000000"/>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single" w:sz="4" w:space="0" w:color="000000"/>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CI</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Large between study heterogeneity (88.47%)</w:t>
            </w:r>
          </w:p>
        </w:tc>
        <w:tc>
          <w:tcPr>
            <w:tcW w:w="0" w:type="auto"/>
            <w:tcBorders>
              <w:top w:val="single" w:sz="4" w:space="0" w:color="000000"/>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Mostly field experiments (26/40) with no significant difference in pattern.</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Not assessed by established methods; methods used indicated presence of bias</w:t>
            </w:r>
          </w:p>
        </w:tc>
        <w:tc>
          <w:tcPr>
            <w:tcW w:w="0" w:type="auto"/>
            <w:tcBorders>
              <w:top w:val="single" w:sz="4" w:space="0" w:color="000000"/>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1400"/>
        </w:trPr>
        <w:tc>
          <w:tcPr>
            <w:tcW w:w="0" w:type="auto"/>
            <w:tcBorders>
              <w:top w:val="nil"/>
              <w:left w:val="nil"/>
              <w:bottom w:val="nil"/>
              <w:right w:val="nil"/>
            </w:tcBorders>
            <w:shd w:val="clear" w:color="auto" w:fill="auto"/>
          </w:tcPr>
          <w:p w:rsidR="00BE709D" w:rsidRPr="009B2444" w:rsidRDefault="00BE709D" w:rsidP="00BE39AF">
            <w:pPr>
              <w:spacing w:line="240" w:lineRule="auto"/>
              <w:rPr>
                <w:i/>
                <w:sz w:val="20"/>
                <w:szCs w:val="20"/>
              </w:rPr>
            </w:pPr>
            <w:r w:rsidRPr="009B2444">
              <w:rPr>
                <w:i/>
                <w:sz w:val="20"/>
                <w:szCs w:val="20"/>
              </w:rPr>
              <w:t>Identifiable victim</w:t>
            </w:r>
          </w:p>
        </w:tc>
        <w:tc>
          <w:tcPr>
            <w:tcW w:w="0" w:type="auto"/>
            <w:tcBorders>
              <w:top w:val="nil"/>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nil"/>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0.13</w:t>
            </w:r>
          </w:p>
          <w:p w:rsidR="00BE709D" w:rsidRPr="009B2444" w:rsidRDefault="00BE709D" w:rsidP="00BE39AF">
            <w:pPr>
              <w:spacing w:line="240" w:lineRule="auto"/>
              <w:rPr>
                <w:sz w:val="20"/>
                <w:szCs w:val="20"/>
              </w:rPr>
            </w:pPr>
            <w:r w:rsidRPr="009B2444">
              <w:rPr>
                <w:sz w:val="20"/>
                <w:szCs w:val="20"/>
              </w:rPr>
              <w:t>[0.08, 0.17]</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Could be either randomised or quasi-experimental; proportion not reported</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CI</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Moderate unexplained heterogeneity (53%)</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Approximately 3 of 40+ studies were field experiments, the rest conducted in laboratories</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Not assessed</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840"/>
        </w:trPr>
        <w:tc>
          <w:tcPr>
            <w:tcW w:w="0" w:type="auto"/>
            <w:vMerge w:val="restart"/>
            <w:tcBorders>
              <w:top w:val="single" w:sz="4" w:space="0" w:color="000000"/>
              <w:left w:val="nil"/>
              <w:bottom w:val="single" w:sz="4" w:space="0" w:color="000000"/>
              <w:right w:val="nil"/>
            </w:tcBorders>
            <w:shd w:val="clear" w:color="auto" w:fill="FFFFFF"/>
          </w:tcPr>
          <w:p w:rsidR="00BE709D" w:rsidRPr="009B2444" w:rsidRDefault="00BE709D" w:rsidP="00BE39AF">
            <w:pPr>
              <w:spacing w:line="240" w:lineRule="auto"/>
              <w:rPr>
                <w:i/>
                <w:sz w:val="20"/>
                <w:szCs w:val="20"/>
              </w:rPr>
            </w:pPr>
            <w:r w:rsidRPr="009B2444">
              <w:rPr>
                <w:i/>
                <w:sz w:val="20"/>
                <w:szCs w:val="20"/>
              </w:rPr>
              <w:t>Legitimizing paltry contributions</w:t>
            </w:r>
          </w:p>
        </w:tc>
        <w:tc>
          <w:tcPr>
            <w:tcW w:w="0" w:type="auto"/>
            <w:tcBorders>
              <w:top w:val="single" w:sz="4" w:space="0" w:color="000000"/>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Compliance</w:t>
            </w:r>
          </w:p>
        </w:tc>
        <w:tc>
          <w:tcPr>
            <w:tcW w:w="0" w:type="auto"/>
            <w:tcBorders>
              <w:top w:val="single" w:sz="4" w:space="0" w:color="000000"/>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0.22</w:t>
            </w:r>
          </w:p>
          <w:p w:rsidR="00BE709D" w:rsidRPr="009B2444" w:rsidRDefault="00BE709D" w:rsidP="00BE39AF">
            <w:pPr>
              <w:spacing w:line="240" w:lineRule="auto"/>
              <w:rPr>
                <w:sz w:val="20"/>
                <w:szCs w:val="20"/>
              </w:rPr>
            </w:pPr>
            <w:r w:rsidRPr="009B2444">
              <w:rPr>
                <w:sz w:val="20"/>
                <w:szCs w:val="20"/>
              </w:rPr>
              <w:t>[0.17, 0.26]</w:t>
            </w:r>
          </w:p>
        </w:tc>
        <w:tc>
          <w:tcPr>
            <w:tcW w:w="0" w:type="auto"/>
            <w:tcBorders>
              <w:top w:val="single" w:sz="4" w:space="0" w:color="000000"/>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single" w:sz="4" w:space="0" w:color="000000"/>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single" w:sz="4" w:space="0" w:color="000000"/>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single" w:sz="4" w:space="0" w:color="000000"/>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Wide CI ranging from no effect to possibly very harmful</w:t>
            </w:r>
          </w:p>
        </w:tc>
        <w:tc>
          <w:tcPr>
            <w:tcW w:w="0" w:type="auto"/>
            <w:tcBorders>
              <w:top w:val="single" w:sz="4" w:space="0" w:color="000000"/>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Significant heterogeneity for compliance</w:t>
            </w:r>
          </w:p>
        </w:tc>
        <w:tc>
          <w:tcPr>
            <w:tcW w:w="0" w:type="auto"/>
            <w:tcBorders>
              <w:top w:val="single" w:sz="4" w:space="0" w:color="000000"/>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Only 2/17 studies conducted in lab</w:t>
            </w:r>
          </w:p>
        </w:tc>
        <w:tc>
          <w:tcPr>
            <w:tcW w:w="0" w:type="auto"/>
            <w:tcBorders>
              <w:top w:val="single" w:sz="4" w:space="0" w:color="000000"/>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Not assessed</w:t>
            </w:r>
          </w:p>
        </w:tc>
        <w:tc>
          <w:tcPr>
            <w:tcW w:w="0" w:type="auto"/>
            <w:tcBorders>
              <w:top w:val="single" w:sz="4" w:space="0" w:color="000000"/>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840"/>
        </w:trPr>
        <w:tc>
          <w:tcPr>
            <w:tcW w:w="0" w:type="auto"/>
            <w:vMerge/>
            <w:tcBorders>
              <w:top w:val="single" w:sz="4" w:space="0" w:color="000000"/>
              <w:left w:val="nil"/>
              <w:bottom w:val="single" w:sz="4" w:space="0" w:color="000000"/>
              <w:right w:val="nil"/>
            </w:tcBorders>
            <w:shd w:val="clear" w:color="auto" w:fill="FFFFFF"/>
          </w:tcPr>
          <w:p w:rsidR="00BE709D" w:rsidRPr="009B2444" w:rsidRDefault="00BE709D" w:rsidP="00BE39AF">
            <w:pPr>
              <w:widowControl w:val="0"/>
              <w:spacing w:line="276" w:lineRule="auto"/>
              <w:rPr>
                <w:sz w:val="20"/>
                <w:szCs w:val="20"/>
              </w:rPr>
            </w:pP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-0.14</w:t>
            </w:r>
          </w:p>
          <w:p w:rsidR="00BE709D" w:rsidRPr="009B2444" w:rsidRDefault="00BE709D" w:rsidP="00BE39AF">
            <w:pPr>
              <w:spacing w:line="240" w:lineRule="auto"/>
              <w:rPr>
                <w:sz w:val="20"/>
                <w:szCs w:val="20"/>
              </w:rPr>
            </w:pPr>
            <w:r w:rsidRPr="009B2444">
              <w:rPr>
                <w:sz w:val="20"/>
                <w:szCs w:val="20"/>
              </w:rPr>
              <w:t>[-0.22, -0.06]</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Wide CI ranging from no effect to possibly very harmful</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No significant heterogeneity for donation size</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Only 2/30 studies conducted in lab</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840"/>
        </w:trPr>
        <w:tc>
          <w:tcPr>
            <w:tcW w:w="0" w:type="auto"/>
            <w:vMerge w:val="restart"/>
            <w:tcBorders>
              <w:top w:val="nil"/>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lastRenderedPageBreak/>
              <w:t>Observability (artificial)</w:t>
            </w:r>
          </w:p>
        </w:tc>
        <w:tc>
          <w:tcPr>
            <w:tcW w:w="0" w:type="auto"/>
            <w:tcBorders>
              <w:top w:val="nil"/>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Compliance</w:t>
            </w:r>
          </w:p>
        </w:tc>
        <w:tc>
          <w:tcPr>
            <w:tcW w:w="0" w:type="auto"/>
            <w:tcBorders>
              <w:top w:val="nil"/>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0.04</w:t>
            </w:r>
          </w:p>
          <w:p w:rsidR="00BE709D" w:rsidRPr="009B2444" w:rsidRDefault="00BE709D" w:rsidP="00BE39AF">
            <w:pPr>
              <w:spacing w:line="240" w:lineRule="auto"/>
              <w:rPr>
                <w:sz w:val="20"/>
                <w:szCs w:val="20"/>
              </w:rPr>
            </w:pPr>
            <w:r w:rsidRPr="009B2444">
              <w:rPr>
                <w:sz w:val="20"/>
                <w:szCs w:val="20"/>
              </w:rPr>
              <w:t>[0.03, 0.06]</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CI</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No significant heterogeneity for compliance</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Some field experiments but most in lab and no moderation conducted</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840"/>
        </w:trPr>
        <w:tc>
          <w:tcPr>
            <w:tcW w:w="0" w:type="auto"/>
            <w:vMerge/>
            <w:tcBorders>
              <w:top w:val="nil"/>
              <w:left w:val="nil"/>
              <w:bottom w:val="single" w:sz="4" w:space="0" w:color="000000"/>
              <w:right w:val="nil"/>
            </w:tcBorders>
            <w:shd w:val="clear" w:color="auto" w:fill="auto"/>
          </w:tcPr>
          <w:p w:rsidR="00BE709D" w:rsidRPr="009B2444" w:rsidRDefault="00BE709D" w:rsidP="00BE39AF">
            <w:pPr>
              <w:widowControl w:val="0"/>
              <w:spacing w:line="276" w:lineRule="auto"/>
              <w:rPr>
                <w:sz w:val="20"/>
                <w:szCs w:val="20"/>
              </w:rPr>
            </w:pP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0.01</w:t>
            </w:r>
          </w:p>
          <w:p w:rsidR="00BE709D" w:rsidRPr="009B2444" w:rsidRDefault="00BE709D" w:rsidP="00BE39AF">
            <w:pPr>
              <w:spacing w:line="240" w:lineRule="auto"/>
              <w:rPr>
                <w:sz w:val="20"/>
                <w:szCs w:val="20"/>
              </w:rPr>
            </w:pPr>
            <w:r w:rsidRPr="009B2444">
              <w:rPr>
                <w:sz w:val="20"/>
                <w:szCs w:val="20"/>
              </w:rPr>
              <w:t>[-0.02, 0.05]</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CI</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Significant heterogeneity for donation size</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Some field experiments but most in lab and no moderation conducted</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1120"/>
        </w:trPr>
        <w:tc>
          <w:tcPr>
            <w:tcW w:w="0" w:type="auto"/>
            <w:tcBorders>
              <w:top w:val="nil"/>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t>Observability (real)</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0.15</w:t>
            </w:r>
          </w:p>
          <w:p w:rsidR="00BE709D" w:rsidRPr="009B2444" w:rsidRDefault="00BE709D" w:rsidP="00BE39AF">
            <w:pPr>
              <w:spacing w:line="240" w:lineRule="auto"/>
              <w:rPr>
                <w:sz w:val="20"/>
                <w:szCs w:val="20"/>
              </w:rPr>
            </w:pPr>
            <w:r w:rsidRPr="009B2444">
              <w:rPr>
                <w:sz w:val="20"/>
                <w:szCs w:val="20"/>
              </w:rPr>
              <w:t>[0.11, 0.20]</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73% experimental studies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CI</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 xml:space="preserve">Large heterogeneity (99.24%) that appears unexplained </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Most studies conducted in laboratories (~99/134) with much lower effects from field experiments</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Assessed and low risk</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1120"/>
        </w:trPr>
        <w:tc>
          <w:tcPr>
            <w:tcW w:w="0" w:type="auto"/>
            <w:vMerge w:val="restart"/>
            <w:tcBorders>
              <w:top w:val="nil"/>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t>Pique</w:t>
            </w:r>
          </w:p>
        </w:tc>
        <w:tc>
          <w:tcPr>
            <w:tcW w:w="0" w:type="auto"/>
            <w:tcBorders>
              <w:top w:val="nil"/>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Compliance</w:t>
            </w:r>
          </w:p>
        </w:tc>
        <w:tc>
          <w:tcPr>
            <w:tcW w:w="0" w:type="auto"/>
            <w:tcBorders>
              <w:top w:val="nil"/>
              <w:left w:val="nil"/>
              <w:bottom w:val="nil"/>
              <w:right w:val="nil"/>
            </w:tcBorders>
            <w:shd w:val="clear" w:color="auto" w:fill="FFFFFF"/>
          </w:tcPr>
          <w:p w:rsidR="00BE709D" w:rsidRPr="009B2444" w:rsidRDefault="00BE709D" w:rsidP="00BE39AF">
            <w:pPr>
              <w:spacing w:line="240" w:lineRule="auto"/>
              <w:rPr>
                <w:sz w:val="20"/>
                <w:szCs w:val="20"/>
              </w:rPr>
            </w:pPr>
            <w:r w:rsidRPr="009B2444">
              <w:rPr>
                <w:sz w:val="20"/>
                <w:szCs w:val="20"/>
              </w:rPr>
              <w:t>0.27</w:t>
            </w:r>
          </w:p>
          <w:p w:rsidR="00BE709D" w:rsidRPr="009B2444" w:rsidRDefault="00BE709D" w:rsidP="00BE39AF">
            <w:pPr>
              <w:spacing w:line="240" w:lineRule="auto"/>
              <w:rPr>
                <w:sz w:val="20"/>
                <w:szCs w:val="20"/>
              </w:rPr>
            </w:pPr>
            <w:r w:rsidRPr="009B2444">
              <w:rPr>
                <w:sz w:val="20"/>
                <w:szCs w:val="20"/>
              </w:rPr>
              <w:t>[0.19, 0.35]</w:t>
            </w:r>
          </w:p>
        </w:tc>
        <w:tc>
          <w:tcPr>
            <w:tcW w:w="0" w:type="auto"/>
            <w:tcBorders>
              <w:top w:val="nil"/>
              <w:left w:val="nil"/>
              <w:bottom w:val="nil"/>
              <w:right w:val="nil"/>
            </w:tcBorders>
            <w:shd w:val="clear" w:color="auto" w:fill="FFF2CC"/>
          </w:tcPr>
          <w:p w:rsidR="00BE709D" w:rsidRPr="009B2444" w:rsidRDefault="00BE709D" w:rsidP="00BE39AF">
            <w:pPr>
              <w:spacing w:line="240" w:lineRule="auto"/>
              <w:rPr>
                <w:sz w:val="20"/>
                <w:szCs w:val="20"/>
              </w:rPr>
            </w:pPr>
            <w:r w:rsidRPr="009B2444">
              <w:rPr>
                <w:sz w:val="20"/>
                <w:szCs w:val="20"/>
              </w:rPr>
              <w:t>Low</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CI</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Significant unexplained heterogeneity</w:t>
            </w:r>
          </w:p>
        </w:tc>
        <w:tc>
          <w:tcPr>
            <w:tcW w:w="0" w:type="auto"/>
            <w:tcBorders>
              <w:top w:val="nil"/>
              <w:left w:val="nil"/>
              <w:bottom w:val="nil"/>
              <w:right w:val="nil"/>
            </w:tcBorders>
            <w:shd w:val="clear" w:color="auto" w:fill="FC8D59"/>
          </w:tcPr>
          <w:p w:rsidR="00BE709D" w:rsidRPr="009B2444" w:rsidRDefault="00BE709D" w:rsidP="00BE39AF">
            <w:pPr>
              <w:spacing w:line="240" w:lineRule="auto"/>
              <w:rPr>
                <w:sz w:val="20"/>
                <w:szCs w:val="20"/>
              </w:rPr>
            </w:pPr>
            <w:r w:rsidRPr="009B2444">
              <w:rPr>
                <w:sz w:val="20"/>
                <w:szCs w:val="20"/>
              </w:rPr>
              <w:t>Only 15/17 were field experiments but all were trivial amounts of money (&lt;$3)</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Assessed and low risk</w:t>
            </w:r>
          </w:p>
        </w:tc>
        <w:tc>
          <w:tcPr>
            <w:tcW w:w="0" w:type="auto"/>
            <w:tcBorders>
              <w:top w:val="nil"/>
              <w:left w:val="nil"/>
              <w:bottom w:val="nil"/>
              <w:right w:val="nil"/>
            </w:tcBorders>
            <w:shd w:val="clear" w:color="auto" w:fill="99D594"/>
          </w:tcPr>
          <w:p w:rsidR="00BE709D" w:rsidRPr="009B2444" w:rsidRDefault="00BE709D" w:rsidP="00BE39AF">
            <w:pPr>
              <w:spacing w:line="240" w:lineRule="auto"/>
              <w:rPr>
                <w:sz w:val="20"/>
                <w:szCs w:val="20"/>
              </w:rPr>
            </w:pPr>
            <w:r w:rsidRPr="009B2444">
              <w:rPr>
                <w:sz w:val="20"/>
                <w:szCs w:val="20"/>
              </w:rPr>
              <w:t>Yes</w:t>
            </w:r>
          </w:p>
          <w:p w:rsidR="00BE709D" w:rsidRPr="009B2444" w:rsidRDefault="00BE709D" w:rsidP="00BE39AF">
            <w:pPr>
              <w:spacing w:line="240" w:lineRule="auto"/>
              <w:rPr>
                <w:sz w:val="20"/>
                <w:szCs w:val="20"/>
              </w:rPr>
            </w:pPr>
            <w:r w:rsidRPr="009B2444">
              <w:rPr>
                <w:sz w:val="20"/>
                <w:szCs w:val="20"/>
              </w:rPr>
              <w:t>|r| ~= 0.3</w:t>
            </w:r>
          </w:p>
        </w:tc>
      </w:tr>
      <w:tr w:rsidR="00BE709D" w:rsidRPr="009B2444" w:rsidTr="00BE39AF">
        <w:trPr>
          <w:trHeight w:val="1120"/>
        </w:trPr>
        <w:tc>
          <w:tcPr>
            <w:tcW w:w="0" w:type="auto"/>
            <w:vMerge/>
            <w:tcBorders>
              <w:top w:val="nil"/>
              <w:left w:val="nil"/>
              <w:bottom w:val="single" w:sz="4" w:space="0" w:color="000000"/>
              <w:right w:val="nil"/>
            </w:tcBorders>
            <w:shd w:val="clear" w:color="auto" w:fill="auto"/>
          </w:tcPr>
          <w:p w:rsidR="00BE709D" w:rsidRPr="009B2444" w:rsidRDefault="00BE709D" w:rsidP="00BE39AF">
            <w:pPr>
              <w:widowControl w:val="0"/>
              <w:spacing w:line="276" w:lineRule="auto"/>
              <w:rPr>
                <w:sz w:val="20"/>
                <w:szCs w:val="20"/>
              </w:rPr>
            </w:pP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0.29</w:t>
            </w:r>
          </w:p>
          <w:p w:rsidR="00BE709D" w:rsidRPr="009B2444" w:rsidRDefault="00BE709D" w:rsidP="00BE39AF">
            <w:pPr>
              <w:spacing w:line="240" w:lineRule="auto"/>
              <w:rPr>
                <w:sz w:val="20"/>
                <w:szCs w:val="20"/>
              </w:rPr>
            </w:pPr>
            <w:r w:rsidRPr="009B2444">
              <w:rPr>
                <w:sz w:val="20"/>
                <w:szCs w:val="20"/>
              </w:rPr>
              <w:t>[0.25, 0.33]</w:t>
            </w:r>
          </w:p>
        </w:tc>
        <w:tc>
          <w:tcPr>
            <w:tcW w:w="0" w:type="auto"/>
            <w:tcBorders>
              <w:top w:val="nil"/>
              <w:left w:val="nil"/>
              <w:bottom w:val="single" w:sz="4" w:space="0" w:color="000000"/>
              <w:right w:val="nil"/>
            </w:tcBorders>
            <w:shd w:val="clear" w:color="auto" w:fill="FFF2CC"/>
          </w:tcPr>
          <w:p w:rsidR="00BE709D" w:rsidRPr="009B2444" w:rsidRDefault="00BE709D" w:rsidP="00BE39AF">
            <w:pPr>
              <w:spacing w:line="240" w:lineRule="auto"/>
              <w:rPr>
                <w:sz w:val="20"/>
                <w:szCs w:val="20"/>
              </w:rPr>
            </w:pPr>
            <w:r w:rsidRPr="009B2444">
              <w:rPr>
                <w:sz w:val="20"/>
                <w:szCs w:val="20"/>
              </w:rPr>
              <w:t>Low</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CI</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Only 15/17 were field experiments but all were trivial amounts of money (&lt;$3)</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Assessed and low risk</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Yes</w:t>
            </w:r>
          </w:p>
          <w:p w:rsidR="00BE709D" w:rsidRPr="009B2444" w:rsidRDefault="00BE709D" w:rsidP="00BE39AF">
            <w:pPr>
              <w:spacing w:line="240" w:lineRule="auto"/>
              <w:rPr>
                <w:sz w:val="20"/>
                <w:szCs w:val="20"/>
              </w:rPr>
            </w:pPr>
            <w:r w:rsidRPr="009B2444">
              <w:rPr>
                <w:sz w:val="20"/>
                <w:szCs w:val="20"/>
              </w:rPr>
              <w:t>|r| ~= 0.3</w:t>
            </w:r>
          </w:p>
        </w:tc>
      </w:tr>
      <w:tr w:rsidR="00BE709D" w:rsidRPr="009B2444" w:rsidTr="00BE39AF">
        <w:trPr>
          <w:trHeight w:val="840"/>
        </w:trPr>
        <w:tc>
          <w:tcPr>
            <w:tcW w:w="0" w:type="auto"/>
            <w:tcBorders>
              <w:top w:val="nil"/>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t>Promoting intuition instead of deliberation</w:t>
            </w:r>
          </w:p>
        </w:tc>
        <w:tc>
          <w:tcPr>
            <w:tcW w:w="0" w:type="auto"/>
            <w:tcBorders>
              <w:top w:val="nil"/>
              <w:left w:val="nil"/>
              <w:bottom w:val="single" w:sz="4" w:space="0" w:color="000000"/>
              <w:right w:val="nil"/>
            </w:tcBorders>
            <w:shd w:val="clear" w:color="auto" w:fill="auto"/>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-0.01</w:t>
            </w:r>
          </w:p>
          <w:p w:rsidR="00BE709D" w:rsidRPr="009B2444" w:rsidRDefault="00BE709D" w:rsidP="00BE39AF">
            <w:pPr>
              <w:spacing w:line="240" w:lineRule="auto"/>
              <w:rPr>
                <w:sz w:val="20"/>
                <w:szCs w:val="20"/>
              </w:rPr>
            </w:pPr>
            <w:r w:rsidRPr="009B2444">
              <w:rPr>
                <w:sz w:val="20"/>
                <w:szCs w:val="20"/>
              </w:rPr>
              <w:t>[-0.02, 0.01]</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CI</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Difficult to assess as described</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Unclear, presumed to be mostly laboratory experiments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840"/>
        </w:trPr>
        <w:tc>
          <w:tcPr>
            <w:tcW w:w="0" w:type="auto"/>
            <w:tcBorders>
              <w:top w:val="nil"/>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t>Prosocial media</w:t>
            </w:r>
          </w:p>
        </w:tc>
        <w:tc>
          <w:tcPr>
            <w:tcW w:w="0" w:type="auto"/>
            <w:tcBorders>
              <w:top w:val="nil"/>
              <w:left w:val="nil"/>
              <w:bottom w:val="single" w:sz="4" w:space="0" w:color="000000"/>
              <w:right w:val="nil"/>
            </w:tcBorders>
            <w:shd w:val="clear" w:color="auto" w:fill="auto"/>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0.09</w:t>
            </w:r>
          </w:p>
          <w:p w:rsidR="00BE709D" w:rsidRPr="009B2444" w:rsidRDefault="00BE709D" w:rsidP="00BE39AF">
            <w:pPr>
              <w:spacing w:line="240" w:lineRule="auto"/>
              <w:rPr>
                <w:sz w:val="20"/>
                <w:szCs w:val="20"/>
              </w:rPr>
            </w:pPr>
            <w:r w:rsidRPr="009B2444">
              <w:rPr>
                <w:sz w:val="20"/>
                <w:szCs w:val="20"/>
              </w:rPr>
              <w:t>[-0.04, 0.21]</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Mostly experimental studies (57/77)</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Wide CI ranging from no effect to possibly very helpful</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Large unexplained heterogeneity (77.90%)</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Most appear to be in laboratory settings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Assessed and present, not corrected for in analyses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1400"/>
        </w:trPr>
        <w:tc>
          <w:tcPr>
            <w:tcW w:w="0" w:type="auto"/>
            <w:tcBorders>
              <w:top w:val="nil"/>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lastRenderedPageBreak/>
              <w:t>Prosocial modelling</w:t>
            </w:r>
          </w:p>
        </w:tc>
        <w:tc>
          <w:tcPr>
            <w:tcW w:w="0" w:type="auto"/>
            <w:tcBorders>
              <w:top w:val="nil"/>
              <w:left w:val="nil"/>
              <w:bottom w:val="single" w:sz="4" w:space="0" w:color="000000"/>
              <w:right w:val="nil"/>
            </w:tcBorders>
            <w:shd w:val="clear" w:color="auto" w:fill="auto"/>
          </w:tcPr>
          <w:p w:rsidR="00BE709D" w:rsidRPr="009B2444" w:rsidRDefault="00BE709D" w:rsidP="00BE39AF">
            <w:pPr>
              <w:spacing w:line="240" w:lineRule="auto"/>
              <w:rPr>
                <w:sz w:val="20"/>
                <w:szCs w:val="20"/>
              </w:rPr>
            </w:pPr>
            <w:r w:rsidRPr="009B2444">
              <w:rPr>
                <w:sz w:val="20"/>
                <w:szCs w:val="20"/>
              </w:rPr>
              <w:t>Donation size</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0.22</w:t>
            </w:r>
          </w:p>
          <w:p w:rsidR="00BE709D" w:rsidRPr="009B2444" w:rsidRDefault="00BE709D" w:rsidP="00BE39AF">
            <w:pPr>
              <w:spacing w:line="240" w:lineRule="auto"/>
              <w:rPr>
                <w:sz w:val="20"/>
                <w:szCs w:val="20"/>
              </w:rPr>
            </w:pPr>
            <w:r w:rsidRPr="009B2444">
              <w:rPr>
                <w:sz w:val="20"/>
                <w:szCs w:val="20"/>
              </w:rPr>
              <w:t>[0.21, 0.24]</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Randomised experiments</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21/88 studies were blinded with similar effect sizes</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Narrow confidence interval</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Large between study heterogeneity (73.2%)</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Mostly lab experiments (65/88) with some field and online studies, with larger effects in the lab</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Assessed and present but corrected for in analyses</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r w:rsidR="00BE709D" w:rsidRPr="009B2444" w:rsidTr="00BE39AF">
        <w:trPr>
          <w:trHeight w:val="840"/>
        </w:trPr>
        <w:tc>
          <w:tcPr>
            <w:tcW w:w="0" w:type="auto"/>
            <w:tcBorders>
              <w:top w:val="nil"/>
              <w:left w:val="nil"/>
              <w:bottom w:val="single" w:sz="4" w:space="0" w:color="000000"/>
              <w:right w:val="nil"/>
            </w:tcBorders>
            <w:shd w:val="clear" w:color="auto" w:fill="auto"/>
          </w:tcPr>
          <w:p w:rsidR="00BE709D" w:rsidRPr="009B2444" w:rsidRDefault="00BE709D" w:rsidP="00BE39AF">
            <w:pPr>
              <w:spacing w:line="240" w:lineRule="auto"/>
              <w:rPr>
                <w:i/>
                <w:sz w:val="20"/>
                <w:szCs w:val="20"/>
              </w:rPr>
            </w:pPr>
            <w:r w:rsidRPr="009B2444">
              <w:rPr>
                <w:i/>
                <w:sz w:val="20"/>
                <w:szCs w:val="20"/>
              </w:rPr>
              <w:t>Tax deductibility</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Price elasticity</w:t>
            </w:r>
          </w:p>
        </w:tc>
        <w:tc>
          <w:tcPr>
            <w:tcW w:w="0" w:type="auto"/>
            <w:tcBorders>
              <w:top w:val="nil"/>
              <w:left w:val="nil"/>
              <w:bottom w:val="single" w:sz="4" w:space="0" w:color="000000"/>
              <w:right w:val="nil"/>
            </w:tcBorders>
            <w:shd w:val="clear" w:color="auto" w:fill="FFFFFF"/>
          </w:tcPr>
          <w:p w:rsidR="00BE709D" w:rsidRPr="009B2444" w:rsidRDefault="00BE709D" w:rsidP="00BE39AF">
            <w:pPr>
              <w:spacing w:line="240" w:lineRule="auto"/>
              <w:rPr>
                <w:sz w:val="20"/>
                <w:szCs w:val="20"/>
              </w:rPr>
            </w:pPr>
            <w:r w:rsidRPr="009B2444">
              <w:rPr>
                <w:sz w:val="20"/>
                <w:szCs w:val="20"/>
              </w:rPr>
              <w:t>-1.44</w:t>
            </w:r>
          </w:p>
          <w:p w:rsidR="00BE709D" w:rsidRPr="009B2444" w:rsidRDefault="00BE709D" w:rsidP="00BE39AF">
            <w:pPr>
              <w:spacing w:line="240" w:lineRule="auto"/>
              <w:rPr>
                <w:sz w:val="20"/>
                <w:szCs w:val="20"/>
              </w:rPr>
            </w:pPr>
            <w:r w:rsidRPr="009B2444">
              <w:rPr>
                <w:sz w:val="20"/>
                <w:szCs w:val="20"/>
              </w:rPr>
              <w:t>[NR, NR]</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low</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Observational data</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Very wide standard deviation, CI not reported</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NA</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Largely field data</w:t>
            </w:r>
          </w:p>
        </w:tc>
        <w:tc>
          <w:tcPr>
            <w:tcW w:w="0" w:type="auto"/>
            <w:tcBorders>
              <w:top w:val="nil"/>
              <w:left w:val="nil"/>
              <w:bottom w:val="single" w:sz="4" w:space="0" w:color="000000"/>
              <w:right w:val="nil"/>
            </w:tcBorders>
            <w:shd w:val="clear" w:color="auto" w:fill="99D594"/>
          </w:tcPr>
          <w:p w:rsidR="00BE709D" w:rsidRPr="009B2444" w:rsidRDefault="00BE709D" w:rsidP="00BE39AF">
            <w:pPr>
              <w:spacing w:line="240" w:lineRule="auto"/>
              <w:rPr>
                <w:sz w:val="20"/>
                <w:szCs w:val="20"/>
              </w:rPr>
            </w:pPr>
            <w:r w:rsidRPr="009B2444">
              <w:rPr>
                <w:sz w:val="20"/>
                <w:szCs w:val="20"/>
              </w:rPr>
              <w:t>Assessed and low risk</w:t>
            </w:r>
          </w:p>
        </w:tc>
        <w:tc>
          <w:tcPr>
            <w:tcW w:w="0" w:type="auto"/>
            <w:tcBorders>
              <w:top w:val="nil"/>
              <w:left w:val="nil"/>
              <w:bottom w:val="single" w:sz="4" w:space="0" w:color="000000"/>
              <w:right w:val="nil"/>
            </w:tcBorders>
            <w:shd w:val="clear" w:color="auto" w:fill="FC8D59"/>
          </w:tcPr>
          <w:p w:rsidR="00BE709D" w:rsidRPr="009B2444" w:rsidRDefault="00BE709D" w:rsidP="00BE39AF">
            <w:pPr>
              <w:spacing w:line="240" w:lineRule="auto"/>
              <w:rPr>
                <w:sz w:val="20"/>
                <w:szCs w:val="20"/>
              </w:rPr>
            </w:pPr>
            <w:r w:rsidRPr="009B2444">
              <w:rPr>
                <w:sz w:val="20"/>
                <w:szCs w:val="20"/>
              </w:rPr>
              <w:t>No</w:t>
            </w:r>
          </w:p>
          <w:p w:rsidR="00BE709D" w:rsidRPr="009B2444" w:rsidRDefault="00BE709D" w:rsidP="00BE39AF">
            <w:pPr>
              <w:spacing w:line="240" w:lineRule="auto"/>
              <w:rPr>
                <w:sz w:val="20"/>
                <w:szCs w:val="20"/>
              </w:rPr>
            </w:pPr>
            <w:r w:rsidRPr="009B2444">
              <w:rPr>
                <w:sz w:val="20"/>
                <w:szCs w:val="20"/>
              </w:rPr>
              <w:t>|r| &lt; 0.3</w:t>
            </w:r>
          </w:p>
        </w:tc>
      </w:tr>
    </w:tbl>
    <w:p w:rsidR="00BE709D" w:rsidRPr="009B2444" w:rsidRDefault="00BE709D" w:rsidP="00BE709D">
      <w:pPr>
        <w:ind w:left="-142"/>
        <w:sectPr w:rsidR="00BE709D" w:rsidRPr="009B2444" w:rsidSect="009B2444">
          <w:type w:val="continuous"/>
          <w:pgSz w:w="15840" w:h="12240" w:orient="landscape"/>
          <w:pgMar w:top="720" w:right="720" w:bottom="720" w:left="720" w:header="720" w:footer="720" w:gutter="0"/>
          <w:cols w:space="720"/>
          <w:docGrid w:linePitch="326"/>
        </w:sectPr>
      </w:pPr>
      <w:r w:rsidRPr="009B2444">
        <w:rPr>
          <w:i/>
          <w:sz w:val="20"/>
          <w:szCs w:val="20"/>
        </w:rPr>
        <w:t>Note:</w:t>
      </w:r>
      <w:r w:rsidRPr="009B2444">
        <w:rPr>
          <w:sz w:val="20"/>
          <w:szCs w:val="20"/>
        </w:rPr>
        <w:t xml:space="preserve"> No effects had robust dose-response gradients (upgrade criteria #2) or appeared to be in a context where residual confounding would have increased effects (upgrade criteria #3), so we omitted those columns. NA = Not assessed.</w:t>
      </w:r>
    </w:p>
    <w:p w:rsidR="00BE709D" w:rsidRPr="009B2444" w:rsidRDefault="00BE709D" w:rsidP="00BE709D">
      <w:pPr>
        <w:pStyle w:val="Heading1"/>
      </w:pPr>
      <w:bookmarkStart w:id="7" w:name="_92cx7pvsmzt9" w:colFirst="0" w:colLast="0"/>
      <w:bookmarkEnd w:id="7"/>
      <w:r w:rsidRPr="009B2444">
        <w:lastRenderedPageBreak/>
        <w:t>Supplementary File 2. Contexts Mapped by the Included Reviews</w:t>
      </w:r>
    </w:p>
    <w:p w:rsidR="00BE709D" w:rsidRPr="009B2444" w:rsidRDefault="00BE709D" w:rsidP="00BE709D">
      <w:pPr>
        <w:sectPr w:rsidR="00BE709D" w:rsidRPr="009B2444" w:rsidSect="009B2444">
          <w:type w:val="continuous"/>
          <w:pgSz w:w="12240" w:h="15840"/>
          <w:pgMar w:top="1440" w:right="1440" w:bottom="1440" w:left="1440" w:header="720" w:footer="720" w:gutter="0"/>
          <w:cols w:space="720"/>
        </w:sectPr>
      </w:pPr>
      <w:r w:rsidRPr="009B2444">
        <w:t xml:space="preserve">The included reviews synthesised research addressing charitable donations in diverse ways (see Supplementary Table S3). Many explored how variations in economic games influenced donation. Many also found a number of studies conducted in the field, but usually only included small donations. We mapped the contexts examined by the various reviews by context, channel, and persuasion methods </w:t>
      </w:r>
      <w:hyperlink r:id="rId8">
        <w:r w:rsidRPr="009B2444">
          <w:rPr>
            <w:color w:val="000000"/>
          </w:rPr>
          <w:t>(Lasswell, 1948; Slattery et al., 2020)</w:t>
        </w:r>
      </w:hyperlink>
      <w:r w:rsidRPr="009B2444">
        <w:t>.</w:t>
      </w:r>
    </w:p>
    <w:p w:rsidR="00BE709D" w:rsidRPr="009B2444" w:rsidRDefault="00BE709D" w:rsidP="00BE709D">
      <w:pPr>
        <w:pStyle w:val="Heading2"/>
      </w:pPr>
      <w:r w:rsidRPr="009B2444">
        <w:t>Supplementary Table S3</w:t>
      </w:r>
    </w:p>
    <w:p w:rsidR="00BE709D" w:rsidRPr="009B2444" w:rsidRDefault="00BE709D" w:rsidP="00BE709D">
      <w:pPr>
        <w:jc w:val="center"/>
      </w:pPr>
      <w:r w:rsidRPr="009B2444">
        <w:rPr>
          <w:i/>
          <w:sz w:val="20"/>
          <w:szCs w:val="20"/>
        </w:rPr>
        <w:t>Review Context Categorization: Who used What Method and Channel, Who Received It, How Was the Outcome Assessed, and How Was the Data collected?</w:t>
      </w:r>
    </w:p>
    <w:tbl>
      <w:tblPr>
        <w:tblW w:w="0" w:type="auto"/>
        <w:tblBorders>
          <w:top w:val="nil"/>
          <w:left w:val="nil"/>
          <w:bottom w:val="nil"/>
          <w:right w:val="nil"/>
          <w:insideH w:val="nil"/>
          <w:insideV w:val="nil"/>
        </w:tblBorders>
        <w:tblLook w:val="0600" w:firstRow="0" w:lastRow="0" w:firstColumn="0" w:lastColumn="0" w:noHBand="1" w:noVBand="1"/>
      </w:tblPr>
      <w:tblGrid>
        <w:gridCol w:w="855"/>
        <w:gridCol w:w="1265"/>
        <w:gridCol w:w="970"/>
        <w:gridCol w:w="2093"/>
        <w:gridCol w:w="1425"/>
        <w:gridCol w:w="1628"/>
        <w:gridCol w:w="1124"/>
      </w:tblGrid>
      <w:tr w:rsidR="009B2444" w:rsidRPr="009B2444" w:rsidTr="00BE39AF">
        <w:trPr>
          <w:trHeight w:val="555"/>
          <w:tblHeader/>
        </w:trPr>
        <w:tc>
          <w:tcPr>
            <w:tcW w:w="0" w:type="auto"/>
            <w:tcBorders>
              <w:top w:val="nil"/>
              <w:left w:val="nil"/>
              <w:bottom w:val="single" w:sz="8" w:space="0" w:color="000000"/>
              <w:right w:val="nil"/>
            </w:tcBorders>
            <w:shd w:val="clear" w:color="auto" w:fill="auto"/>
            <w:tcMar>
              <w:top w:w="40" w:type="dxa"/>
              <w:left w:w="40" w:type="dxa"/>
              <w:bottom w:w="40" w:type="dxa"/>
              <w:right w:w="40" w:type="dxa"/>
            </w:tcMar>
            <w:vAlign w:val="bottom"/>
          </w:tcPr>
          <w:p w:rsidR="00BE709D" w:rsidRPr="009B2444" w:rsidRDefault="00BE709D" w:rsidP="00BE39AF">
            <w:pPr>
              <w:spacing w:line="240" w:lineRule="auto"/>
              <w:rPr>
                <w:b/>
                <w:sz w:val="20"/>
                <w:szCs w:val="20"/>
              </w:rPr>
            </w:pPr>
            <w:bookmarkStart w:id="8" w:name="_jo262m7w9wcy" w:colFirst="0" w:colLast="0"/>
            <w:bookmarkEnd w:id="8"/>
            <w:r w:rsidRPr="009B2444">
              <w:rPr>
                <w:b/>
                <w:sz w:val="20"/>
                <w:szCs w:val="20"/>
              </w:rPr>
              <w:t>Who</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vAlign w:val="bottom"/>
          </w:tcPr>
          <w:p w:rsidR="00BE709D" w:rsidRPr="009B2444" w:rsidRDefault="00BE709D" w:rsidP="00BE39AF">
            <w:pPr>
              <w:spacing w:line="240" w:lineRule="auto"/>
              <w:rPr>
                <w:b/>
                <w:sz w:val="20"/>
                <w:szCs w:val="20"/>
              </w:rPr>
            </w:pPr>
            <w:r w:rsidRPr="009B2444">
              <w:rPr>
                <w:b/>
                <w:sz w:val="20"/>
                <w:szCs w:val="20"/>
              </w:rPr>
              <w:t>Method of persuasion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vAlign w:val="bottom"/>
          </w:tcPr>
          <w:p w:rsidR="00BE709D" w:rsidRPr="009B2444" w:rsidRDefault="00BE709D" w:rsidP="00BE39AF">
            <w:pPr>
              <w:spacing w:line="240" w:lineRule="auto"/>
              <w:rPr>
                <w:b/>
                <w:sz w:val="20"/>
                <w:szCs w:val="20"/>
              </w:rPr>
            </w:pPr>
            <w:r w:rsidRPr="009B2444">
              <w:rPr>
                <w:b/>
                <w:sz w:val="20"/>
                <w:szCs w:val="20"/>
              </w:rPr>
              <w:t>Bekkers &amp; Wiepking (2011b) Mechanism</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vAlign w:val="bottom"/>
          </w:tcPr>
          <w:p w:rsidR="00BE709D" w:rsidRPr="009B2444" w:rsidRDefault="00BE709D" w:rsidP="00BE39AF">
            <w:pPr>
              <w:spacing w:line="240" w:lineRule="auto"/>
              <w:rPr>
                <w:b/>
                <w:sz w:val="20"/>
                <w:szCs w:val="20"/>
              </w:rPr>
            </w:pPr>
            <w:r w:rsidRPr="009B2444">
              <w:rPr>
                <w:b/>
                <w:sz w:val="20"/>
                <w:szCs w:val="20"/>
              </w:rPr>
              <w:t>Channel of communication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vAlign w:val="bottom"/>
          </w:tcPr>
          <w:p w:rsidR="00BE709D" w:rsidRPr="009B2444" w:rsidRDefault="00BE709D" w:rsidP="00BE39AF">
            <w:pPr>
              <w:spacing w:line="240" w:lineRule="auto"/>
              <w:rPr>
                <w:b/>
                <w:sz w:val="20"/>
                <w:szCs w:val="20"/>
              </w:rPr>
            </w:pPr>
            <w:r w:rsidRPr="009B2444">
              <w:rPr>
                <w:b/>
                <w:sz w:val="20"/>
                <w:szCs w:val="20"/>
              </w:rPr>
              <w:t>Receiver</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vAlign w:val="bottom"/>
          </w:tcPr>
          <w:p w:rsidR="00BE709D" w:rsidRPr="009B2444" w:rsidRDefault="00BE709D" w:rsidP="00BE39AF">
            <w:pPr>
              <w:spacing w:line="240" w:lineRule="auto"/>
              <w:rPr>
                <w:b/>
                <w:sz w:val="20"/>
                <w:szCs w:val="20"/>
              </w:rPr>
            </w:pPr>
            <w:r w:rsidRPr="009B2444">
              <w:rPr>
                <w:b/>
                <w:sz w:val="20"/>
                <w:szCs w:val="20"/>
              </w:rPr>
              <w:t>Outcome measured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vAlign w:val="bottom"/>
          </w:tcPr>
          <w:p w:rsidR="00BE709D" w:rsidRPr="009B2444" w:rsidRDefault="00BE709D" w:rsidP="00BE39AF">
            <w:pPr>
              <w:spacing w:line="240" w:lineRule="auto"/>
              <w:rPr>
                <w:b/>
                <w:sz w:val="20"/>
                <w:szCs w:val="20"/>
              </w:rPr>
            </w:pPr>
            <w:r w:rsidRPr="009B2444">
              <w:rPr>
                <w:b/>
                <w:sz w:val="20"/>
                <w:szCs w:val="20"/>
              </w:rPr>
              <w:t>Data collection context(s)</w:t>
            </w:r>
          </w:p>
        </w:tc>
      </w:tr>
      <w:tr w:rsidR="009B2444" w:rsidRPr="009B2444" w:rsidTr="00BE39AF">
        <w:trPr>
          <w:trHeight w:val="103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Andrews et al., 2008</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Encouraging even small requests for donations</w:t>
            </w:r>
          </w:p>
          <w:p w:rsidR="00BE709D" w:rsidRPr="009B2444" w:rsidRDefault="00BE709D" w:rsidP="00BE39AF">
            <w:pPr>
              <w:spacing w:line="240" w:lineRule="auto"/>
              <w:rPr>
                <w:sz w:val="20"/>
                <w:szCs w:val="20"/>
              </w:rPr>
            </w:pPr>
            <w:r w:rsidRPr="009B2444">
              <w:rPr>
                <w:sz w:val="20"/>
                <w:szCs w:val="20"/>
              </w:rPr>
              <w:t>(‘legitimizing paltry contributions’)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Costs and benefits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Almost exclusively spoken/face-to-face (one study via mail)</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presumably adults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One off donation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Usually in public or participant’s home</w:t>
            </w:r>
          </w:p>
        </w:tc>
      </w:tr>
      <w:tr w:rsidR="009B2444" w:rsidRPr="009B2444" w:rsidTr="00BE39AF">
        <w:trPr>
          <w:trHeight w:val="79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Bolkan &amp; Rains, 2017</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Small requests for donation/Paltry contributions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Costs and benefits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Spoken/Face-to-face</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presumably adults and students predominantly</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One off donation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Experimental; otherwise not specified or implied.</w:t>
            </w:r>
          </w:p>
        </w:tc>
      </w:tr>
      <w:tr w:rsidR="009B2444" w:rsidRPr="009B2444" w:rsidTr="00BE39AF">
        <w:trPr>
          <w:trHeight w:val="175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Bradley et al., 2018</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Any form of observation by others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Reputation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Various, including overt observation (e.g., bystander), pseudo-observation (e.g., post-hoc audit) or perceived observation (e.g., watching eyes)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Both individuals and groups, across a range of ages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Either one-off or repeated monetary donation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Both lab based (75%) and field (25%)</w:t>
            </w:r>
          </w:p>
        </w:tc>
      </w:tr>
      <w:tr w:rsidR="009B2444" w:rsidRPr="009B2444" w:rsidTr="00BE39AF">
        <w:trPr>
          <w:trHeight w:val="79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Butts et al., 2019</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Showing one victim versus showing many victims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Awareness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or implied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presumably adults and students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Monetary donations and donations of goods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Experimental; usually lab studies</w:t>
            </w:r>
          </w:p>
        </w:tc>
      </w:tr>
      <w:tr w:rsidR="009B2444" w:rsidRPr="009B2444" w:rsidTr="00BE39AF">
        <w:trPr>
          <w:trHeight w:val="175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lastRenderedPageBreak/>
              <w:t>Coyne et al., 2018</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Exposure to prosocial media: media showing voluntary behaviour intended to benefit another, excluding where violence was involved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Efficacy</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TV, movies, video games,</w:t>
            </w:r>
          </w:p>
          <w:p w:rsidR="00BE709D" w:rsidRPr="009B2444" w:rsidRDefault="00BE709D" w:rsidP="00BE39AF">
            <w:pPr>
              <w:spacing w:line="240" w:lineRule="auto"/>
              <w:rPr>
                <w:sz w:val="20"/>
                <w:szCs w:val="20"/>
              </w:rPr>
            </w:pPr>
            <w:r w:rsidRPr="009B2444">
              <w:rPr>
                <w:sz w:val="20"/>
                <w:szCs w:val="20"/>
              </w:rPr>
              <w:t>music, or music videos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differentiated by sex and age</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Donating to an unspecified target</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Experimental, cross sectional, longitudinal</w:t>
            </w:r>
          </w:p>
        </w:tc>
      </w:tr>
      <w:tr w:rsidR="009B2444" w:rsidRPr="009B2444" w:rsidTr="00BE39AF">
        <w:trPr>
          <w:trHeight w:val="151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de Wit &amp; Bekkers, 2017</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Providing government support for non-profits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Altruism</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or implied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Presumably tax paying American adults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Donation from individuals to non-profits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Four types: laboratory experiments, survey experiments, archival (financial information) data, and micro-level survey data.</w:t>
            </w:r>
          </w:p>
        </w:tc>
      </w:tr>
      <w:tr w:rsidR="009B2444" w:rsidRPr="009B2444" w:rsidTr="00BE39AF">
        <w:trPr>
          <w:trHeight w:val="295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Engel, 2011</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 xml:space="preserve">Compared variations of dictator game; differentiated by donor characteristics (e.g., age, ethnicity), recipient characteristics (e.g., 'deserving', social distance) and contextual manipulations (e.g., action space, real money used </w:t>
            </w:r>
            <w:r w:rsidRPr="009B2444">
              <w:rPr>
                <w:sz w:val="20"/>
                <w:szCs w:val="20"/>
              </w:rPr>
              <w:lastRenderedPageBreak/>
              <w:t>or not, certainty of benefit).</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lastRenderedPageBreak/>
              <w:t>Efficacy, Reputation, Awareness, Costs and Benefits, Other</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method implies that online and face-to-face were used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differentiated by number (one or more), race, age (old, middle, student, old), student status (student or not), deservingness of reward (earned or not earned).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Money offered to other player(s)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but methods and references imply lab and online experiments.</w:t>
            </w:r>
          </w:p>
        </w:tc>
      </w:tr>
      <w:tr w:rsidR="009B2444" w:rsidRPr="009B2444" w:rsidTr="00BE39AF">
        <w:trPr>
          <w:trHeight w:val="271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Feeley et al., 2012</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Sequential request (e.g., door in the face, big followed by small ask, or repeated ask for same outcome); Differentiated by whether there was a reduction in original request or not, and whether there was a delay in the follow up or not</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Costs and Benefits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Differentiated: Telephone/Online/Written or Face-to-Face</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Adults, differentiated into students, non-students, and mixed sample</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Donations differentiated by type (Monetary, Research/Volunteer, Personal health behaviour, Miscellaneous), Prosocialness (prosocial, not prosocial) and delay in measurement (immediate, delayed)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references suggest a mix of lab and field experiments</w:t>
            </w:r>
          </w:p>
        </w:tc>
      </w:tr>
      <w:tr w:rsidR="009B2444" w:rsidRPr="009B2444" w:rsidTr="00BE39AF">
        <w:trPr>
          <w:trHeight w:val="103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Fromell et al., 2020</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Adding time pressure, parallel tasks, tiring tasks, or priming them to use intuition.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Other</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or implied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usually adults, often students or Amazon Mechanical Turk participants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Donations to charities or other participants (‘players’)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Experimental; usually lab studies</w:t>
            </w:r>
          </w:p>
        </w:tc>
      </w:tr>
      <w:tr w:rsidR="009B2444" w:rsidRPr="009B2444" w:rsidTr="00BE39AF">
        <w:trPr>
          <w:trHeight w:val="79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Jung et al., 2020</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Offering a range of prosocial models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Efficacy</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Either direct observation or via audio or visual materials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All ages (children, school-age, adult)</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‘Material help’ (donating money or tokens [in the case of children])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 xml:space="preserve">Experimental studies, conducted in labs, in </w:t>
            </w:r>
            <w:r w:rsidRPr="009B2444">
              <w:rPr>
                <w:sz w:val="20"/>
                <w:szCs w:val="20"/>
              </w:rPr>
              <w:lastRenderedPageBreak/>
              <w:t>the field, and online</w:t>
            </w:r>
          </w:p>
        </w:tc>
      </w:tr>
      <w:tr w:rsidR="009B2444" w:rsidRPr="009B2444" w:rsidTr="00BE39AF">
        <w:trPr>
          <w:trHeight w:val="151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lastRenderedPageBreak/>
              <w:t>Larney et al., 2019</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Variation in stake sizes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Costs and Benefits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Face-to-face apart from one online study</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presumably adults and mostly students, Western, Indian, and Chinese samples were also used (undifferentiated)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Money offered to other player(s)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Dictator and ultimatum games; differentiated by whether repeated measures were used; lab and online experiments</w:t>
            </w:r>
          </w:p>
        </w:tc>
      </w:tr>
      <w:tr w:rsidR="009B2444" w:rsidRPr="009B2444" w:rsidTr="00BE39AF">
        <w:trPr>
          <w:trHeight w:val="319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Lee et al., 2016</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Making small requests for donation / Paltry contributions; also coded for use of other techniques (normative information, pre-giving, dialogue induction, initial request of a small or large favour), also coded for whether phase used was identical to "even a penny will help", or a variant</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Costs and Benefits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Face-to-face interaction, mediated channels (written mail or scenario, telephone), or mixed methods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differentiated by country (United States, Non-United States), sex (male, female, both) and age (student, adult)</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Donation: Categorized by (money, product, time), topic (health, poverty, animal protection; social/educational event) and time of action (immediate donation or pledge)</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Experiments in a subject’s home, a public place, or a laboratory</w:t>
            </w:r>
          </w:p>
        </w:tc>
      </w:tr>
      <w:tr w:rsidR="009B2444" w:rsidRPr="009B2444" w:rsidTr="00BE39AF">
        <w:trPr>
          <w:trHeight w:val="103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Lee &amp; Feeley, 2017</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Requesting an odd donation amount (17c vs. 10c)</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Awareness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or implied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Mostly adult samples (15/17) with some students (2/17)</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 xml:space="preserve">Small monetary donations (1 study measured time, </w:t>
            </w:r>
            <w:r w:rsidRPr="009B2444">
              <w:rPr>
                <w:sz w:val="20"/>
                <w:szCs w:val="20"/>
              </w:rPr>
              <w:lastRenderedPageBreak/>
              <w:t>which we did not extract)</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lastRenderedPageBreak/>
              <w:t>Mostly field studies (15 of 17)</w:t>
            </w:r>
          </w:p>
        </w:tc>
      </w:tr>
      <w:tr w:rsidR="009B2444" w:rsidRPr="009B2444" w:rsidTr="00BE39AF">
        <w:trPr>
          <w:trHeight w:val="343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Lu, 2016</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Effect of giving grants to non-profit organisations on individual donors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Altruism</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or implied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corporations, and foundations, differentiated by sector (arts, education and research, environment, health care, human services, international development, and public benefit), country (US v Non-US) and organisational characteristics (age and size)</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Donations to non-profit by individuals, corporations, and foundations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Analysis of secondary data</w:t>
            </w:r>
          </w:p>
        </w:tc>
      </w:tr>
      <w:tr w:rsidR="009B2444" w:rsidRPr="009B2444" w:rsidTr="00BE39AF">
        <w:trPr>
          <w:trHeight w:val="103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Nettle et al., 2013</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Watching eyes during donation opportunity</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Reputation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method implies that online and face-to-face were used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presumably adults and mostly students (undifferentiated)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Money offered to other player(s)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Dictator game, references imply lab and online experiments</w:t>
            </w:r>
          </w:p>
        </w:tc>
      </w:tr>
      <w:tr w:rsidR="009B2444" w:rsidRPr="009B2444" w:rsidTr="00BE39AF">
        <w:trPr>
          <w:trHeight w:val="175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Northover et al., 2017</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Artificial surveillance cues (resembled a watching face or eyes; generally, photographs or stylized images of eyes)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Reputation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method implies that online and face-to-face were used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presumably adults and mostly students (undifferentiated)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Generosity: giving material resources to others, for reasons other than direct reciprocity, without expecting anything from those others in return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Social discounting tasks, economic games, and charity donations;</w:t>
            </w:r>
          </w:p>
        </w:tc>
      </w:tr>
      <w:tr w:rsidR="009B2444" w:rsidRPr="009B2444" w:rsidTr="00BE39AF">
        <w:trPr>
          <w:trHeight w:val="175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lastRenderedPageBreak/>
              <w:t>Peloza &amp; Steel, 2005</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Giving tax deductions on donations, differentiated by permanency of tax (permanent or temporary)</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Costs and Benefits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or implied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Tax paying adults differentiated by income (above $100,000 in earnings and below), and itemization of charitable donations (itemizer, non-itemizer)</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Private philanthropy, differentiated by type of donation (donation or bequest)</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Analysis of secondary data differentiated by source type (panel or cross-sectional, and tax-filer or survey)</w:t>
            </w:r>
          </w:p>
        </w:tc>
      </w:tr>
      <w:tr w:rsidR="009B2444" w:rsidRPr="009B2444" w:rsidTr="00BE39AF">
        <w:trPr>
          <w:trHeight w:val="175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Rand et al., 2016</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Promoting either intuition or deliberation during donation opportunity</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Other</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method implies that online and face-to-face were used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differentiated by sex (male or female) and identification with sex role (male versus female) to assess interactions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Money offered to other player(s)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Dictator game, references imply lab and online experiments</w:t>
            </w:r>
          </w:p>
        </w:tc>
      </w:tr>
      <w:tr w:rsidR="009B2444" w:rsidRPr="009B2444" w:rsidTr="00BE39AF">
        <w:trPr>
          <w:trHeight w:val="103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Salido-Andres et al., 2020</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Various methods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Online and blended (online &amp; offline) donation-based crowdfunding campaigns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from 20+ countries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Donations to crowdfunding projects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Field studies</w:t>
            </w:r>
          </w:p>
        </w:tc>
      </w:tr>
      <w:tr w:rsidR="009B2444" w:rsidRPr="009B2444" w:rsidTr="00BE39AF">
        <w:trPr>
          <w:trHeight w:val="103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Sparks &amp; Barclay, 2013</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Watching eyes during donation opportunity (short v prolonged exposure)</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Reputation</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Face-to-face in the lab, field studies (e.g., bus stop, supermarket), and one online study</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Individuals, presumably adults and mostly students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Money offered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Dictator game, references imply lab and online experiments</w:t>
            </w:r>
          </w:p>
        </w:tc>
      </w:tr>
      <w:tr w:rsidR="00BE709D" w:rsidTr="00BE39AF">
        <w:trPr>
          <w:trHeight w:val="795"/>
        </w:trPr>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Xu &amp; Huang, 2020</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Gain-framed vs. loss-framed messages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Costs and Benefits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Not specified or implied</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Both adults and students</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Pr="009B2444" w:rsidRDefault="00BE709D" w:rsidP="00BE39AF">
            <w:pPr>
              <w:spacing w:line="240" w:lineRule="auto"/>
              <w:rPr>
                <w:sz w:val="20"/>
                <w:szCs w:val="20"/>
              </w:rPr>
            </w:pPr>
            <w:r w:rsidRPr="009B2444">
              <w:rPr>
                <w:sz w:val="20"/>
                <w:szCs w:val="20"/>
              </w:rPr>
              <w:t>Donations provided (or intention to donate)</w:t>
            </w:r>
          </w:p>
        </w:tc>
        <w:tc>
          <w:tcPr>
            <w:tcW w:w="0" w:type="auto"/>
            <w:tcBorders>
              <w:top w:val="nil"/>
              <w:left w:val="nil"/>
              <w:bottom w:val="single" w:sz="8" w:space="0" w:color="000000"/>
              <w:right w:val="nil"/>
            </w:tcBorders>
            <w:shd w:val="clear" w:color="auto" w:fill="auto"/>
            <w:tcMar>
              <w:top w:w="40" w:type="dxa"/>
              <w:left w:w="40" w:type="dxa"/>
              <w:bottom w:w="40" w:type="dxa"/>
              <w:right w:w="40" w:type="dxa"/>
            </w:tcMar>
          </w:tcPr>
          <w:p w:rsidR="00BE709D" w:rsidRDefault="00BE709D" w:rsidP="00BE39AF">
            <w:pPr>
              <w:spacing w:line="240" w:lineRule="auto"/>
              <w:rPr>
                <w:sz w:val="20"/>
                <w:szCs w:val="20"/>
              </w:rPr>
            </w:pPr>
            <w:r w:rsidRPr="009B2444">
              <w:rPr>
                <w:sz w:val="20"/>
                <w:szCs w:val="20"/>
              </w:rPr>
              <w:t>Both lab and field experiments</w:t>
            </w:r>
            <w:bookmarkStart w:id="9" w:name="_GoBack"/>
            <w:bookmarkEnd w:id="9"/>
          </w:p>
        </w:tc>
      </w:tr>
    </w:tbl>
    <w:p w:rsidR="00BE709D" w:rsidRDefault="00BE709D" w:rsidP="00BE709D"/>
    <w:p w:rsidR="00BE709D" w:rsidRDefault="00BE709D" w:rsidP="00BE709D">
      <w:pPr>
        <w:spacing w:line="432" w:lineRule="auto"/>
      </w:pPr>
    </w:p>
    <w:p w:rsidR="003D3E5A" w:rsidRDefault="009B2444"/>
    <w:sectPr w:rsidR="003D3E5A" w:rsidSect="009B2444">
      <w:type w:val="continuous"/>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09D"/>
    <w:rsid w:val="000947DB"/>
    <w:rsid w:val="000C1C3C"/>
    <w:rsid w:val="00154CCB"/>
    <w:rsid w:val="0016424A"/>
    <w:rsid w:val="001E4978"/>
    <w:rsid w:val="00210D1F"/>
    <w:rsid w:val="00412E99"/>
    <w:rsid w:val="00467C18"/>
    <w:rsid w:val="004F630E"/>
    <w:rsid w:val="005108D8"/>
    <w:rsid w:val="00516E52"/>
    <w:rsid w:val="00560C65"/>
    <w:rsid w:val="00570099"/>
    <w:rsid w:val="0058279E"/>
    <w:rsid w:val="00584AA7"/>
    <w:rsid w:val="0069411E"/>
    <w:rsid w:val="006B60BA"/>
    <w:rsid w:val="00717337"/>
    <w:rsid w:val="00754257"/>
    <w:rsid w:val="007737A2"/>
    <w:rsid w:val="007B74D6"/>
    <w:rsid w:val="009B2444"/>
    <w:rsid w:val="009D3BAE"/>
    <w:rsid w:val="00A96BD0"/>
    <w:rsid w:val="00AC708A"/>
    <w:rsid w:val="00AF3C2F"/>
    <w:rsid w:val="00BE709D"/>
    <w:rsid w:val="00C715F1"/>
    <w:rsid w:val="00C728FF"/>
    <w:rsid w:val="00D4499E"/>
    <w:rsid w:val="00D54FA8"/>
    <w:rsid w:val="00D63AFB"/>
    <w:rsid w:val="00DB1B9B"/>
    <w:rsid w:val="00DB2D7B"/>
    <w:rsid w:val="00FD66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4AB26-2151-48C0-AE74-CD96728E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E709D"/>
    <w:pPr>
      <w:keepNext/>
      <w:keepLines/>
      <w:spacing w:after="0" w:line="480" w:lineRule="auto"/>
      <w:outlineLvl w:val="0"/>
    </w:pPr>
    <w:rPr>
      <w:rFonts w:ascii="Times New Roman" w:eastAsia="Times New Roman" w:hAnsi="Times New Roman" w:cs="Times New Roman"/>
      <w:b/>
      <w:sz w:val="28"/>
      <w:szCs w:val="28"/>
      <w:lang w:val="en-GB" w:eastAsia="en-AU"/>
    </w:rPr>
  </w:style>
  <w:style w:type="paragraph" w:styleId="Heading2">
    <w:name w:val="heading 2"/>
    <w:basedOn w:val="Normal"/>
    <w:next w:val="Normal"/>
    <w:link w:val="Heading2Char"/>
    <w:uiPriority w:val="9"/>
    <w:unhideWhenUsed/>
    <w:qFormat/>
    <w:rsid w:val="00BE709D"/>
    <w:pPr>
      <w:keepNext/>
      <w:keepLines/>
      <w:spacing w:after="0" w:line="480" w:lineRule="auto"/>
      <w:outlineLvl w:val="1"/>
    </w:pPr>
    <w:rPr>
      <w:rFonts w:ascii="Times New Roman" w:eastAsia="Times New Roman" w:hAnsi="Times New Roman" w:cs="Times New Roman"/>
      <w:b/>
      <w:sz w:val="24"/>
      <w:szCs w:val="24"/>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09D"/>
    <w:rPr>
      <w:rFonts w:ascii="Times New Roman" w:eastAsia="Times New Roman" w:hAnsi="Times New Roman" w:cs="Times New Roman"/>
      <w:b/>
      <w:sz w:val="28"/>
      <w:szCs w:val="28"/>
      <w:lang w:val="en-GB" w:eastAsia="en-AU"/>
    </w:rPr>
  </w:style>
  <w:style w:type="character" w:customStyle="1" w:styleId="Heading2Char">
    <w:name w:val="Heading 2 Char"/>
    <w:basedOn w:val="DefaultParagraphFont"/>
    <w:link w:val="Heading2"/>
    <w:uiPriority w:val="9"/>
    <w:rsid w:val="00BE709D"/>
    <w:rPr>
      <w:rFonts w:ascii="Times New Roman" w:eastAsia="Times New Roman" w:hAnsi="Times New Roman" w:cs="Times New Roman"/>
      <w:b/>
      <w:sz w:val="24"/>
      <w:szCs w:val="24"/>
      <w:lang w:val="en-GB" w:eastAsia="en-AU"/>
    </w:rPr>
  </w:style>
  <w:style w:type="paragraph" w:styleId="Subtitle">
    <w:name w:val="Subtitle"/>
    <w:basedOn w:val="Normal"/>
    <w:next w:val="Normal"/>
    <w:link w:val="SubtitleChar"/>
    <w:uiPriority w:val="11"/>
    <w:qFormat/>
    <w:rsid w:val="00BE709D"/>
    <w:pPr>
      <w:keepNext/>
      <w:keepLines/>
      <w:spacing w:after="0" w:line="480" w:lineRule="auto"/>
      <w:jc w:val="center"/>
    </w:pPr>
    <w:rPr>
      <w:rFonts w:ascii="Times New Roman" w:eastAsia="Times New Roman" w:hAnsi="Times New Roman" w:cs="Times New Roman"/>
      <w:sz w:val="24"/>
      <w:szCs w:val="24"/>
      <w:lang w:val="en-GB" w:eastAsia="en-AU"/>
    </w:rPr>
  </w:style>
  <w:style w:type="character" w:customStyle="1" w:styleId="SubtitleChar">
    <w:name w:val="Subtitle Char"/>
    <w:basedOn w:val="DefaultParagraphFont"/>
    <w:link w:val="Subtitle"/>
    <w:uiPriority w:val="11"/>
    <w:rsid w:val="00BE709D"/>
    <w:rPr>
      <w:rFonts w:ascii="Times New Roman" w:eastAsia="Times New Roman" w:hAnsi="Times New Roman" w:cs="Times New Roman"/>
      <w:sz w:val="24"/>
      <w:szCs w:val="24"/>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perpile.com/c/9fpXsG/7tH2+xVoS" TargetMode="External"/><Relationship Id="rId3" Type="http://schemas.openxmlformats.org/officeDocument/2006/relationships/webSettings" Target="webSettings.xml"/><Relationship Id="rId7" Type="http://schemas.openxmlformats.org/officeDocument/2006/relationships/hyperlink" Target="https://paperpile.com/c/9fpXsG/B2v6/?prefix=pique%20technique%3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perpile.com/c/9fpXsG/ygo4/?prefix=GRADE%2C%20" TargetMode="External"/><Relationship Id="rId5" Type="http://schemas.openxmlformats.org/officeDocument/2006/relationships/hyperlink" Target="https://paperpile.com/c/9fpXsG/km2S/?prefix=e.g.%2C%20selective%20reporting%3B" TargetMode="External"/><Relationship Id="rId10" Type="http://schemas.openxmlformats.org/officeDocument/2006/relationships/theme" Target="theme/theme1.xml"/><Relationship Id="rId4" Type="http://schemas.openxmlformats.org/officeDocument/2006/relationships/hyperlink" Target="https://paperpile.com/c/9fpXsG/bum6"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3016</Words>
  <Characters>17195</Characters>
  <Application>Microsoft Office Word</Application>
  <DocSecurity>0</DocSecurity>
  <Lines>143</Lines>
  <Paragraphs>40</Paragraphs>
  <ScaleCrop>false</ScaleCrop>
  <Company>HP Inc.</Company>
  <LinksUpToDate>false</LinksUpToDate>
  <CharactersWithSpaces>20171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CANDIDUS J</dc:creator>
  <cp:keywords/>
  <dc:description/>
  <cp:lastModifiedBy>ALBAN CANDIDUS J</cp:lastModifiedBy>
  <cp:revision>2</cp:revision>
  <dcterms:created xsi:type="dcterms:W3CDTF">2022-04-18T09:50:00Z</dcterms:created>
  <dcterms:modified xsi:type="dcterms:W3CDTF">2022-04-18T09:51:00Z</dcterms:modified>
</cp:coreProperties>
</file>