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79" w:rsidRPr="00826EC9" w:rsidRDefault="00286879" w:rsidP="00286879">
      <w:pPr>
        <w:pStyle w:val="BodyTextIndent"/>
        <w:spacing w:line="480" w:lineRule="auto"/>
        <w:ind w:firstLine="0"/>
        <w:rPr>
          <w:color w:val="000000" w:themeColor="text1"/>
        </w:rPr>
      </w:pPr>
      <w:r w:rsidRPr="00826EC9">
        <w:rPr>
          <w:color w:val="000000" w:themeColor="text1"/>
        </w:rPr>
        <w:t xml:space="preserve">The equations </w:t>
      </w:r>
      <w:r>
        <w:rPr>
          <w:color w:val="000000" w:themeColor="text1"/>
        </w:rPr>
        <w:t xml:space="preserve">of the </w:t>
      </w:r>
      <w:r w:rsidRPr="00826EC9">
        <w:rPr>
          <w:color w:val="000000" w:themeColor="text1"/>
        </w:rPr>
        <w:t>four tested models are summarized in Table 1.</w:t>
      </w:r>
    </w:p>
    <w:p w:rsidR="00286879" w:rsidRPr="00826EC9" w:rsidRDefault="00286879" w:rsidP="00286879">
      <w:pPr>
        <w:pStyle w:val="BodyTextIndent"/>
        <w:spacing w:line="480" w:lineRule="auto"/>
        <w:ind w:firstLine="0"/>
        <w:rPr>
          <w:color w:val="000000" w:themeColor="text1"/>
          <w:shd w:val="clear" w:color="auto" w:fill="FCFCFC"/>
        </w:rPr>
      </w:pPr>
      <w:r w:rsidRPr="00826EC9">
        <w:rPr>
          <w:color w:val="000000" w:themeColor="text1"/>
        </w:rPr>
        <w:t xml:space="preserve">- The </w:t>
      </w:r>
      <w:proofErr w:type="spellStart"/>
      <w:r w:rsidRPr="00826EC9">
        <w:rPr>
          <w:color w:val="000000" w:themeColor="text1"/>
        </w:rPr>
        <w:t>Freundlich</w:t>
      </w:r>
      <w:proofErr w:type="spellEnd"/>
      <w:r w:rsidRPr="00826EC9">
        <w:rPr>
          <w:color w:val="000000" w:themeColor="text1"/>
        </w:rPr>
        <w:t xml:space="preserve"> isotherm is </w:t>
      </w:r>
      <w:r>
        <w:rPr>
          <w:color w:val="000000" w:themeColor="text1"/>
        </w:rPr>
        <w:t>an</w:t>
      </w:r>
      <w:r w:rsidRPr="00826EC9">
        <w:rPr>
          <w:color w:val="000000" w:themeColor="text1"/>
        </w:rPr>
        <w:t xml:space="preserve"> empirical model that describes adsorption on</w:t>
      </w:r>
      <w:r>
        <w:rPr>
          <w:color w:val="000000" w:themeColor="text1"/>
        </w:rPr>
        <w:t>to</w:t>
      </w:r>
      <w:r w:rsidRPr="00826EC9">
        <w:rPr>
          <w:color w:val="000000" w:themeColor="text1"/>
        </w:rPr>
        <w:t xml:space="preserve"> energetically inhomogeneous surfaces and on</w:t>
      </w:r>
      <w:r>
        <w:rPr>
          <w:color w:val="000000" w:themeColor="text1"/>
        </w:rPr>
        <w:t>to</w:t>
      </w:r>
      <w:r w:rsidRPr="00826EC9">
        <w:rPr>
          <w:color w:val="000000" w:themeColor="text1"/>
        </w:rPr>
        <w:t xml:space="preserve"> </w:t>
      </w:r>
      <w:proofErr w:type="spellStart"/>
      <w:r w:rsidRPr="00826EC9">
        <w:rPr>
          <w:color w:val="000000" w:themeColor="text1"/>
        </w:rPr>
        <w:t>microporous</w:t>
      </w:r>
      <w:proofErr w:type="spellEnd"/>
      <w:r w:rsidRPr="00826EC9">
        <w:rPr>
          <w:color w:val="000000" w:themeColor="text1"/>
        </w:rPr>
        <w:t xml:space="preserve"> adsorbents, where the measure of surface heterogeneity is </w:t>
      </w:r>
      <w:r>
        <w:rPr>
          <w:color w:val="000000" w:themeColor="text1"/>
        </w:rPr>
        <w:t xml:space="preserve">the </w:t>
      </w:r>
      <w:r w:rsidRPr="00826EC9">
        <w:rPr>
          <w:color w:val="000000" w:themeColor="text1"/>
        </w:rPr>
        <w:t>parameter 1/</w:t>
      </w:r>
      <w:proofErr w:type="spellStart"/>
      <w:r w:rsidRPr="00BA49A1">
        <w:rPr>
          <w:i/>
          <w:iCs/>
          <w:color w:val="000000" w:themeColor="text1"/>
        </w:rPr>
        <w:t>n</w:t>
      </w:r>
      <w:r w:rsidRPr="00826EC9">
        <w:rPr>
          <w:color w:val="000000" w:themeColor="text1"/>
          <w:vertAlign w:val="subscript"/>
        </w:rPr>
        <w:t>F</w:t>
      </w:r>
      <w:proofErr w:type="spellEnd"/>
      <w:r w:rsidRPr="00826EC9">
        <w:rPr>
          <w:color w:val="000000" w:themeColor="text1"/>
        </w:rPr>
        <w:t>. When 1/</w:t>
      </w:r>
      <w:proofErr w:type="spellStart"/>
      <w:r w:rsidRPr="00BA49A1">
        <w:rPr>
          <w:i/>
          <w:iCs/>
          <w:color w:val="000000" w:themeColor="text1"/>
        </w:rPr>
        <w:t>n</w:t>
      </w:r>
      <w:r w:rsidRPr="00826EC9">
        <w:rPr>
          <w:color w:val="000000" w:themeColor="text1"/>
          <w:vertAlign w:val="subscript"/>
        </w:rPr>
        <w:t>F</w:t>
      </w:r>
      <w:proofErr w:type="spellEnd"/>
      <w:r w:rsidRPr="00826EC9">
        <w:rPr>
          <w:color w:val="000000" w:themeColor="text1"/>
        </w:rPr>
        <w:t xml:space="preserve"> values approach zero, the surface becomes more heterogeneous, when 1/</w:t>
      </w:r>
      <w:proofErr w:type="spellStart"/>
      <w:r w:rsidRPr="00BA49A1">
        <w:rPr>
          <w:i/>
          <w:iCs/>
          <w:color w:val="000000" w:themeColor="text1"/>
        </w:rPr>
        <w:t>n</w:t>
      </w:r>
      <w:r w:rsidRPr="00826EC9">
        <w:rPr>
          <w:color w:val="000000" w:themeColor="text1"/>
          <w:vertAlign w:val="subscript"/>
        </w:rPr>
        <w:t>F</w:t>
      </w:r>
      <w:proofErr w:type="spellEnd"/>
      <w:r w:rsidRPr="00826EC9">
        <w:rPr>
          <w:color w:val="000000" w:themeColor="text1"/>
        </w:rPr>
        <w:t xml:space="preserve"> indicates </w:t>
      </w:r>
      <w:r>
        <w:rPr>
          <w:color w:val="000000" w:themeColor="text1"/>
        </w:rPr>
        <w:t xml:space="preserve">a </w:t>
      </w:r>
      <w:r w:rsidRPr="00826EC9">
        <w:rPr>
          <w:color w:val="000000" w:themeColor="text1"/>
        </w:rPr>
        <w:t>favorable nature of adsorption and when 1/</w:t>
      </w:r>
      <w:proofErr w:type="spellStart"/>
      <w:r w:rsidRPr="00BA49A1">
        <w:rPr>
          <w:i/>
          <w:iCs/>
          <w:color w:val="000000" w:themeColor="text1"/>
        </w:rPr>
        <w:t>n</w:t>
      </w:r>
      <w:r w:rsidRPr="00826EC9">
        <w:rPr>
          <w:color w:val="000000" w:themeColor="text1"/>
          <w:vertAlign w:val="subscript"/>
        </w:rPr>
        <w:t>F</w:t>
      </w:r>
      <w:proofErr w:type="spellEnd"/>
      <w:r w:rsidRPr="00826EC9">
        <w:rPr>
          <w:color w:val="000000" w:themeColor="text1"/>
        </w:rPr>
        <w:t xml:space="preserve"> indicates cooperative adsorption (</w:t>
      </w:r>
      <w:proofErr w:type="spellStart"/>
      <w:r w:rsidRPr="00826EC9">
        <w:rPr>
          <w:color w:val="000000" w:themeColor="text1"/>
        </w:rPr>
        <w:t>Freundlich</w:t>
      </w:r>
      <w:proofErr w:type="spellEnd"/>
      <w:r w:rsidRPr="00826EC9">
        <w:rPr>
          <w:color w:val="000000" w:themeColor="text1"/>
        </w:rPr>
        <w:t xml:space="preserve"> 1906; </w:t>
      </w:r>
      <w:r w:rsidRPr="00826EC9">
        <w:rPr>
          <w:rFonts w:eastAsia="GulliverRM"/>
          <w:color w:val="000000" w:themeColor="text1"/>
        </w:rPr>
        <w:t xml:space="preserve">Foo and </w:t>
      </w:r>
      <w:proofErr w:type="spellStart"/>
      <w:r w:rsidRPr="00826EC9">
        <w:rPr>
          <w:rFonts w:eastAsia="GulliverRM"/>
          <w:color w:val="000000" w:themeColor="text1"/>
        </w:rPr>
        <w:t>Hameed</w:t>
      </w:r>
      <w:proofErr w:type="spellEnd"/>
      <w:r w:rsidRPr="00826EC9">
        <w:rPr>
          <w:rFonts w:eastAsia="GulliverRM"/>
          <w:color w:val="000000" w:themeColor="text1"/>
        </w:rPr>
        <w:t xml:space="preserve"> 2010; </w:t>
      </w:r>
      <w:proofErr w:type="spellStart"/>
      <w:r w:rsidRPr="00826EC9">
        <w:rPr>
          <w:color w:val="000000" w:themeColor="text1"/>
          <w:shd w:val="clear" w:color="auto" w:fill="FCFCFC"/>
        </w:rPr>
        <w:t>Belhachemi</w:t>
      </w:r>
      <w:proofErr w:type="spellEnd"/>
      <w:r w:rsidRPr="00826EC9">
        <w:rPr>
          <w:color w:val="000000" w:themeColor="text1"/>
          <w:shd w:val="clear" w:color="auto" w:fill="FCFCFC"/>
        </w:rPr>
        <w:t xml:space="preserve"> and </w:t>
      </w:r>
      <w:proofErr w:type="spellStart"/>
      <w:r w:rsidRPr="00826EC9">
        <w:rPr>
          <w:color w:val="000000" w:themeColor="text1"/>
          <w:shd w:val="clear" w:color="auto" w:fill="FCFCFC"/>
        </w:rPr>
        <w:t>Addoun</w:t>
      </w:r>
      <w:proofErr w:type="spellEnd"/>
      <w:r w:rsidRPr="00826EC9">
        <w:rPr>
          <w:color w:val="000000" w:themeColor="text1"/>
          <w:shd w:val="clear" w:color="auto" w:fill="FCFCFC"/>
        </w:rPr>
        <w:t xml:space="preserve"> 2011).</w:t>
      </w:r>
    </w:p>
    <w:p w:rsidR="00286879" w:rsidRPr="00826EC9" w:rsidRDefault="00286879" w:rsidP="00286879">
      <w:pPr>
        <w:pStyle w:val="BodyTextIndent"/>
        <w:spacing w:line="480" w:lineRule="auto"/>
        <w:ind w:firstLine="0"/>
        <w:rPr>
          <w:color w:val="000000" w:themeColor="text1"/>
        </w:rPr>
      </w:pPr>
      <w:r w:rsidRPr="00826EC9">
        <w:rPr>
          <w:color w:val="000000" w:themeColor="text1"/>
        </w:rPr>
        <w:t>- The Langmuir isotherm is an empirical model that assumes monolayer adsorption on</w:t>
      </w:r>
      <w:r>
        <w:rPr>
          <w:color w:val="000000" w:themeColor="text1"/>
        </w:rPr>
        <w:t>to</w:t>
      </w:r>
      <w:r w:rsidRPr="00826EC9">
        <w:rPr>
          <w:color w:val="000000" w:themeColor="text1"/>
        </w:rPr>
        <w:t xml:space="preserve"> homogeneous surfaces with energetically equivalent adsorption sites, in which each molecule possesses constant enthalp</w:t>
      </w:r>
      <w:r>
        <w:rPr>
          <w:color w:val="000000" w:themeColor="text1"/>
        </w:rPr>
        <w:t>y</w:t>
      </w:r>
      <w:r w:rsidRPr="00826EC9">
        <w:rPr>
          <w:color w:val="000000" w:themeColor="text1"/>
        </w:rPr>
        <w:t xml:space="preserve"> and sorption activation energy with no transmigration of the </w:t>
      </w:r>
      <w:proofErr w:type="spellStart"/>
      <w:r w:rsidRPr="00826EC9">
        <w:rPr>
          <w:color w:val="000000" w:themeColor="text1"/>
        </w:rPr>
        <w:t>adsorbate</w:t>
      </w:r>
      <w:proofErr w:type="spellEnd"/>
      <w:r w:rsidRPr="00826EC9">
        <w:rPr>
          <w:color w:val="000000" w:themeColor="text1"/>
        </w:rPr>
        <w:t xml:space="preserve"> in the plane of the surface. According to this model</w:t>
      </w:r>
      <w:r>
        <w:rPr>
          <w:color w:val="000000" w:themeColor="text1"/>
        </w:rPr>
        <w:t>,</w:t>
      </w:r>
      <w:r w:rsidRPr="00826EC9">
        <w:rPr>
          <w:color w:val="000000" w:themeColor="text1"/>
        </w:rPr>
        <w:t xml:space="preserve"> adsorption can only occur at a finite number of definite, localized sites that are identical and equivalent, with no lateral interaction and steric hindrance between the adsorbed molecules, even on adjacent sites (Langmuir 1916; </w:t>
      </w:r>
      <w:r w:rsidRPr="00826EC9">
        <w:rPr>
          <w:rFonts w:eastAsia="GulliverRM"/>
          <w:color w:val="000000" w:themeColor="text1"/>
        </w:rPr>
        <w:t xml:space="preserve">Foo and </w:t>
      </w:r>
      <w:proofErr w:type="spellStart"/>
      <w:r w:rsidRPr="00826EC9">
        <w:rPr>
          <w:rFonts w:eastAsia="GulliverRM"/>
          <w:color w:val="000000" w:themeColor="text1"/>
        </w:rPr>
        <w:t>Hameed</w:t>
      </w:r>
      <w:proofErr w:type="spellEnd"/>
      <w:r w:rsidRPr="00826EC9">
        <w:rPr>
          <w:rFonts w:eastAsia="GulliverRM"/>
          <w:color w:val="000000" w:themeColor="text1"/>
        </w:rPr>
        <w:t xml:space="preserve"> 2010; </w:t>
      </w:r>
      <w:proofErr w:type="spellStart"/>
      <w:r w:rsidRPr="00826EC9">
        <w:rPr>
          <w:color w:val="000000" w:themeColor="text1"/>
        </w:rPr>
        <w:t>Nethaji</w:t>
      </w:r>
      <w:proofErr w:type="spellEnd"/>
      <w:r w:rsidRPr="00826EC9">
        <w:rPr>
          <w:color w:val="000000" w:themeColor="text1"/>
        </w:rPr>
        <w:t xml:space="preserve"> et al. 2013).</w:t>
      </w:r>
    </w:p>
    <w:p w:rsidR="00286879" w:rsidRPr="00826EC9" w:rsidRDefault="00286879" w:rsidP="00286879">
      <w:pPr>
        <w:pStyle w:val="BodyTextIndent"/>
        <w:spacing w:line="480" w:lineRule="auto"/>
        <w:ind w:firstLine="0"/>
        <w:rPr>
          <w:color w:val="000000" w:themeColor="text1"/>
        </w:rPr>
      </w:pPr>
      <w:r w:rsidRPr="00826EC9">
        <w:rPr>
          <w:color w:val="000000" w:themeColor="text1"/>
        </w:rPr>
        <w:t xml:space="preserve">- The </w:t>
      </w:r>
      <w:proofErr w:type="spellStart"/>
      <w:r w:rsidRPr="00826EC9">
        <w:rPr>
          <w:color w:val="000000" w:themeColor="text1"/>
        </w:rPr>
        <w:t>Dubinin</w:t>
      </w:r>
      <w:proofErr w:type="spellEnd"/>
      <w:r>
        <w:rPr>
          <w:color w:val="000000" w:themeColor="text1"/>
        </w:rPr>
        <w:t>–</w:t>
      </w:r>
      <w:proofErr w:type="spellStart"/>
      <w:r w:rsidRPr="00826EC9">
        <w:rPr>
          <w:color w:val="000000" w:themeColor="text1"/>
        </w:rPr>
        <w:t>Radushkevich</w:t>
      </w:r>
      <w:proofErr w:type="spellEnd"/>
      <w:r w:rsidRPr="00826EC9">
        <w:rPr>
          <w:color w:val="000000" w:themeColor="text1"/>
        </w:rPr>
        <w:t xml:space="preserve"> isotherm is an empirical adsorption model that is generally applied to express adsorption mechanism with Gaussian energy distribution onto heterogeneous surfaces. It presumes a multilayer character involving Van der Waal’s forces, applicable for physical adsorption processes, and is a fundamental equation that qualitatively describes the adsorption of gases and vapors on </w:t>
      </w:r>
      <w:proofErr w:type="spellStart"/>
      <w:r w:rsidRPr="00826EC9">
        <w:rPr>
          <w:color w:val="000000" w:themeColor="text1"/>
        </w:rPr>
        <w:t>microporous</w:t>
      </w:r>
      <w:proofErr w:type="spellEnd"/>
      <w:r w:rsidRPr="00826EC9">
        <w:rPr>
          <w:color w:val="000000" w:themeColor="text1"/>
        </w:rPr>
        <w:t xml:space="preserve"> sorbents (</w:t>
      </w:r>
      <w:proofErr w:type="spellStart"/>
      <w:r w:rsidRPr="00826EC9">
        <w:rPr>
          <w:color w:val="000000" w:themeColor="text1"/>
        </w:rPr>
        <w:t>Dubinin</w:t>
      </w:r>
      <w:proofErr w:type="spellEnd"/>
      <w:r w:rsidRPr="00826EC9">
        <w:rPr>
          <w:color w:val="000000" w:themeColor="text1"/>
        </w:rPr>
        <w:t xml:space="preserve"> 1960; </w:t>
      </w:r>
      <w:proofErr w:type="spellStart"/>
      <w:r w:rsidRPr="00826EC9">
        <w:rPr>
          <w:color w:val="000000" w:themeColor="text1"/>
        </w:rPr>
        <w:t>Ayawei</w:t>
      </w:r>
      <w:proofErr w:type="spellEnd"/>
      <w:r w:rsidRPr="00826EC9">
        <w:rPr>
          <w:color w:val="000000" w:themeColor="text1"/>
        </w:rPr>
        <w:t xml:space="preserve"> et al. 2017).</w:t>
      </w:r>
    </w:p>
    <w:p w:rsidR="00286879" w:rsidRPr="00826EC9" w:rsidRDefault="00286879" w:rsidP="00286879">
      <w:pPr>
        <w:pStyle w:val="BodyTextIndent"/>
        <w:spacing w:line="480" w:lineRule="auto"/>
        <w:ind w:firstLine="0"/>
        <w:rPr>
          <w:color w:val="000000" w:themeColor="text1"/>
        </w:rPr>
      </w:pPr>
      <w:r w:rsidRPr="00826EC9">
        <w:rPr>
          <w:color w:val="000000" w:themeColor="text1"/>
        </w:rPr>
        <w:t xml:space="preserve">- The Sips isotherm is a three-parameter empirical model combining </w:t>
      </w:r>
      <w:r>
        <w:rPr>
          <w:color w:val="000000" w:themeColor="text1"/>
        </w:rPr>
        <w:t>the</w:t>
      </w:r>
      <w:r w:rsidRPr="00826EC9">
        <w:rPr>
          <w:color w:val="000000" w:themeColor="text1"/>
        </w:rPr>
        <w:t xml:space="preserve"> Langmuir and </w:t>
      </w:r>
      <w:proofErr w:type="spellStart"/>
      <w:r w:rsidRPr="00826EC9">
        <w:rPr>
          <w:color w:val="000000" w:themeColor="text1"/>
        </w:rPr>
        <w:t>Freundlich</w:t>
      </w:r>
      <w:proofErr w:type="spellEnd"/>
      <w:r w:rsidRPr="00826EC9">
        <w:rPr>
          <w:color w:val="000000" w:themeColor="text1"/>
        </w:rPr>
        <w:t xml:space="preserve"> expression</w:t>
      </w:r>
      <w:r>
        <w:rPr>
          <w:color w:val="000000" w:themeColor="text1"/>
        </w:rPr>
        <w:t>s,</w:t>
      </w:r>
      <w:r w:rsidRPr="00826EC9">
        <w:rPr>
          <w:color w:val="000000" w:themeColor="text1"/>
        </w:rPr>
        <w:t xml:space="preserve"> used for predicting </w:t>
      </w:r>
      <w:r>
        <w:rPr>
          <w:color w:val="000000" w:themeColor="text1"/>
        </w:rPr>
        <w:t>a</w:t>
      </w:r>
      <w:r w:rsidRPr="00826EC9">
        <w:rPr>
          <w:color w:val="000000" w:themeColor="text1"/>
        </w:rPr>
        <w:t xml:space="preserve"> </w:t>
      </w:r>
      <w:proofErr w:type="spellStart"/>
      <w:r w:rsidRPr="00826EC9">
        <w:rPr>
          <w:color w:val="000000" w:themeColor="text1"/>
        </w:rPr>
        <w:t>heterogenous</w:t>
      </w:r>
      <w:proofErr w:type="spellEnd"/>
      <w:r w:rsidRPr="00826EC9">
        <w:rPr>
          <w:color w:val="000000" w:themeColor="text1"/>
        </w:rPr>
        <w:t xml:space="preserve"> adsorption system and overcoming the drawback associated with </w:t>
      </w:r>
      <w:r>
        <w:rPr>
          <w:color w:val="000000" w:themeColor="text1"/>
        </w:rPr>
        <w:t xml:space="preserve">the </w:t>
      </w:r>
      <w:proofErr w:type="spellStart"/>
      <w:r w:rsidRPr="00826EC9">
        <w:rPr>
          <w:color w:val="000000" w:themeColor="text1"/>
        </w:rPr>
        <w:t>Freundlich</w:t>
      </w:r>
      <w:proofErr w:type="spellEnd"/>
      <w:r w:rsidRPr="00826EC9">
        <w:rPr>
          <w:color w:val="000000" w:themeColor="text1"/>
        </w:rPr>
        <w:t xml:space="preserve"> isotherm model of </w:t>
      </w:r>
      <w:r>
        <w:rPr>
          <w:color w:val="000000" w:themeColor="text1"/>
        </w:rPr>
        <w:t xml:space="preserve">a </w:t>
      </w:r>
      <w:r w:rsidRPr="00826EC9">
        <w:rPr>
          <w:color w:val="000000" w:themeColor="text1"/>
        </w:rPr>
        <w:t>continuing increase in the amount adsorbed with</w:t>
      </w:r>
      <w:r>
        <w:rPr>
          <w:color w:val="000000" w:themeColor="text1"/>
        </w:rPr>
        <w:t xml:space="preserve"> an</w:t>
      </w:r>
      <w:r w:rsidRPr="00826EC9">
        <w:rPr>
          <w:color w:val="000000" w:themeColor="text1"/>
        </w:rPr>
        <w:t xml:space="preserve"> increase in concentration. At low concentrations</w:t>
      </w:r>
      <w:r>
        <w:rPr>
          <w:color w:val="000000" w:themeColor="text1"/>
        </w:rPr>
        <w:t>,</w:t>
      </w:r>
      <w:r w:rsidRPr="00826EC9">
        <w:rPr>
          <w:color w:val="000000" w:themeColor="text1"/>
        </w:rPr>
        <w:t xml:space="preserve"> the </w:t>
      </w:r>
      <w:proofErr w:type="spellStart"/>
      <w:r w:rsidRPr="00826EC9">
        <w:rPr>
          <w:color w:val="000000" w:themeColor="text1"/>
        </w:rPr>
        <w:t>adsorbate</w:t>
      </w:r>
      <w:proofErr w:type="spellEnd"/>
      <w:r w:rsidRPr="00826EC9">
        <w:rPr>
          <w:color w:val="000000" w:themeColor="text1"/>
        </w:rPr>
        <w:t xml:space="preserve"> is reduced to </w:t>
      </w:r>
      <w:proofErr w:type="spellStart"/>
      <w:r w:rsidRPr="00826EC9">
        <w:rPr>
          <w:color w:val="000000" w:themeColor="text1"/>
        </w:rPr>
        <w:t>Freundlich</w:t>
      </w:r>
      <w:r>
        <w:rPr>
          <w:color w:val="000000" w:themeColor="text1"/>
        </w:rPr>
        <w:t>’</w:t>
      </w:r>
      <w:r w:rsidRPr="00826EC9">
        <w:rPr>
          <w:color w:val="000000" w:themeColor="text1"/>
        </w:rPr>
        <w:t>s</w:t>
      </w:r>
      <w:proofErr w:type="spellEnd"/>
      <w:r w:rsidRPr="00826EC9">
        <w:rPr>
          <w:color w:val="000000" w:themeColor="text1"/>
        </w:rPr>
        <w:t xml:space="preserve"> isotherm, while at high concentrations the equation transforms into </w:t>
      </w:r>
      <w:r w:rsidRPr="00826EC9">
        <w:rPr>
          <w:color w:val="000000" w:themeColor="text1"/>
        </w:rPr>
        <w:lastRenderedPageBreak/>
        <w:t>the Langmuir isotherm, which predict</w:t>
      </w:r>
      <w:r>
        <w:rPr>
          <w:color w:val="000000" w:themeColor="text1"/>
        </w:rPr>
        <w:t>s</w:t>
      </w:r>
      <w:r w:rsidRPr="00826EC9">
        <w:rPr>
          <w:color w:val="000000" w:themeColor="text1"/>
        </w:rPr>
        <w:t xml:space="preserve"> monolayer adsorption (Sips 1948; </w:t>
      </w:r>
      <w:proofErr w:type="spellStart"/>
      <w:r w:rsidRPr="00826EC9">
        <w:rPr>
          <w:color w:val="000000" w:themeColor="text1"/>
        </w:rPr>
        <w:t>Saruchi</w:t>
      </w:r>
      <w:proofErr w:type="spellEnd"/>
      <w:r w:rsidRPr="00826EC9">
        <w:rPr>
          <w:color w:val="000000" w:themeColor="text1"/>
        </w:rPr>
        <w:t xml:space="preserve"> and Kumar 2019).</w:t>
      </w:r>
    </w:p>
    <w:p w:rsidR="001F18A8" w:rsidRPr="004A0208" w:rsidRDefault="001F18A8" w:rsidP="001F18A8">
      <w:pPr>
        <w:pStyle w:val="BodyTextIndent"/>
        <w:spacing w:line="480" w:lineRule="auto"/>
        <w:ind w:firstLine="0"/>
        <w:rPr>
          <w:color w:val="000000" w:themeColor="text1"/>
        </w:rPr>
      </w:pPr>
    </w:p>
    <w:p w:rsidR="001F18A8" w:rsidRPr="00AA69E4" w:rsidRDefault="001F18A8" w:rsidP="001F18A8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AA69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1.</w:t>
      </w:r>
      <w:proofErr w:type="gramEnd"/>
      <w:r w:rsidRPr="00AA69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List of adsorption isotherm models </w:t>
      </w:r>
    </w:p>
    <w:tbl>
      <w:tblPr>
        <w:tblStyle w:val="TableGrid"/>
        <w:tblW w:w="9371" w:type="dxa"/>
        <w:tblInd w:w="-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5"/>
        <w:gridCol w:w="2019"/>
        <w:gridCol w:w="1134"/>
        <w:gridCol w:w="3544"/>
        <w:gridCol w:w="1149"/>
      </w:tblGrid>
      <w:tr w:rsidR="001F18A8" w:rsidRPr="001F18A8" w:rsidTr="00FC04D8">
        <w:tc>
          <w:tcPr>
            <w:tcW w:w="1525" w:type="dxa"/>
            <w:vAlign w:val="center"/>
          </w:tcPr>
          <w:p w:rsidR="001F18A8" w:rsidRPr="004A0208" w:rsidRDefault="001F18A8" w:rsidP="00FC04D8">
            <w:pPr>
              <w:pStyle w:val="Heading2"/>
              <w:spacing w:line="480" w:lineRule="auto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 w:rsidRPr="004A0208">
              <w:rPr>
                <w:color w:val="000000" w:themeColor="text1"/>
                <w:sz w:val="20"/>
                <w:szCs w:val="20"/>
              </w:rPr>
              <w:t>Isotherm</w:t>
            </w:r>
          </w:p>
        </w:tc>
        <w:tc>
          <w:tcPr>
            <w:tcW w:w="2019" w:type="dxa"/>
            <w:vAlign w:val="center"/>
          </w:tcPr>
          <w:p w:rsidR="001F18A8" w:rsidRPr="001F18A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F18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Nonlinear form</w:t>
            </w:r>
          </w:p>
        </w:tc>
        <w:tc>
          <w:tcPr>
            <w:tcW w:w="1134" w:type="dxa"/>
            <w:vAlign w:val="center"/>
          </w:tcPr>
          <w:p w:rsidR="001F18A8" w:rsidRPr="001F18A8" w:rsidRDefault="001F18A8" w:rsidP="00FC04D8">
            <w:pPr>
              <w:pStyle w:val="Zawartotabeli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F18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Equation number</w:t>
            </w:r>
          </w:p>
        </w:tc>
        <w:tc>
          <w:tcPr>
            <w:tcW w:w="3544" w:type="dxa"/>
            <w:vAlign w:val="center"/>
          </w:tcPr>
          <w:p w:rsidR="001F18A8" w:rsidRPr="001F18A8" w:rsidRDefault="001F18A8" w:rsidP="00FC04D8">
            <w:pPr>
              <w:pStyle w:val="Zawartotabeli"/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1F18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Parameters</w:t>
            </w:r>
          </w:p>
        </w:tc>
        <w:tc>
          <w:tcPr>
            <w:tcW w:w="1149" w:type="dxa"/>
            <w:vAlign w:val="center"/>
          </w:tcPr>
          <w:p w:rsidR="001F18A8" w:rsidRPr="004A0208" w:rsidRDefault="001F18A8" w:rsidP="00FC04D8">
            <w:pPr>
              <w:pStyle w:val="Heading1"/>
              <w:spacing w:line="480" w:lineRule="auto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References</w:t>
            </w:r>
          </w:p>
        </w:tc>
      </w:tr>
      <w:tr w:rsidR="001F18A8" w:rsidRPr="004A0208" w:rsidTr="00FC04D8">
        <w:tc>
          <w:tcPr>
            <w:tcW w:w="1525" w:type="dxa"/>
            <w:vAlign w:val="center"/>
          </w:tcPr>
          <w:p w:rsidR="001F18A8" w:rsidRPr="001F18A8" w:rsidRDefault="001F18A8" w:rsidP="00FC04D8">
            <w:pPr>
              <w:tabs>
                <w:tab w:val="right" w:pos="9356"/>
              </w:tabs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Freundlich</w:t>
            </w:r>
            <w:proofErr w:type="spellEnd"/>
          </w:p>
        </w:tc>
        <w:tc>
          <w:tcPr>
            <w:tcW w:w="2019" w:type="dxa"/>
            <w:vAlign w:val="center"/>
          </w:tcPr>
          <w:p w:rsidR="001F18A8" w:rsidRPr="001F18A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q</m:t>
              </m:r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eq</m:t>
                      </m:r>
                    </m:sub>
                  </m:sSub>
                </m:e>
                <m:sup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F</m:t>
                          </m:r>
                        </m:sub>
                      </m:sSub>
                    </m:den>
                  </m:f>
                </m:sup>
              </m:sSup>
            </m:oMath>
            <w:r w:rsidRPr="001F18A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1134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(3)</w:t>
            </w:r>
          </w:p>
        </w:tc>
        <w:tc>
          <w:tcPr>
            <w:tcW w:w="3544" w:type="dxa"/>
          </w:tcPr>
          <w:p w:rsidR="00286879" w:rsidRPr="00826EC9" w:rsidRDefault="00286879" w:rsidP="0028687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26EC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K</w:t>
            </w:r>
            <w:r w:rsidRPr="00BA49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bscript"/>
                <w:lang w:val="en-US"/>
              </w:rPr>
              <w:t>F</w:t>
            </w:r>
            <w:r w:rsidRPr="00BA49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6EC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Freundlich</w:t>
            </w:r>
            <w:proofErr w:type="spellEnd"/>
            <w:r w:rsidRPr="00826EC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equilibrium 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constant related to the adsorption capacity and adsorption intensity of the system (mg/g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(dm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3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/mg)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1/</w:t>
            </w:r>
            <w:proofErr w:type="spellStart"/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nF</w:t>
            </w:r>
            <w:proofErr w:type="spellEnd"/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),</w:t>
            </w:r>
          </w:p>
          <w:p w:rsidR="001F18A8" w:rsidRPr="004A0208" w:rsidRDefault="00286879" w:rsidP="0028687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26EC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1/</w:t>
            </w:r>
            <w:proofErr w:type="spellStart"/>
            <w:r w:rsidRPr="00826EC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A49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BA49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constant, expresses favorability of sorption </w:t>
            </w:r>
            <w:r w:rsidRPr="00826EC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(dimensionless)</w:t>
            </w:r>
          </w:p>
        </w:tc>
        <w:tc>
          <w:tcPr>
            <w:tcW w:w="1149" w:type="dxa"/>
            <w:vAlign w:val="center"/>
          </w:tcPr>
          <w:p w:rsidR="001F18A8" w:rsidRPr="004A0208" w:rsidRDefault="001F18A8" w:rsidP="00FC04D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Freundlich 1906</w:t>
            </w:r>
          </w:p>
        </w:tc>
      </w:tr>
      <w:tr w:rsidR="001F18A8" w:rsidRPr="004A0208" w:rsidTr="00FC04D8">
        <w:tc>
          <w:tcPr>
            <w:tcW w:w="1525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Langmuir</w:t>
            </w:r>
          </w:p>
        </w:tc>
        <w:tc>
          <w:tcPr>
            <w:tcW w:w="2019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q=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max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eq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eq</m:t>
                      </m:r>
                    </m:sub>
                  </m:sSub>
                </m:den>
              </m:f>
            </m:oMath>
            <w:r w:rsidRPr="004A020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            </w:t>
            </w:r>
          </w:p>
        </w:tc>
        <w:tc>
          <w:tcPr>
            <w:tcW w:w="1134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(4)</w:t>
            </w:r>
          </w:p>
        </w:tc>
        <w:tc>
          <w:tcPr>
            <w:tcW w:w="3544" w:type="dxa"/>
          </w:tcPr>
          <w:p w:rsidR="00286879" w:rsidRPr="00826EC9" w:rsidRDefault="00286879" w:rsidP="0028687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826EC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q</w:t>
            </w:r>
            <w:r w:rsidRPr="00BA49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bscript"/>
                <w:lang w:val="en-US"/>
              </w:rPr>
              <w:t>max</w:t>
            </w:r>
            <w:proofErr w:type="spellEnd"/>
            <w:r w:rsidRPr="00BA49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</w:t>
            </w:r>
            <w:r w:rsidRPr="00BA49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maximum adsorption capacity (mg/g),</w:t>
            </w:r>
          </w:p>
          <w:p w:rsidR="00286879" w:rsidRPr="00826EC9" w:rsidRDefault="00286879" w:rsidP="00286879">
            <w:pPr>
              <w:pStyle w:val="BodyText3"/>
              <w:spacing w:after="0" w:line="480" w:lineRule="auto"/>
              <w:rPr>
                <w:rFonts w:eastAsia="AdvGulliv-R"/>
                <w:color w:val="000000" w:themeColor="text1"/>
                <w:sz w:val="20"/>
                <w:szCs w:val="20"/>
              </w:rPr>
            </w:pPr>
            <w:r w:rsidRPr="00826EC9">
              <w:rPr>
                <w:i/>
                <w:color w:val="000000" w:themeColor="text1"/>
                <w:sz w:val="20"/>
                <w:szCs w:val="20"/>
              </w:rPr>
              <w:t>K</w:t>
            </w:r>
            <w:r w:rsidRPr="00BA49A1">
              <w:rPr>
                <w:iCs/>
                <w:color w:val="000000" w:themeColor="text1"/>
                <w:sz w:val="20"/>
                <w:szCs w:val="20"/>
                <w:vertAlign w:val="subscript"/>
              </w:rPr>
              <w:t>L</w:t>
            </w:r>
            <w:r w:rsidRPr="00BA49A1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–</w:t>
            </w:r>
            <w:r w:rsidRPr="00826EC9">
              <w:rPr>
                <w:color w:val="000000" w:themeColor="text1"/>
                <w:sz w:val="20"/>
                <w:szCs w:val="20"/>
              </w:rPr>
              <w:t xml:space="preserve"> Langmuir isotherm constant </w:t>
            </w:r>
            <w:r w:rsidRPr="00826EC9">
              <w:rPr>
                <w:rFonts w:eastAsia="AdvGulliv-R"/>
                <w:color w:val="000000" w:themeColor="text1"/>
                <w:sz w:val="20"/>
                <w:szCs w:val="20"/>
              </w:rPr>
              <w:t>related to the affinity of the binding sites and the energy of sorption (dm</w:t>
            </w:r>
            <w:r w:rsidRPr="00826EC9">
              <w:rPr>
                <w:rFonts w:eastAsia="AdvGulliv-R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826EC9">
              <w:rPr>
                <w:rFonts w:eastAsia="AdvGulliv-R"/>
                <w:color w:val="000000" w:themeColor="text1"/>
                <w:sz w:val="20"/>
                <w:szCs w:val="20"/>
              </w:rPr>
              <w:t>/mg),</w:t>
            </w:r>
          </w:p>
          <w:p w:rsidR="00286879" w:rsidRPr="00BA49A1" w:rsidRDefault="00286879" w:rsidP="00286879">
            <w:pPr>
              <w:pStyle w:val="BodyText3"/>
              <w:spacing w:after="0" w:line="480" w:lineRule="auto"/>
              <w:rPr>
                <w:iCs/>
                <w:color w:val="000000" w:themeColor="text1"/>
                <w:sz w:val="20"/>
                <w:szCs w:val="20"/>
              </w:rPr>
            </w:pPr>
            <w:r w:rsidRPr="00BA49A1">
              <w:rPr>
                <w:i/>
                <w:color w:val="000000" w:themeColor="text1"/>
                <w:sz w:val="20"/>
                <w:szCs w:val="20"/>
              </w:rPr>
              <w:t>K</w:t>
            </w:r>
            <w:r w:rsidRPr="00826EC9">
              <w:rPr>
                <w:iCs/>
                <w:color w:val="000000" w:themeColor="text1"/>
                <w:sz w:val="20"/>
                <w:szCs w:val="20"/>
                <w:vertAlign w:val="subscript"/>
              </w:rPr>
              <w:t>L</w:t>
            </w:r>
            <w:r w:rsidRPr="00826EC9">
              <w:rPr>
                <w:iCs/>
                <w:color w:val="000000" w:themeColor="text1"/>
                <w:sz w:val="20"/>
                <w:szCs w:val="20"/>
              </w:rPr>
              <w:t xml:space="preserve"> enables comput</w:t>
            </w:r>
            <w:r>
              <w:rPr>
                <w:iCs/>
                <w:color w:val="000000" w:themeColor="text1"/>
                <w:sz w:val="20"/>
                <w:szCs w:val="20"/>
              </w:rPr>
              <w:t>at</w:t>
            </w:r>
            <w:r w:rsidRPr="00826EC9">
              <w:rPr>
                <w:iCs/>
                <w:color w:val="000000" w:themeColor="text1"/>
                <w:sz w:val="20"/>
                <w:szCs w:val="20"/>
              </w:rPr>
              <w:t>i</w:t>
            </w:r>
            <w:r>
              <w:rPr>
                <w:iCs/>
                <w:color w:val="000000" w:themeColor="text1"/>
                <w:sz w:val="20"/>
                <w:szCs w:val="20"/>
              </w:rPr>
              <w:t>o</w:t>
            </w:r>
            <w:r w:rsidRPr="00826EC9">
              <w:rPr>
                <w:iCs/>
                <w:color w:val="000000" w:themeColor="text1"/>
                <w:sz w:val="20"/>
                <w:szCs w:val="20"/>
              </w:rPr>
              <w:t>n</w:t>
            </w:r>
            <w:r>
              <w:rPr>
                <w:iCs/>
                <w:color w:val="000000" w:themeColor="text1"/>
                <w:sz w:val="20"/>
                <w:szCs w:val="20"/>
              </w:rPr>
              <w:t xml:space="preserve"> of</w:t>
            </w:r>
            <w:r w:rsidRPr="00826EC9">
              <w:rPr>
                <w:iCs/>
                <w:color w:val="000000" w:themeColor="text1"/>
                <w:sz w:val="20"/>
                <w:szCs w:val="20"/>
              </w:rPr>
              <w:t xml:space="preserve"> the dimensionless constant separation factor </w:t>
            </w:r>
            <w:r w:rsidRPr="00BA49A1">
              <w:rPr>
                <w:i/>
                <w:color w:val="000000" w:themeColor="text1"/>
                <w:sz w:val="20"/>
                <w:szCs w:val="20"/>
              </w:rPr>
              <w:t>R</w:t>
            </w:r>
            <w:r w:rsidRPr="00826EC9">
              <w:rPr>
                <w:iCs/>
                <w:color w:val="000000" w:themeColor="text1"/>
                <w:sz w:val="20"/>
                <w:szCs w:val="20"/>
                <w:vertAlign w:val="subscript"/>
              </w:rPr>
              <w:t>L</w:t>
            </w:r>
            <w:r w:rsidRPr="00BA49A1">
              <w:rPr>
                <w:iCs/>
                <w:color w:val="000000" w:themeColor="text1"/>
                <w:sz w:val="20"/>
                <w:szCs w:val="20"/>
              </w:rPr>
              <w:t>:</w:t>
            </w:r>
          </w:p>
          <w:p w:rsidR="00286879" w:rsidRPr="00826EC9" w:rsidRDefault="003058E9" w:rsidP="00286879">
            <w:pPr>
              <w:pStyle w:val="BodyText3"/>
              <w:spacing w:after="0" w:line="480" w:lineRule="auto"/>
              <w:rPr>
                <w:color w:val="000000" w:themeColor="text1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0"/>
                          <w:szCs w:val="20"/>
                        </w:rPr>
                        <m:t>0</m:t>
                      </m:r>
                    </m:sub>
                  </m:sSub>
                </m:den>
              </m:f>
            </m:oMath>
            <w:r w:rsidR="00286879" w:rsidRPr="00826EC9">
              <w:rPr>
                <w:color w:val="000000" w:themeColor="text1"/>
                <w:sz w:val="20"/>
                <w:szCs w:val="20"/>
              </w:rPr>
              <w:t xml:space="preserve">                    (5)</w:t>
            </w:r>
          </w:p>
          <w:p w:rsidR="001F18A8" w:rsidRPr="004A0208" w:rsidRDefault="00286879" w:rsidP="00286879">
            <w:pPr>
              <w:pStyle w:val="BodyText3"/>
              <w:spacing w:after="0" w:line="480" w:lineRule="auto"/>
              <w:rPr>
                <w:iCs/>
                <w:color w:val="000000" w:themeColor="text1"/>
                <w:sz w:val="20"/>
                <w:szCs w:val="20"/>
              </w:rPr>
            </w:pPr>
            <w:r w:rsidRPr="00826EC9">
              <w:rPr>
                <w:color w:val="000000" w:themeColor="text1"/>
                <w:sz w:val="20"/>
                <w:szCs w:val="20"/>
              </w:rPr>
              <w:t>The process is unfavorable if</w:t>
            </w:r>
            <w:r w:rsidRPr="00BA49A1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826EC9">
              <w:rPr>
                <w:i/>
                <w:color w:val="000000" w:themeColor="text1"/>
                <w:sz w:val="20"/>
                <w:szCs w:val="20"/>
              </w:rPr>
              <w:t>R</w:t>
            </w:r>
            <w:r w:rsidRPr="00BA49A1">
              <w:rPr>
                <w:iCs/>
                <w:color w:val="000000" w:themeColor="text1"/>
                <w:sz w:val="20"/>
                <w:szCs w:val="20"/>
                <w:vertAlign w:val="subscript"/>
              </w:rPr>
              <w:t>L</w:t>
            </w:r>
            <w:r w:rsidRPr="00BA49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26EC9">
              <w:rPr>
                <w:color w:val="000000" w:themeColor="text1"/>
                <w:sz w:val="20"/>
                <w:szCs w:val="20"/>
              </w:rPr>
              <w:t xml:space="preserve">&gt; 1, linear if </w:t>
            </w:r>
            <w:r w:rsidRPr="00826EC9">
              <w:rPr>
                <w:i/>
                <w:color w:val="000000" w:themeColor="text1"/>
                <w:sz w:val="20"/>
                <w:szCs w:val="20"/>
              </w:rPr>
              <w:t>R</w:t>
            </w:r>
            <w:r w:rsidRPr="00BA49A1">
              <w:rPr>
                <w:iCs/>
                <w:color w:val="000000" w:themeColor="text1"/>
                <w:sz w:val="20"/>
                <w:szCs w:val="20"/>
                <w:vertAlign w:val="subscript"/>
              </w:rPr>
              <w:t>L</w:t>
            </w:r>
            <w:r w:rsidRPr="00BA49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26EC9">
              <w:rPr>
                <w:color w:val="000000" w:themeColor="text1"/>
                <w:sz w:val="20"/>
                <w:szCs w:val="20"/>
              </w:rPr>
              <w:t xml:space="preserve">= 1, favorable if 0 &lt; </w:t>
            </w:r>
            <w:r w:rsidRPr="00826EC9">
              <w:rPr>
                <w:i/>
                <w:color w:val="000000" w:themeColor="text1"/>
                <w:sz w:val="20"/>
                <w:szCs w:val="20"/>
              </w:rPr>
              <w:t>R</w:t>
            </w:r>
            <w:r w:rsidRPr="00BA49A1">
              <w:rPr>
                <w:iCs/>
                <w:color w:val="000000" w:themeColor="text1"/>
                <w:sz w:val="20"/>
                <w:szCs w:val="20"/>
                <w:vertAlign w:val="subscript"/>
              </w:rPr>
              <w:t>L</w:t>
            </w:r>
            <w:r w:rsidRPr="00BA49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26EC9">
              <w:rPr>
                <w:color w:val="000000" w:themeColor="text1"/>
                <w:sz w:val="20"/>
                <w:szCs w:val="20"/>
              </w:rPr>
              <w:t xml:space="preserve">&lt; 1 and irreversible if </w:t>
            </w:r>
            <w:r w:rsidRPr="00826EC9">
              <w:rPr>
                <w:i/>
                <w:color w:val="000000" w:themeColor="text1"/>
                <w:sz w:val="20"/>
                <w:szCs w:val="20"/>
              </w:rPr>
              <w:t>R</w:t>
            </w:r>
            <w:r w:rsidRPr="00BA49A1">
              <w:rPr>
                <w:iCs/>
                <w:color w:val="000000" w:themeColor="text1"/>
                <w:sz w:val="20"/>
                <w:szCs w:val="20"/>
                <w:vertAlign w:val="subscript"/>
              </w:rPr>
              <w:t>L</w:t>
            </w:r>
            <w:r w:rsidRPr="00BA49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26EC9">
              <w:rPr>
                <w:color w:val="000000" w:themeColor="text1"/>
                <w:sz w:val="20"/>
                <w:szCs w:val="20"/>
              </w:rPr>
              <w:t>= 0</w:t>
            </w:r>
          </w:p>
        </w:tc>
        <w:tc>
          <w:tcPr>
            <w:tcW w:w="1149" w:type="dxa"/>
            <w:vAlign w:val="center"/>
          </w:tcPr>
          <w:p w:rsidR="001F18A8" w:rsidRPr="004A0208" w:rsidRDefault="001F18A8" w:rsidP="00FC04D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Langmuir 1916</w:t>
            </w:r>
          </w:p>
        </w:tc>
      </w:tr>
      <w:tr w:rsidR="001F18A8" w:rsidRPr="004A0208" w:rsidTr="00FC04D8">
        <w:tc>
          <w:tcPr>
            <w:tcW w:w="1525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Dubinin-Radushkevich</w:t>
            </w:r>
            <w:proofErr w:type="spellEnd"/>
          </w:p>
        </w:tc>
        <w:tc>
          <w:tcPr>
            <w:tcW w:w="2019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q=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D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∙exp⁡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  <m:t>–β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ε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oMath>
            <w:r w:rsidRPr="004A0208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F18A8" w:rsidRPr="004A0208" w:rsidRDefault="001F18A8" w:rsidP="00FC04D8">
            <w:pPr>
              <w:pStyle w:val="Zawartotabeli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(6)</w:t>
            </w:r>
          </w:p>
        </w:tc>
        <w:tc>
          <w:tcPr>
            <w:tcW w:w="3544" w:type="dxa"/>
          </w:tcPr>
          <w:p w:rsidR="001F18A8" w:rsidRPr="004A0208" w:rsidRDefault="001F18A8" w:rsidP="00FC04D8">
            <w:pPr>
              <w:pStyle w:val="Zawartotabeli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</w:pPr>
            <w:proofErr w:type="spellStart"/>
            <w:r w:rsidRPr="004A020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 w:eastAsia="pl-PL"/>
              </w:rPr>
              <w:t>q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D</w:t>
            </w:r>
            <w:proofErr w:type="spellEnd"/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-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theoretical saturation capacity (</w:t>
            </w:r>
            <w:proofErr w:type="spellStart"/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mmol</w:t>
            </w:r>
            <w:proofErr w:type="spellEnd"/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/g), </w:t>
            </w:r>
          </w:p>
          <w:p w:rsidR="001F18A8" w:rsidRPr="004A0208" w:rsidRDefault="001F18A8" w:rsidP="00FC04D8">
            <w:pPr>
              <w:pStyle w:val="Zawartotabeli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4A020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 w:eastAsia="pl-PL"/>
              </w:rPr>
              <w:t>β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-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constant related to the adsorption energy (mol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 w:eastAsia="pl-PL"/>
              </w:rPr>
              <w:t>2</w:t>
            </w:r>
            <w:r w:rsidRPr="002868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/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kJ</w:t>
            </w:r>
            <w:r w:rsidR="00286879" w:rsidRPr="002868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 w:eastAsia="pl-PL"/>
              </w:rPr>
              <w:t>2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), </w:t>
            </w:r>
          </w:p>
          <w:p w:rsidR="001F18A8" w:rsidRPr="004A0208" w:rsidRDefault="001F18A8" w:rsidP="00FC04D8">
            <w:pPr>
              <w:pStyle w:val="Zawartotabeli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4A020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 w:eastAsia="pl-PL"/>
              </w:rPr>
              <w:t>ε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-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Polanyi potential, </w:t>
            </w:r>
          </w:p>
          <w:p w:rsidR="001F18A8" w:rsidRPr="004A0208" w:rsidRDefault="001F18A8" w:rsidP="00FC04D8">
            <w:pPr>
              <w:pStyle w:val="Zawartotabeli"/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fldChar w:fldCharType="begin"/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instrText>QUOTE</w:instrTex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ε</m:t>
              </m:r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  <w:lang w:val="en-US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  <w:sz w:val="20"/>
                  <w:szCs w:val="20"/>
                </w:rPr>
                <m:t>RTln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0"/>
                      <w:szCs w:val="20"/>
                      <w:lang w:val="en-US"/>
                    </w:rPr>
                    <m:t>1+</m:t>
                  </m:r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0"/>
                          <w:szCs w:val="20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0"/>
                              <w:szCs w:val="20"/>
                            </w:rPr>
                            <m:t>eq</m:t>
                          </m:r>
                        </m:sub>
                      </m:sSub>
                    </m:den>
                  </m:f>
                </m:e>
              </m:d>
            </m:oMath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(7)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  <w:p w:rsidR="001F18A8" w:rsidRPr="004A0208" w:rsidRDefault="001F18A8" w:rsidP="00FC04D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</w:pPr>
            <w:r w:rsidRPr="004A020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 w:eastAsia="pl-PL"/>
              </w:rPr>
              <w:t>R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-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gas constant (J/</w:t>
            </w:r>
            <w:proofErr w:type="spellStart"/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mol</w:t>
            </w:r>
            <w:proofErr w:type="spellEnd"/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 w:eastAsia="pl-PL"/>
              </w:rPr>
              <w:t xml:space="preserve"> 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K), </w:t>
            </w:r>
          </w:p>
          <w:p w:rsidR="001F18A8" w:rsidRPr="004A0208" w:rsidRDefault="001F18A8" w:rsidP="00FC04D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 w:eastAsia="pl-PL"/>
              </w:rPr>
              <w:t>T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-</w:t>
            </w: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temperature (K)</w:t>
            </w:r>
          </w:p>
        </w:tc>
        <w:tc>
          <w:tcPr>
            <w:tcW w:w="1149" w:type="dxa"/>
            <w:vAlign w:val="center"/>
          </w:tcPr>
          <w:p w:rsidR="001F18A8" w:rsidRPr="004A0208" w:rsidRDefault="001F18A8" w:rsidP="00FC04D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Dubinin 1960</w:t>
            </w:r>
          </w:p>
        </w:tc>
      </w:tr>
      <w:tr w:rsidR="001F18A8" w:rsidRPr="004A0208" w:rsidTr="00FC04D8">
        <w:tc>
          <w:tcPr>
            <w:tcW w:w="1525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Sips</w:t>
            </w:r>
          </w:p>
        </w:tc>
        <w:tc>
          <w:tcPr>
            <w:tcW w:w="2019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q=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max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eq</m:t>
                            </m:r>
                          </m:sub>
                        </m:sSub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S</m:t>
                                </m:r>
                              </m:sub>
                            </m:sSub>
                          </m:den>
                        </m:f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  <m:t>S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eq</m:t>
                            </m:r>
                          </m:sub>
                        </m:sSub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S</m:t>
                                </m:r>
                              </m:sub>
                            </m:sSub>
                          </m:den>
                        </m:f>
                      </m:sup>
                    </m:sSup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:rsidR="001F18A8" w:rsidRPr="004A0208" w:rsidRDefault="001F18A8" w:rsidP="00FC04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(8)</w:t>
            </w:r>
          </w:p>
        </w:tc>
        <w:tc>
          <w:tcPr>
            <w:tcW w:w="3544" w:type="dxa"/>
          </w:tcPr>
          <w:p w:rsidR="00286879" w:rsidRPr="00BA49A1" w:rsidRDefault="00286879" w:rsidP="00286879">
            <w:pPr>
              <w:pStyle w:val="Zawartotabeli"/>
              <w:spacing w:line="48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826EC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 w:eastAsia="pl-PL"/>
              </w:rPr>
              <w:t>K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S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–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Sips constant related 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o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affinity constant ((L/mg)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 w:eastAsia="pl-PL"/>
              </w:rPr>
              <w:t>1/</w:t>
            </w:r>
            <w:proofErr w:type="spellStart"/>
            <w:r w:rsidRPr="00826EC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 w:eastAsia="pl-PL"/>
              </w:rPr>
              <w:t>n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 w:eastAsia="pl-PL"/>
              </w:rPr>
              <w:t>S</w:t>
            </w:r>
            <w:proofErr w:type="spellEnd"/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),</w:t>
            </w:r>
          </w:p>
          <w:p w:rsidR="001F18A8" w:rsidRPr="004A0208" w:rsidRDefault="00286879" w:rsidP="00286879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1/</w:t>
            </w:r>
            <w:proofErr w:type="spellStart"/>
            <w:r w:rsidRPr="00826EC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 w:eastAsia="pl-PL"/>
              </w:rPr>
              <w:t>n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pl-PL"/>
              </w:rPr>
              <w:t>S</w:t>
            </w:r>
            <w:proofErr w:type="spellEnd"/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>–</w:t>
            </w:r>
            <w:r w:rsidRPr="00826EC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 w:eastAsia="pl-PL"/>
              </w:rPr>
              <w:t xml:space="preserve"> Sips exponent which represents surface heterogeneity (dimensionless)</w:t>
            </w:r>
          </w:p>
        </w:tc>
        <w:tc>
          <w:tcPr>
            <w:tcW w:w="1149" w:type="dxa"/>
            <w:vAlign w:val="center"/>
          </w:tcPr>
          <w:p w:rsidR="001F18A8" w:rsidRPr="004A0208" w:rsidRDefault="001F18A8" w:rsidP="00FC04D8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A02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Sips 1948</w:t>
            </w:r>
          </w:p>
        </w:tc>
      </w:tr>
    </w:tbl>
    <w:p w:rsidR="001F18A8" w:rsidRPr="004A0208" w:rsidRDefault="001F18A8" w:rsidP="001F18A8">
      <w:pPr>
        <w:pStyle w:val="BodyTextIndent"/>
        <w:spacing w:line="480" w:lineRule="auto"/>
        <w:ind w:firstLine="0"/>
        <w:rPr>
          <w:color w:val="000000" w:themeColor="text1"/>
        </w:rPr>
      </w:pPr>
    </w:p>
    <w:p w:rsidR="00286879" w:rsidRPr="00826EC9" w:rsidRDefault="00286879" w:rsidP="00286879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constant </w:t>
      </w:r>
      <w:r w:rsidRPr="00826EC9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β</w:t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26EC9">
        <w:rPr>
          <w:rFonts w:ascii="Times New Roman" w:eastAsia="AdvGulliv-R" w:hAnsi="Times New Roman" w:cs="Times New Roman"/>
          <w:color w:val="000000" w:themeColor="text1"/>
          <w:sz w:val="24"/>
          <w:szCs w:val="24"/>
          <w:lang w:val="en-US" w:eastAsia="pl-PL"/>
        </w:rPr>
        <w:t>of the</w:t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Dubinin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proofErr w:type="spellStart"/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Radushkevich</w:t>
      </w:r>
      <w:proofErr w:type="spellEnd"/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26EC9">
        <w:rPr>
          <w:rFonts w:ascii="Times New Roman" w:eastAsia="AdvGulliv-R" w:hAnsi="Times New Roman" w:cs="Times New Roman"/>
          <w:color w:val="000000" w:themeColor="text1"/>
          <w:sz w:val="24"/>
          <w:szCs w:val="24"/>
          <w:lang w:val="en-US" w:eastAsia="pl-PL"/>
        </w:rPr>
        <w:t>isotherm</w:t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allows calculat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ion of</w:t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mean free energy (</w:t>
      </w:r>
      <w:r w:rsidRPr="00826EC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</w:t>
      </w:r>
      <w:r w:rsidRPr="00BA49A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adsorption per molecule of the </w:t>
      </w:r>
      <w:proofErr w:type="spellStart"/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adsorbate</w:t>
      </w:r>
      <w:proofErr w:type="spellEnd"/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</w:p>
    <w:p w:rsidR="00286879" w:rsidRPr="00826EC9" w:rsidRDefault="00286879" w:rsidP="00286879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m:oMath>
        <m:r>
          <m:rPr>
            <m:nor/>
          </m:rPr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lang w:val="en-US"/>
          </w:rPr>
          <m:t>E</m:t>
        </m:r>
        <m:r>
          <m:rPr>
            <m:nor/>
          </m:rPr>
          <w:rPr>
            <w:rFonts w:ascii="Cambria Math" w:hAnsi="Times New Roman" w:cs="Times New Roman"/>
            <w:color w:val="000000" w:themeColor="text1"/>
            <w:sz w:val="24"/>
            <w:szCs w:val="24"/>
            <w:lang w:val="en-US"/>
          </w:rPr>
          <m:t xml:space="preserve"> </m:t>
        </m:r>
        <m:r>
          <m:rPr>
            <m:nor/>
          </m:rPr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lang w:val="en-US"/>
                  </w:rPr>
                  <m:t>2β</m:t>
                </m:r>
              </m:e>
            </m:rad>
          </m:den>
        </m:f>
      </m:oMath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</w:t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           </w:t>
      </w:r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 (9).</w:t>
      </w:r>
    </w:p>
    <w:p w:rsidR="00286879" w:rsidRPr="001F1D81" w:rsidRDefault="00286879" w:rsidP="0028687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>A</w:t>
      </w:r>
      <w:r w:rsidRPr="00826EC9"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 xml:space="preserve"> value of </w:t>
      </w:r>
      <w:r w:rsidRPr="00BA49A1">
        <w:rPr>
          <w:rFonts w:ascii="Times New Roman" w:eastAsia="GulliverRM" w:hAnsi="Times New Roman" w:cs="Times New Roman"/>
          <w:i/>
          <w:iCs/>
          <w:color w:val="000000" w:themeColor="text1"/>
          <w:sz w:val="24"/>
          <w:szCs w:val="24"/>
          <w:lang w:val="en-US" w:eastAsia="pl-PL"/>
        </w:rPr>
        <w:t>E</w:t>
      </w:r>
      <w:r w:rsidRPr="00826EC9"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 xml:space="preserve"> in the range 8</w:t>
      </w:r>
      <w:r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>–</w:t>
      </w:r>
      <w:r w:rsidRPr="00826EC9"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>16 kJ/</w:t>
      </w:r>
      <w:proofErr w:type="spellStart"/>
      <w:r w:rsidRPr="00826EC9"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>mol</w:t>
      </w:r>
      <w:proofErr w:type="spellEnd"/>
      <w:r w:rsidRPr="00826EC9"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 xml:space="preserve"> indicates the adsorption is a chemical process, while if the value is lower than 8 kJ/</w:t>
      </w:r>
      <w:proofErr w:type="spellStart"/>
      <w:proofErr w:type="gramStart"/>
      <w:r w:rsidRPr="00826EC9"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>mol</w:t>
      </w:r>
      <w:proofErr w:type="spellEnd"/>
      <w:r w:rsidRPr="00826EC9"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>,</w:t>
      </w:r>
      <w:proofErr w:type="gramEnd"/>
      <w:r w:rsidRPr="00826EC9">
        <w:rPr>
          <w:rFonts w:ascii="Times New Roman" w:eastAsia="GulliverRM" w:hAnsi="Times New Roman" w:cs="Times New Roman"/>
          <w:color w:val="000000" w:themeColor="text1"/>
          <w:sz w:val="24"/>
          <w:szCs w:val="24"/>
          <w:lang w:val="en-US" w:eastAsia="pl-PL"/>
        </w:rPr>
        <w:t xml:space="preserve"> the adsorption process is of a physical nature (</w:t>
      </w:r>
      <w:proofErr w:type="spellStart"/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Özcan</w:t>
      </w:r>
      <w:proofErr w:type="spellEnd"/>
      <w:r w:rsidRPr="00826E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et al. 2006).</w:t>
      </w:r>
    </w:p>
    <w:p w:rsidR="004F070A" w:rsidRDefault="004F070A">
      <w:pPr>
        <w:rPr>
          <w:lang w:val="en-US"/>
        </w:rPr>
      </w:pPr>
    </w:p>
    <w:p w:rsidR="00D67462" w:rsidRDefault="00D67462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67462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:rsidR="00D67462" w:rsidRPr="00D67462" w:rsidRDefault="00D67462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67462" w:rsidRDefault="00D67462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>Ayawei</w:t>
      </w:r>
      <w:proofErr w:type="spell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, N., </w:t>
      </w:r>
      <w:proofErr w:type="spellStart"/>
      <w:r w:rsidRPr="00D67462">
        <w:rPr>
          <w:rFonts w:ascii="Times New Roman" w:hAnsi="Times New Roman" w:cs="Times New Roman"/>
          <w:sz w:val="24"/>
          <w:szCs w:val="24"/>
          <w:lang w:val="en-US"/>
        </w:rPr>
        <w:t>Ebelegi</w:t>
      </w:r>
      <w:proofErr w:type="spell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, A. N., &amp; </w:t>
      </w:r>
      <w:proofErr w:type="spellStart"/>
      <w:r w:rsidRPr="00D67462">
        <w:rPr>
          <w:rFonts w:ascii="Times New Roman" w:hAnsi="Times New Roman" w:cs="Times New Roman"/>
          <w:sz w:val="24"/>
          <w:szCs w:val="24"/>
          <w:lang w:val="en-US"/>
        </w:rPr>
        <w:t>Wankasi</w:t>
      </w:r>
      <w:proofErr w:type="spellEnd"/>
      <w:r w:rsidRPr="00D67462">
        <w:rPr>
          <w:rFonts w:ascii="Times New Roman" w:hAnsi="Times New Roman" w:cs="Times New Roman"/>
          <w:sz w:val="24"/>
          <w:szCs w:val="24"/>
          <w:lang w:val="en-US"/>
        </w:rPr>
        <w:t>, D. (2017).</w:t>
      </w:r>
      <w:proofErr w:type="gram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>Modelling</w:t>
      </w:r>
      <w:proofErr w:type="spell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and interpretation of adsorption isotherms.</w:t>
      </w:r>
      <w:proofErr w:type="gram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Jo</w:t>
      </w:r>
      <w:r w:rsidR="003058E9">
        <w:rPr>
          <w:rFonts w:ascii="Times New Roman" w:hAnsi="Times New Roman" w:cs="Times New Roman"/>
          <w:sz w:val="24"/>
          <w:szCs w:val="24"/>
          <w:lang w:val="en-US"/>
        </w:rPr>
        <w:t xml:space="preserve">urnal of Chemistry, 2017, 1–11. </w:t>
      </w:r>
      <w:hyperlink r:id="rId5" w:history="1">
        <w:r w:rsidR="003058E9" w:rsidRPr="00667C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https://doi.org/10.1155/2017/3039817</w:t>
        </w:r>
      </w:hyperlink>
      <w:r w:rsidRPr="00D674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58E9" w:rsidRPr="00D67462" w:rsidRDefault="003058E9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058E9" w:rsidRDefault="003058E9" w:rsidP="00305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>Belhachemi</w:t>
      </w:r>
      <w:proofErr w:type="spell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, M., &amp; </w:t>
      </w:r>
      <w:proofErr w:type="spellStart"/>
      <w:r w:rsidRPr="00D67462">
        <w:rPr>
          <w:rFonts w:ascii="Times New Roman" w:hAnsi="Times New Roman" w:cs="Times New Roman"/>
          <w:sz w:val="24"/>
          <w:szCs w:val="24"/>
          <w:lang w:val="en-US"/>
        </w:rPr>
        <w:t>Addoun</w:t>
      </w:r>
      <w:proofErr w:type="spellEnd"/>
      <w:r w:rsidRPr="00D67462">
        <w:rPr>
          <w:rFonts w:ascii="Times New Roman" w:hAnsi="Times New Roman" w:cs="Times New Roman"/>
          <w:sz w:val="24"/>
          <w:szCs w:val="24"/>
          <w:lang w:val="en-US"/>
        </w:rPr>
        <w:t>, F. (2011).</w:t>
      </w:r>
      <w:proofErr w:type="gram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>Comparative adsor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ption isotherms and modeling of </w:t>
      </w:r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methylene blue onto activated </w:t>
      </w:r>
      <w:r>
        <w:rPr>
          <w:rFonts w:ascii="Times New Roman" w:hAnsi="Times New Roman" w:cs="Times New Roman"/>
          <w:sz w:val="24"/>
          <w:szCs w:val="24"/>
          <w:lang w:val="en-US"/>
        </w:rPr>
        <w:t>carbons.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Applied Water Science, </w:t>
      </w:r>
      <w:r w:rsidRPr="00D67462">
        <w:rPr>
          <w:rFonts w:ascii="Times New Roman" w:hAnsi="Times New Roman" w:cs="Times New Roman"/>
          <w:sz w:val="24"/>
          <w:szCs w:val="24"/>
          <w:lang w:val="en-US"/>
        </w:rPr>
        <w:t>1, 111–117.</w:t>
      </w:r>
      <w:proofErr w:type="gram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667C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https://doi.org/10.1007/s13201-011-0014-1</w:t>
        </w:r>
      </w:hyperlink>
      <w:r w:rsidRPr="00D674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58E9" w:rsidRPr="00D67462" w:rsidRDefault="003058E9" w:rsidP="00305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7462" w:rsidRDefault="00D67462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7462">
        <w:rPr>
          <w:rFonts w:ascii="Times New Roman" w:hAnsi="Times New Roman" w:cs="Times New Roman"/>
          <w:sz w:val="24"/>
          <w:szCs w:val="24"/>
          <w:lang w:val="en-US"/>
        </w:rPr>
        <w:t>Dubinin</w:t>
      </w:r>
      <w:proofErr w:type="spell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, M. M. (1960). </w:t>
      </w:r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The potential theory of adsorption of gases and vapors for adsorbents with energetically </w:t>
      </w:r>
      <w:proofErr w:type="spellStart"/>
      <w:r w:rsidRPr="00D67462">
        <w:rPr>
          <w:rFonts w:ascii="Times New Roman" w:hAnsi="Times New Roman" w:cs="Times New Roman"/>
          <w:sz w:val="24"/>
          <w:szCs w:val="24"/>
          <w:lang w:val="en-US"/>
        </w:rPr>
        <w:t>nonunif</w:t>
      </w:r>
      <w:r>
        <w:rPr>
          <w:rFonts w:ascii="Times New Roman" w:hAnsi="Times New Roman" w:cs="Times New Roman"/>
          <w:sz w:val="24"/>
          <w:szCs w:val="24"/>
          <w:lang w:val="en-US"/>
        </w:rPr>
        <w:t>orm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surfaces.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Chemical Reviews, 60, 235–241. </w:t>
      </w:r>
      <w:hyperlink r:id="rId7" w:history="1">
        <w:r w:rsidR="003058E9" w:rsidRPr="00667C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https://doi.org/10.1021/cr60204a006</w:t>
        </w:r>
      </w:hyperlink>
      <w:r w:rsidRPr="00D674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58E9" w:rsidRPr="00D67462" w:rsidRDefault="003058E9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7462" w:rsidRPr="00D67462" w:rsidRDefault="00D67462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67462">
        <w:rPr>
          <w:rFonts w:ascii="Times New Roman" w:hAnsi="Times New Roman" w:cs="Times New Roman"/>
          <w:sz w:val="24"/>
          <w:szCs w:val="24"/>
          <w:lang w:val="en-US"/>
        </w:rPr>
        <w:t>Freundlich</w:t>
      </w:r>
      <w:proofErr w:type="spell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, H. M. F. (1906). </w:t>
      </w:r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>Over the adsorption in solution.</w:t>
      </w:r>
      <w:proofErr w:type="gram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The Journal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Physical </w:t>
      </w:r>
      <w:r w:rsidRPr="00D67462">
        <w:rPr>
          <w:rFonts w:ascii="Times New Roman" w:hAnsi="Times New Roman" w:cs="Times New Roman"/>
          <w:sz w:val="24"/>
          <w:szCs w:val="24"/>
          <w:lang w:val="en-US"/>
        </w:rPr>
        <w:t>Chemistry, 57, 385–471.</w:t>
      </w:r>
    </w:p>
    <w:p w:rsidR="00C25FA6" w:rsidRDefault="00C25FA6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7462" w:rsidRDefault="00D67462" w:rsidP="00D67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Langmuir, I. (1916). </w:t>
      </w:r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>The constitution and fundamental properties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solids and liquids.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Part I. </w:t>
      </w:r>
      <w:r w:rsidRPr="00D67462">
        <w:rPr>
          <w:rFonts w:ascii="Times New Roman" w:hAnsi="Times New Roman" w:cs="Times New Roman"/>
          <w:sz w:val="24"/>
          <w:szCs w:val="24"/>
          <w:lang w:val="en-US"/>
        </w:rPr>
        <w:t>Solids.</w:t>
      </w:r>
      <w:proofErr w:type="gram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Journal of the Ameri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can Chemical Society, 38, 2221–2295. </w:t>
      </w:r>
      <w:hyperlink r:id="rId8" w:history="1">
        <w:r w:rsidR="003058E9" w:rsidRPr="00667C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https://doi.org/10.1021/ja02268a002</w:t>
        </w:r>
      </w:hyperlink>
      <w:r w:rsidRPr="00D674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25FA6" w:rsidRDefault="00C25FA6" w:rsidP="00D674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058E9" w:rsidRDefault="003058E9" w:rsidP="00305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lang w:val="en-US"/>
        </w:rPr>
      </w:pPr>
      <w:proofErr w:type="spellStart"/>
      <w:proofErr w:type="gramStart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lastRenderedPageBreak/>
        <w:t>Özcan</w:t>
      </w:r>
      <w:proofErr w:type="spellEnd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 xml:space="preserve">, A., </w:t>
      </w:r>
      <w:proofErr w:type="spellStart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>Öncü</w:t>
      </w:r>
      <w:proofErr w:type="spellEnd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 xml:space="preserve">, E. M., &amp; </w:t>
      </w:r>
      <w:proofErr w:type="spellStart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>Özcan</w:t>
      </w:r>
      <w:proofErr w:type="spellEnd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>, A. S. (2006).</w:t>
      </w:r>
      <w:proofErr w:type="gramEnd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 xml:space="preserve"> </w:t>
      </w:r>
      <w:proofErr w:type="gramStart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>Kinetics, isotherm and thermodynamic studies of adsorption of Acid Blue 193 from aqueous solutions onto na</w:t>
      </w:r>
      <w:r>
        <w:rPr>
          <w:rFonts w:ascii="Times New Roman" w:hAnsi="Times New Roman" w:cs="Times New Roman"/>
          <w:color w:val="111111"/>
          <w:sz w:val="24"/>
          <w:szCs w:val="24"/>
          <w:lang w:val="en-US"/>
        </w:rPr>
        <w:t xml:space="preserve">tural </w:t>
      </w:r>
      <w:proofErr w:type="spellStart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>sepiolite</w:t>
      </w:r>
      <w:proofErr w:type="spellEnd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>.</w:t>
      </w:r>
      <w:proofErr w:type="gramEnd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 xml:space="preserve"> </w:t>
      </w:r>
      <w:r w:rsidRPr="003058E9">
        <w:rPr>
          <w:rFonts w:ascii="Times New Roman" w:hAnsi="Times New Roman" w:cs="Times New Roman"/>
          <w:i/>
          <w:iCs/>
          <w:color w:val="111111"/>
          <w:sz w:val="24"/>
          <w:szCs w:val="24"/>
          <w:lang w:val="en-US"/>
        </w:rPr>
        <w:t xml:space="preserve">Colloids and Surfaces A: Physicochemical and Engineering Aspects, </w:t>
      </w:r>
      <w:proofErr w:type="gramStart"/>
      <w:r w:rsidRPr="003058E9">
        <w:rPr>
          <w:rFonts w:ascii="Times New Roman" w:hAnsi="Times New Roman" w:cs="Times New Roman"/>
          <w:i/>
          <w:iCs/>
          <w:color w:val="111111"/>
          <w:sz w:val="24"/>
          <w:szCs w:val="24"/>
          <w:lang w:val="en-US"/>
        </w:rPr>
        <w:t xml:space="preserve">227 </w:t>
      </w:r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>,</w:t>
      </w:r>
      <w:proofErr w:type="gramEnd"/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 xml:space="preserve"> 90–97. </w:t>
      </w:r>
      <w:hyperlink r:id="rId9" w:history="1">
        <w:r w:rsidRPr="00667C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https://doi.org/10.1016/j.colsurfa.2005.11.017</w:t>
        </w:r>
      </w:hyperlink>
      <w:r w:rsidRPr="003058E9">
        <w:rPr>
          <w:rFonts w:ascii="Times New Roman" w:hAnsi="Times New Roman" w:cs="Times New Roman"/>
          <w:color w:val="111111"/>
          <w:sz w:val="24"/>
          <w:szCs w:val="24"/>
          <w:lang w:val="en-US"/>
        </w:rPr>
        <w:t>.</w:t>
      </w:r>
    </w:p>
    <w:p w:rsidR="003058E9" w:rsidRPr="003058E9" w:rsidRDefault="003058E9" w:rsidP="003058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lang w:val="en-US"/>
        </w:rPr>
      </w:pPr>
    </w:p>
    <w:p w:rsidR="00D67462" w:rsidRDefault="00D67462" w:rsidP="00D6746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>Sips, R. (1948).</w:t>
      </w:r>
      <w:proofErr w:type="gram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67462">
        <w:rPr>
          <w:rFonts w:ascii="Times New Roman" w:hAnsi="Times New Roman" w:cs="Times New Roman"/>
          <w:sz w:val="24"/>
          <w:szCs w:val="24"/>
          <w:lang w:val="en-US"/>
        </w:rPr>
        <w:t>On the structure of a catalyst surface.</w:t>
      </w:r>
      <w:proofErr w:type="gramEnd"/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 The J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ournal of Chemical Physics, 16, </w:t>
      </w:r>
      <w:r w:rsidRPr="00D67462">
        <w:rPr>
          <w:rFonts w:ascii="Times New Roman" w:hAnsi="Times New Roman" w:cs="Times New Roman"/>
          <w:sz w:val="24"/>
          <w:szCs w:val="24"/>
          <w:lang w:val="en-US"/>
        </w:rPr>
        <w:t xml:space="preserve">490–495. </w:t>
      </w:r>
      <w:hyperlink r:id="rId10" w:history="1">
        <w:r w:rsidR="003058E9" w:rsidRPr="00667CE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https://doi.org/10.1063/1.1746922</w:t>
        </w:r>
      </w:hyperlink>
      <w:r w:rsidRPr="00D6746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58E9" w:rsidRDefault="003058E9" w:rsidP="00D6746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3058E9" w:rsidRPr="00D67462" w:rsidRDefault="003058E9" w:rsidP="00D6746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058E9" w:rsidRPr="00D67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Gulliv-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A8"/>
    <w:rsid w:val="001F18A8"/>
    <w:rsid w:val="00286879"/>
    <w:rsid w:val="003058E9"/>
    <w:rsid w:val="004F070A"/>
    <w:rsid w:val="00A80E27"/>
    <w:rsid w:val="00C25FA6"/>
    <w:rsid w:val="00D6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8A8"/>
  </w:style>
  <w:style w:type="paragraph" w:styleId="Heading1">
    <w:name w:val="heading 1"/>
    <w:basedOn w:val="Normal"/>
    <w:next w:val="Normal"/>
    <w:link w:val="Heading1Char"/>
    <w:uiPriority w:val="9"/>
    <w:qFormat/>
    <w:rsid w:val="00A80E27"/>
    <w:pPr>
      <w:keepNext/>
      <w:spacing w:after="0" w:line="240" w:lineRule="auto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8A8"/>
    <w:pPr>
      <w:keepNext/>
      <w:outlineLvl w:val="1"/>
    </w:pPr>
    <w:rPr>
      <w:rFonts w:ascii="Times New Roman" w:hAnsi="Times New Roman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E27"/>
    <w:rPr>
      <w:rFonts w:ascii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1F18A8"/>
    <w:rPr>
      <w:rFonts w:ascii="Times New Roman" w:hAnsi="Times New Roman" w:cs="Times New Roman"/>
      <w:b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1F18A8"/>
    <w:pPr>
      <w:spacing w:after="120" w:line="360" w:lineRule="auto"/>
      <w:jc w:val="both"/>
    </w:pPr>
    <w:rPr>
      <w:rFonts w:ascii="Times New Roman" w:hAnsi="Times New Roman" w:cs="Times New Roman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1F18A8"/>
    <w:rPr>
      <w:rFonts w:ascii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F18A8"/>
    <w:pPr>
      <w:spacing w:after="0" w:line="360" w:lineRule="auto"/>
      <w:ind w:firstLine="708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F18A8"/>
    <w:rPr>
      <w:rFonts w:ascii="Times New Roman" w:hAnsi="Times New Roman" w:cs="Times New Roman"/>
      <w:sz w:val="24"/>
      <w:szCs w:val="24"/>
      <w:lang w:val="en-US"/>
    </w:rPr>
  </w:style>
  <w:style w:type="paragraph" w:customStyle="1" w:styleId="Zawartotabeli">
    <w:name w:val="Zawartość tabeli"/>
    <w:basedOn w:val="Normal"/>
    <w:uiPriority w:val="99"/>
    <w:semiHidden/>
    <w:qFormat/>
    <w:rsid w:val="001F18A8"/>
    <w:pPr>
      <w:suppressLineNumbers/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1F1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8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18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58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8A8"/>
  </w:style>
  <w:style w:type="paragraph" w:styleId="Heading1">
    <w:name w:val="heading 1"/>
    <w:basedOn w:val="Normal"/>
    <w:next w:val="Normal"/>
    <w:link w:val="Heading1Char"/>
    <w:uiPriority w:val="9"/>
    <w:qFormat/>
    <w:rsid w:val="00A80E27"/>
    <w:pPr>
      <w:keepNext/>
      <w:spacing w:after="0" w:line="240" w:lineRule="auto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8A8"/>
    <w:pPr>
      <w:keepNext/>
      <w:outlineLvl w:val="1"/>
    </w:pPr>
    <w:rPr>
      <w:rFonts w:ascii="Times New Roman" w:hAnsi="Times New Roman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E27"/>
    <w:rPr>
      <w:rFonts w:ascii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1F18A8"/>
    <w:rPr>
      <w:rFonts w:ascii="Times New Roman" w:hAnsi="Times New Roman" w:cs="Times New Roman"/>
      <w:b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1F18A8"/>
    <w:pPr>
      <w:spacing w:after="120" w:line="360" w:lineRule="auto"/>
      <w:jc w:val="both"/>
    </w:pPr>
    <w:rPr>
      <w:rFonts w:ascii="Times New Roman" w:hAnsi="Times New Roman" w:cs="Times New Roman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1F18A8"/>
    <w:rPr>
      <w:rFonts w:ascii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1F18A8"/>
    <w:pPr>
      <w:spacing w:after="0" w:line="360" w:lineRule="auto"/>
      <w:ind w:firstLine="708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F18A8"/>
    <w:rPr>
      <w:rFonts w:ascii="Times New Roman" w:hAnsi="Times New Roman" w:cs="Times New Roman"/>
      <w:sz w:val="24"/>
      <w:szCs w:val="24"/>
      <w:lang w:val="en-US"/>
    </w:rPr>
  </w:style>
  <w:style w:type="paragraph" w:customStyle="1" w:styleId="Zawartotabeli">
    <w:name w:val="Zawartość tabeli"/>
    <w:basedOn w:val="Normal"/>
    <w:uiPriority w:val="99"/>
    <w:semiHidden/>
    <w:qFormat/>
    <w:rsid w:val="001F18A8"/>
    <w:pPr>
      <w:suppressLineNumbers/>
      <w:spacing w:after="0" w:line="240" w:lineRule="auto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1F1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8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18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058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21/ja02268a0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21/cr60204a00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1007/s13201-011-0014-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155/2017/3039817" TargetMode="External"/><Relationship Id="rId10" Type="http://schemas.openxmlformats.org/officeDocument/2006/relationships/hyperlink" Target="https://doi.org/10.1063/1.17469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olsurfa.2005.11.01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Podstaw Inżynierii  Środowiska PAN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Baamonde, Irene Kae</cp:lastModifiedBy>
  <cp:revision>5</cp:revision>
  <dcterms:created xsi:type="dcterms:W3CDTF">2021-01-12T09:20:00Z</dcterms:created>
  <dcterms:modified xsi:type="dcterms:W3CDTF">2021-02-15T17:32:00Z</dcterms:modified>
</cp:coreProperties>
</file>