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CF7DA" w14:textId="77777777" w:rsidR="008D5A1E" w:rsidRPr="00471B3C" w:rsidRDefault="008D5A1E" w:rsidP="00C07BDF">
      <w:pPr>
        <w:tabs>
          <w:tab w:val="left" w:pos="2920"/>
        </w:tabs>
        <w:spacing w:line="36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  <w:r w:rsidRPr="00471B3C">
        <w:rPr>
          <w:rFonts w:ascii="Times New Roman" w:hAnsi="Times New Roman" w:cs="Times New Roman"/>
          <w:sz w:val="20"/>
          <w:szCs w:val="20"/>
        </w:rPr>
        <w:t>Table S7. Criteria for attributes rating</w:t>
      </w:r>
    </w:p>
    <w:tbl>
      <w:tblPr>
        <w:tblStyle w:val="TableGrid"/>
        <w:tblW w:w="5101" w:type="pct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55"/>
        <w:gridCol w:w="2266"/>
        <w:gridCol w:w="2412"/>
        <w:gridCol w:w="4786"/>
      </w:tblGrid>
      <w:tr w:rsidR="00471B3C" w:rsidRPr="00471B3C" w14:paraId="4E58EE35" w14:textId="77777777" w:rsidTr="00C07BDF">
        <w:tc>
          <w:tcPr>
            <w:tcW w:w="794" w:type="pct"/>
            <w:tcBorders>
              <w:bottom w:val="single" w:sz="4" w:space="0" w:color="auto"/>
            </w:tcBorders>
          </w:tcPr>
          <w:p w14:paraId="5E6D31B9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Criteria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1E1963A5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Low risk (1)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4F1077D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Medium risk (2)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45D1AD0C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High risk (3)</w:t>
            </w:r>
          </w:p>
        </w:tc>
        <w:tc>
          <w:tcPr>
            <w:tcW w:w="1675" w:type="pct"/>
            <w:tcBorders>
              <w:bottom w:val="single" w:sz="4" w:space="0" w:color="auto"/>
            </w:tcBorders>
          </w:tcPr>
          <w:p w14:paraId="17E88592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Criteria description</w:t>
            </w:r>
          </w:p>
        </w:tc>
      </w:tr>
      <w:tr w:rsidR="00471B3C" w:rsidRPr="00471B3C" w14:paraId="3FF7C40E" w14:textId="77777777" w:rsidTr="00C07BDF">
        <w:tc>
          <w:tcPr>
            <w:tcW w:w="794" w:type="pct"/>
            <w:tcBorders>
              <w:top w:val="single" w:sz="4" w:space="0" w:color="auto"/>
              <w:bottom w:val="single" w:sz="4" w:space="0" w:color="auto"/>
            </w:tcBorders>
          </w:tcPr>
          <w:p w14:paraId="44B73BA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Exposure criteria 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</w:tcPr>
          <w:p w14:paraId="447730D5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B992EB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14:paraId="2EA16245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</w:tcPr>
          <w:p w14:paraId="0043B15C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B3C" w:rsidRPr="00471B3C" w14:paraId="477D354F" w14:textId="77777777" w:rsidTr="00C07BDF">
        <w:trPr>
          <w:trHeight w:val="425"/>
        </w:trPr>
        <w:tc>
          <w:tcPr>
            <w:tcW w:w="794" w:type="pct"/>
            <w:tcBorders>
              <w:top w:val="single" w:sz="4" w:space="0" w:color="auto"/>
            </w:tcBorders>
          </w:tcPr>
          <w:p w14:paraId="1F291851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Spatial overlap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0696AB61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&lt;10% of the habitat overlaps with the stressor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5D395472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10 to 30% of the habitat overlaps with the stressor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7B6979B2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&gt;30% of the habitat overlaps with the stressor</w:t>
            </w:r>
          </w:p>
        </w:tc>
        <w:tc>
          <w:tcPr>
            <w:tcW w:w="1675" w:type="pct"/>
            <w:tcBorders>
              <w:top w:val="single" w:sz="4" w:space="0" w:color="auto"/>
            </w:tcBorders>
          </w:tcPr>
          <w:p w14:paraId="414D6B86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The model uses the maps of the habitats (mangroves in this case) and the human-led stressors to calculate the percentage of the area of the habitat which overlaps with each stressor and its zone of influence</w:t>
            </w:r>
          </w:p>
          <w:p w14:paraId="63DD9A81" w14:textId="72A1B944" w:rsidR="00C07BDF" w:rsidRPr="00471B3C" w:rsidRDefault="00C07BDF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B3C" w:rsidRPr="00471B3C" w14:paraId="00AEFDCF" w14:textId="77777777" w:rsidTr="00C07BDF">
        <w:tc>
          <w:tcPr>
            <w:tcW w:w="794" w:type="pct"/>
          </w:tcPr>
          <w:p w14:paraId="2972E78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Temporal overlap</w:t>
            </w:r>
          </w:p>
        </w:tc>
        <w:tc>
          <w:tcPr>
            <w:tcW w:w="894" w:type="pct"/>
          </w:tcPr>
          <w:p w14:paraId="3827DE2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Habitat and stressor co-occur for 0 to 4 months a year</w:t>
            </w:r>
          </w:p>
        </w:tc>
        <w:tc>
          <w:tcPr>
            <w:tcW w:w="793" w:type="pct"/>
          </w:tcPr>
          <w:p w14:paraId="6C81A6E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Habitat and stressor co-occur for 4 to 8 months a year</w:t>
            </w:r>
          </w:p>
        </w:tc>
        <w:tc>
          <w:tcPr>
            <w:tcW w:w="844" w:type="pct"/>
          </w:tcPr>
          <w:p w14:paraId="44EBC82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Habitat and stressor co-occur for 8 to 12 months a year</w:t>
            </w:r>
          </w:p>
          <w:p w14:paraId="24694B11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</w:tcPr>
          <w:p w14:paraId="7671A40A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It refers to the duration of time that the habitat and the stressor experience spatial overlap</w:t>
            </w:r>
          </w:p>
        </w:tc>
      </w:tr>
      <w:tr w:rsidR="00471B3C" w:rsidRPr="00471B3C" w14:paraId="5DA677EB" w14:textId="77777777" w:rsidTr="00C07BDF">
        <w:tc>
          <w:tcPr>
            <w:tcW w:w="794" w:type="pct"/>
          </w:tcPr>
          <w:p w14:paraId="544BB08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Intensity</w:t>
            </w:r>
          </w:p>
        </w:tc>
        <w:tc>
          <w:tcPr>
            <w:tcW w:w="894" w:type="pct"/>
          </w:tcPr>
          <w:p w14:paraId="76BF61E9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Low intensity</w:t>
            </w:r>
          </w:p>
        </w:tc>
        <w:tc>
          <w:tcPr>
            <w:tcW w:w="793" w:type="pct"/>
          </w:tcPr>
          <w:p w14:paraId="271C2886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Medium intensity</w:t>
            </w:r>
          </w:p>
        </w:tc>
        <w:tc>
          <w:tcPr>
            <w:tcW w:w="844" w:type="pct"/>
          </w:tcPr>
          <w:p w14:paraId="7E4B6056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High intensity</w:t>
            </w:r>
          </w:p>
        </w:tc>
        <w:tc>
          <w:tcPr>
            <w:tcW w:w="1675" w:type="pct"/>
          </w:tcPr>
          <w:p w14:paraId="2CBBC445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It portrays how destructive the stressor can be for the habitat. </w:t>
            </w:r>
          </w:p>
          <w:p w14:paraId="3A655CD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B3C" w:rsidRPr="00471B3C" w14:paraId="5FC818BE" w14:textId="77777777" w:rsidTr="00C07BDF">
        <w:tc>
          <w:tcPr>
            <w:tcW w:w="794" w:type="pct"/>
            <w:tcBorders>
              <w:bottom w:val="single" w:sz="4" w:space="0" w:color="auto"/>
            </w:tcBorders>
          </w:tcPr>
          <w:p w14:paraId="565362D6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Management effectiveness 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58039E3B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Very effective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1DDA2C41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Somewhat effective</w:t>
            </w: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55E085E4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Not effective </w:t>
            </w:r>
          </w:p>
        </w:tc>
        <w:tc>
          <w:tcPr>
            <w:tcW w:w="1675" w:type="pct"/>
            <w:tcBorders>
              <w:bottom w:val="single" w:sz="4" w:space="0" w:color="auto"/>
            </w:tcBorders>
          </w:tcPr>
          <w:p w14:paraId="217D5239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It indicates that an effective management is essential in limiting the negative impacts of human activities on habitats or species </w:t>
            </w:r>
          </w:p>
        </w:tc>
      </w:tr>
      <w:tr w:rsidR="00471B3C" w:rsidRPr="00471B3C" w14:paraId="709D50DC" w14:textId="77777777" w:rsidTr="00C07BDF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CAAEB5" w14:textId="27802ADA" w:rsidR="00C07BDF" w:rsidRPr="00471B3C" w:rsidRDefault="00C07BDF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Consequence criteria (sensitivity)</w:t>
            </w:r>
          </w:p>
        </w:tc>
      </w:tr>
      <w:tr w:rsidR="00471B3C" w:rsidRPr="00471B3C" w14:paraId="2F2FE9CB" w14:textId="77777777" w:rsidTr="00C07BDF">
        <w:tc>
          <w:tcPr>
            <w:tcW w:w="794" w:type="pct"/>
            <w:tcBorders>
              <w:top w:val="single" w:sz="4" w:space="0" w:color="auto"/>
            </w:tcBorders>
          </w:tcPr>
          <w:p w14:paraId="5E33F28B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Change in area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09ECAA9F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Low loss in area (&lt;20%)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575A4D5B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Medium loss in area (20 to 50%)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E5693B8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High loss in area (50 to 100%)</w:t>
            </w:r>
          </w:p>
        </w:tc>
        <w:tc>
          <w:tcPr>
            <w:tcW w:w="1675" w:type="pct"/>
            <w:tcBorders>
              <w:top w:val="single" w:sz="4" w:space="0" w:color="auto"/>
            </w:tcBorders>
          </w:tcPr>
          <w:p w14:paraId="1A6DD6C2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This criterion measures the percent change in extent of a habitat or species when exposed to a particular stressor  </w:t>
            </w:r>
          </w:p>
          <w:p w14:paraId="02D48CF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B3C" w:rsidRPr="00471B3C" w14:paraId="2F0994E5" w14:textId="77777777" w:rsidTr="00C07BDF">
        <w:tc>
          <w:tcPr>
            <w:tcW w:w="794" w:type="pct"/>
          </w:tcPr>
          <w:p w14:paraId="5C28EE55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Change in structure</w:t>
            </w:r>
          </w:p>
        </w:tc>
        <w:tc>
          <w:tcPr>
            <w:tcW w:w="894" w:type="pct"/>
          </w:tcPr>
          <w:p w14:paraId="294C1EB4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Low loss in structure (&lt;20% loss in density)</w:t>
            </w:r>
          </w:p>
        </w:tc>
        <w:tc>
          <w:tcPr>
            <w:tcW w:w="793" w:type="pct"/>
          </w:tcPr>
          <w:p w14:paraId="6842A17A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Medium loss in structure (20 to 50% loss in density)</w:t>
            </w:r>
          </w:p>
        </w:tc>
        <w:tc>
          <w:tcPr>
            <w:tcW w:w="844" w:type="pct"/>
          </w:tcPr>
          <w:p w14:paraId="5F39A71A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Medium loss in structure (50 to 100% loss in density)</w:t>
            </w:r>
          </w:p>
          <w:p w14:paraId="41CC6BDC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</w:tcPr>
          <w:p w14:paraId="5A52A179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It is the percentage change in structural density of the habitat as a result of a given stressor. </w:t>
            </w:r>
          </w:p>
        </w:tc>
      </w:tr>
      <w:tr w:rsidR="00471B3C" w:rsidRPr="00471B3C" w14:paraId="13470E18" w14:textId="77777777" w:rsidTr="00C07BDF">
        <w:tc>
          <w:tcPr>
            <w:tcW w:w="794" w:type="pct"/>
          </w:tcPr>
          <w:p w14:paraId="1DA1EB49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Frequency of disturbance</w:t>
            </w:r>
          </w:p>
        </w:tc>
        <w:tc>
          <w:tcPr>
            <w:tcW w:w="894" w:type="pct"/>
          </w:tcPr>
          <w:p w14:paraId="67CC1E0B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Daily to weekly</w:t>
            </w:r>
          </w:p>
        </w:tc>
        <w:tc>
          <w:tcPr>
            <w:tcW w:w="793" w:type="pct"/>
          </w:tcPr>
          <w:p w14:paraId="1CA973A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Several times a year</w:t>
            </w:r>
          </w:p>
        </w:tc>
        <w:tc>
          <w:tcPr>
            <w:tcW w:w="844" w:type="pct"/>
          </w:tcPr>
          <w:p w14:paraId="2BC57C9F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Less often</w:t>
            </w:r>
          </w:p>
        </w:tc>
        <w:tc>
          <w:tcPr>
            <w:tcW w:w="1675" w:type="pct"/>
          </w:tcPr>
          <w:p w14:paraId="524A9BC7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It measures the frequency at which the habitat is perturbed by the stressor. </w:t>
            </w:r>
          </w:p>
        </w:tc>
      </w:tr>
      <w:tr w:rsidR="00471B3C" w:rsidRPr="00471B3C" w14:paraId="6DF92CA5" w14:textId="77777777" w:rsidTr="00C07BDF">
        <w:tc>
          <w:tcPr>
            <w:tcW w:w="794" w:type="pct"/>
            <w:tcBorders>
              <w:bottom w:val="single" w:sz="4" w:space="0" w:color="auto"/>
            </w:tcBorders>
          </w:tcPr>
          <w:p w14:paraId="27F4584E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Consequence criteria (Resilience)</w:t>
            </w: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63EC7AE8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0233F691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bottom w:val="single" w:sz="4" w:space="0" w:color="auto"/>
            </w:tcBorders>
          </w:tcPr>
          <w:p w14:paraId="1E86DBD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pct"/>
            <w:tcBorders>
              <w:bottom w:val="single" w:sz="4" w:space="0" w:color="auto"/>
            </w:tcBorders>
          </w:tcPr>
          <w:p w14:paraId="36AB8AD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B3C" w:rsidRPr="00471B3C" w14:paraId="7B527A78" w14:textId="77777777" w:rsidTr="00C07BDF">
        <w:tc>
          <w:tcPr>
            <w:tcW w:w="794" w:type="pct"/>
            <w:tcBorders>
              <w:top w:val="single" w:sz="4" w:space="0" w:color="auto"/>
            </w:tcBorders>
          </w:tcPr>
          <w:p w14:paraId="0B32A30A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Natural mortality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30A57C18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High mortality (&lt;80% or above)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579666CE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Moderate mortality (20 to 50%)</w:t>
            </w:r>
          </w:p>
          <w:p w14:paraId="3FF2CE9E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60ED5ECF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Low mortality (&lt;20%)</w:t>
            </w:r>
          </w:p>
        </w:tc>
        <w:tc>
          <w:tcPr>
            <w:tcW w:w="1675" w:type="pct"/>
            <w:tcBorders>
              <w:top w:val="single" w:sz="4" w:space="0" w:color="auto"/>
            </w:tcBorders>
          </w:tcPr>
          <w:p w14:paraId="0D5B1C1F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It measures the natural mortality rates of the habitat or species.</w:t>
            </w:r>
          </w:p>
        </w:tc>
      </w:tr>
      <w:tr w:rsidR="00471B3C" w:rsidRPr="00471B3C" w14:paraId="2F2E1C5A" w14:textId="77777777" w:rsidTr="00C07BDF">
        <w:tc>
          <w:tcPr>
            <w:tcW w:w="794" w:type="pct"/>
          </w:tcPr>
          <w:p w14:paraId="26314A0D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Recruitment</w:t>
            </w:r>
          </w:p>
        </w:tc>
        <w:tc>
          <w:tcPr>
            <w:tcW w:w="894" w:type="pct"/>
          </w:tcPr>
          <w:p w14:paraId="4BF2A352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Annual or more often</w:t>
            </w:r>
          </w:p>
        </w:tc>
        <w:tc>
          <w:tcPr>
            <w:tcW w:w="793" w:type="pct"/>
          </w:tcPr>
          <w:p w14:paraId="36706F62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Every 1-2 year</w:t>
            </w:r>
          </w:p>
        </w:tc>
        <w:tc>
          <w:tcPr>
            <w:tcW w:w="844" w:type="pct"/>
          </w:tcPr>
          <w:p w14:paraId="126DE057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Every 2+ years </w:t>
            </w:r>
          </w:p>
        </w:tc>
        <w:tc>
          <w:tcPr>
            <w:tcW w:w="1675" w:type="pct"/>
          </w:tcPr>
          <w:p w14:paraId="1C44260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It assesses the rate of recruitment of the habitat or the species.</w:t>
            </w:r>
          </w:p>
          <w:p w14:paraId="7D7290E8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B3C" w:rsidRPr="00471B3C" w14:paraId="54780CA7" w14:textId="77777777" w:rsidTr="00C07BDF">
        <w:tc>
          <w:tcPr>
            <w:tcW w:w="794" w:type="pct"/>
          </w:tcPr>
          <w:p w14:paraId="17027D24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Connectivity</w:t>
            </w:r>
          </w:p>
        </w:tc>
        <w:tc>
          <w:tcPr>
            <w:tcW w:w="894" w:type="pct"/>
          </w:tcPr>
          <w:p w14:paraId="55879CC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High dispersal (&gt;100km)</w:t>
            </w:r>
          </w:p>
        </w:tc>
        <w:tc>
          <w:tcPr>
            <w:tcW w:w="793" w:type="pct"/>
          </w:tcPr>
          <w:p w14:paraId="4E956750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Medium dispersal (10-100km)</w:t>
            </w:r>
          </w:p>
        </w:tc>
        <w:tc>
          <w:tcPr>
            <w:tcW w:w="844" w:type="pct"/>
          </w:tcPr>
          <w:p w14:paraId="54A941AD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Low dispersal (&lt;10km)</w:t>
            </w:r>
          </w:p>
        </w:tc>
        <w:tc>
          <w:tcPr>
            <w:tcW w:w="1675" w:type="pct"/>
          </w:tcPr>
          <w:p w14:paraId="7C496CF9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This indicates that close spacing of the habitat patches and seed dispersal enhance the recovery potential of a habitat.</w:t>
            </w:r>
          </w:p>
          <w:p w14:paraId="27E6989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71B3C" w:rsidRPr="00471B3C" w14:paraId="3FA7C55A" w14:textId="77777777" w:rsidTr="00C07BDF">
        <w:tc>
          <w:tcPr>
            <w:tcW w:w="794" w:type="pct"/>
          </w:tcPr>
          <w:p w14:paraId="1C8A46ED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Recovery time</w:t>
            </w:r>
          </w:p>
        </w:tc>
        <w:tc>
          <w:tcPr>
            <w:tcW w:w="894" w:type="pct"/>
          </w:tcPr>
          <w:p w14:paraId="7FCFA6EB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Less than 1 year</w:t>
            </w:r>
          </w:p>
        </w:tc>
        <w:tc>
          <w:tcPr>
            <w:tcW w:w="793" w:type="pct"/>
          </w:tcPr>
          <w:p w14:paraId="5C4387BF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1-10 years</w:t>
            </w:r>
          </w:p>
        </w:tc>
        <w:tc>
          <w:tcPr>
            <w:tcW w:w="844" w:type="pct"/>
          </w:tcPr>
          <w:p w14:paraId="25BB8653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 xml:space="preserve">More than 10 years </w:t>
            </w:r>
          </w:p>
        </w:tc>
        <w:tc>
          <w:tcPr>
            <w:tcW w:w="1675" w:type="pct"/>
          </w:tcPr>
          <w:p w14:paraId="261CF31F" w14:textId="77777777" w:rsidR="008D5A1E" w:rsidRPr="00471B3C" w:rsidRDefault="008D5A1E" w:rsidP="00712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B3C">
              <w:rPr>
                <w:rFonts w:ascii="Times New Roman" w:hAnsi="Times New Roman" w:cs="Times New Roman"/>
                <w:sz w:val="20"/>
                <w:szCs w:val="20"/>
              </w:rPr>
              <w:t>It measures how long it will take for the habitat or the species to recover from a shock caused by a stressor</w:t>
            </w:r>
          </w:p>
        </w:tc>
      </w:tr>
    </w:tbl>
    <w:p w14:paraId="390DCFA6" w14:textId="3142AD01" w:rsidR="00033787" w:rsidRPr="00471B3C" w:rsidRDefault="008D5A1E" w:rsidP="00C07BDF">
      <w:pPr>
        <w:tabs>
          <w:tab w:val="left" w:pos="2920"/>
        </w:tabs>
        <w:spacing w:line="360" w:lineRule="auto"/>
        <w:jc w:val="both"/>
      </w:pPr>
      <w:r w:rsidRPr="00471B3C">
        <w:rPr>
          <w:rFonts w:ascii="Times New Roman" w:hAnsi="Times New Roman" w:cs="Times New Roman"/>
          <w:sz w:val="20"/>
          <w:szCs w:val="20"/>
        </w:rPr>
        <w:t xml:space="preserve">Source: </w:t>
      </w:r>
      <w:r w:rsidRPr="00471B3C">
        <w:rPr>
          <w:rFonts w:ascii="Times New Roman" w:hAnsi="Times New Roman" w:cs="Times New Roman"/>
          <w:sz w:val="20"/>
          <w:szCs w:val="20"/>
          <w:lang w:val="en-GB"/>
        </w:rPr>
        <w:t xml:space="preserve">Arkema </w:t>
      </w:r>
      <w:r w:rsidRPr="00471B3C">
        <w:rPr>
          <w:rFonts w:ascii="Times New Roman" w:hAnsi="Times New Roman" w:cs="Times New Roman"/>
          <w:i/>
          <w:iCs/>
          <w:sz w:val="20"/>
          <w:szCs w:val="20"/>
          <w:lang w:val="en-GB"/>
        </w:rPr>
        <w:t>et al</w:t>
      </w:r>
      <w:r w:rsidRPr="00471B3C">
        <w:rPr>
          <w:rFonts w:ascii="Times New Roman" w:hAnsi="Times New Roman" w:cs="Times New Roman"/>
          <w:sz w:val="20"/>
          <w:szCs w:val="20"/>
          <w:lang w:val="en-GB"/>
        </w:rPr>
        <w:t>. (2015)</w:t>
      </w:r>
      <w:bookmarkStart w:id="0" w:name="_GoBack"/>
      <w:bookmarkEnd w:id="0"/>
    </w:p>
    <w:sectPr w:rsidR="00033787" w:rsidRPr="00471B3C" w:rsidSect="00C07BDF">
      <w:pgSz w:w="16838" w:h="11906" w:orient="landscape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1E"/>
    <w:rsid w:val="00033787"/>
    <w:rsid w:val="00471B3C"/>
    <w:rsid w:val="008D5A1E"/>
    <w:rsid w:val="00C0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AE38"/>
  <w15:chartTrackingRefBased/>
  <w15:docId w15:val="{4EF3B46F-524C-4D1D-A68D-82D4623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A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A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A1E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D5A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A1E"/>
    <w:rPr>
      <w:color w:val="605E5C"/>
      <w:shd w:val="clear" w:color="auto" w:fill="E1DFDD"/>
    </w:rPr>
  </w:style>
  <w:style w:type="character" w:customStyle="1" w:styleId="A2">
    <w:name w:val="A2"/>
    <w:uiPriority w:val="99"/>
    <w:rsid w:val="008D5A1E"/>
    <w:rPr>
      <w:rFonts w:cs="Calibri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1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E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D5A1E"/>
    <w:pPr>
      <w:spacing w:after="0" w:line="240" w:lineRule="auto"/>
    </w:pPr>
    <w:rPr>
      <w:lang w:val="en-US"/>
    </w:rPr>
  </w:style>
  <w:style w:type="paragraph" w:customStyle="1" w:styleId="MDPI62BackMatter">
    <w:name w:val="MDPI_6.2_BackMatter"/>
    <w:qFormat/>
    <w:rsid w:val="008D5A1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styleId="LineNumber">
    <w:name w:val="line number"/>
    <w:basedOn w:val="DefaultParagraphFont"/>
    <w:uiPriority w:val="99"/>
    <w:semiHidden/>
    <w:unhideWhenUsed/>
    <w:rsid w:val="008D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SALAKO Valère</dc:creator>
  <cp:keywords/>
  <dc:description/>
  <cp:lastModifiedBy>Aishwarya A</cp:lastModifiedBy>
  <cp:revision>3</cp:revision>
  <dcterms:created xsi:type="dcterms:W3CDTF">2022-05-02T13:02:00Z</dcterms:created>
  <dcterms:modified xsi:type="dcterms:W3CDTF">2022-08-30T12:32:00Z</dcterms:modified>
</cp:coreProperties>
</file>