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72FDF" w14:textId="77777777" w:rsidR="009748AF" w:rsidRPr="00A73953" w:rsidRDefault="009748AF" w:rsidP="009748AF">
      <w:pPr>
        <w:spacing w:line="480" w:lineRule="auto"/>
        <w:jc w:val="center"/>
        <w:rPr>
          <w:b/>
          <w:bCs/>
          <w:lang w:val="en-US"/>
        </w:rPr>
      </w:pPr>
      <w:r w:rsidRPr="00A73953">
        <w:rPr>
          <w:b/>
          <w:bCs/>
          <w:lang w:val="en-US"/>
        </w:rPr>
        <w:t>Pilot Interviews</w:t>
      </w:r>
    </w:p>
    <w:p w14:paraId="56444FAF" w14:textId="77777777" w:rsidR="009748AF" w:rsidRPr="00A73953" w:rsidRDefault="009748AF" w:rsidP="009748AF">
      <w:pPr>
        <w:spacing w:line="480" w:lineRule="auto"/>
        <w:ind w:firstLine="720"/>
        <w:rPr>
          <w:lang w:val="en-US"/>
        </w:rPr>
      </w:pPr>
      <w:r w:rsidRPr="00A73953">
        <w:rPr>
          <w:lang w:val="en-US"/>
        </w:rPr>
        <w:t>We conducted exploratory pilot interviews with five security personnel to identify the cues that security personnel use to assess an individual's propensity for violence prior to entering a bar or pub. We expected that security personnel would identify a range of physical characteristics that they use to discern potentially aggressive patrons.</w:t>
      </w:r>
    </w:p>
    <w:p w14:paraId="2686AB5A" w14:textId="77777777" w:rsidR="00E20E81" w:rsidRDefault="00E20E81" w:rsidP="009748AF">
      <w:pPr>
        <w:spacing w:line="480" w:lineRule="auto"/>
        <w:jc w:val="center"/>
        <w:rPr>
          <w:b/>
          <w:bCs/>
          <w:lang w:val="en-US"/>
        </w:rPr>
      </w:pPr>
    </w:p>
    <w:p w14:paraId="15B1C5F7" w14:textId="78030293" w:rsidR="009748AF" w:rsidRPr="00A73953" w:rsidRDefault="009748AF" w:rsidP="009748AF">
      <w:pPr>
        <w:spacing w:line="480" w:lineRule="auto"/>
        <w:jc w:val="center"/>
        <w:rPr>
          <w:b/>
          <w:bCs/>
          <w:lang w:val="en-US"/>
        </w:rPr>
      </w:pPr>
      <w:r w:rsidRPr="00A73953">
        <w:rPr>
          <w:b/>
          <w:bCs/>
          <w:lang w:val="en-US"/>
        </w:rPr>
        <w:t>Method</w:t>
      </w:r>
    </w:p>
    <w:p w14:paraId="600462F4" w14:textId="77777777" w:rsidR="009748AF" w:rsidRPr="00A73953" w:rsidRDefault="009748AF" w:rsidP="009748AF">
      <w:pPr>
        <w:spacing w:line="480" w:lineRule="auto"/>
        <w:rPr>
          <w:b/>
          <w:bCs/>
          <w:lang w:val="en-US"/>
        </w:rPr>
      </w:pPr>
      <w:r w:rsidRPr="00A73953">
        <w:rPr>
          <w:b/>
          <w:bCs/>
          <w:lang w:val="en-US"/>
        </w:rPr>
        <w:t>Participants</w:t>
      </w:r>
    </w:p>
    <w:p w14:paraId="23551CC2" w14:textId="77777777" w:rsidR="009748AF" w:rsidRPr="00A73953" w:rsidRDefault="009748AF" w:rsidP="009748AF">
      <w:pPr>
        <w:spacing w:line="480" w:lineRule="auto"/>
        <w:ind w:firstLine="720"/>
        <w:rPr>
          <w:lang w:val="en-US"/>
        </w:rPr>
      </w:pPr>
      <w:r w:rsidRPr="00A73953">
        <w:rPr>
          <w:lang w:val="en-US"/>
        </w:rPr>
        <w:t>A total of five male security personnel, with mean age of 37.8 (</w:t>
      </w:r>
      <w:r w:rsidRPr="00A73953">
        <w:rPr>
          <w:i/>
          <w:iCs/>
          <w:lang w:val="en-US"/>
        </w:rPr>
        <w:t xml:space="preserve">SD </w:t>
      </w:r>
      <w:r w:rsidRPr="00A73953">
        <w:rPr>
          <w:lang w:val="en-US"/>
        </w:rPr>
        <w:t>= 6.5 years) were</w:t>
      </w:r>
    </w:p>
    <w:p w14:paraId="133D0A75" w14:textId="77777777" w:rsidR="009748AF" w:rsidRPr="00A73953" w:rsidRDefault="009748AF" w:rsidP="009748AF">
      <w:pPr>
        <w:spacing w:line="480" w:lineRule="auto"/>
        <w:rPr>
          <w:lang w:val="en-US"/>
        </w:rPr>
      </w:pPr>
      <w:r w:rsidRPr="00A73953">
        <w:rPr>
          <w:lang w:val="en-US"/>
        </w:rPr>
        <w:t>paid AUD$15 for taking part in the pilot interviews. All participants had, on average, 17 years of experience working in bars and pubs (</w:t>
      </w:r>
      <w:r w:rsidRPr="00A73953">
        <w:rPr>
          <w:i/>
          <w:iCs/>
          <w:lang w:val="en-US"/>
        </w:rPr>
        <w:t xml:space="preserve">SD </w:t>
      </w:r>
      <w:r w:rsidRPr="00A73953">
        <w:rPr>
          <w:lang w:val="en-US"/>
        </w:rPr>
        <w:t>= 7.9 years) and were recruited via the Australian</w:t>
      </w:r>
    </w:p>
    <w:p w14:paraId="27C6E506" w14:textId="77777777" w:rsidR="009748AF" w:rsidRPr="00A73953" w:rsidRDefault="009748AF" w:rsidP="009748AF">
      <w:pPr>
        <w:spacing w:line="480" w:lineRule="auto"/>
        <w:rPr>
          <w:lang w:val="en-US"/>
        </w:rPr>
      </w:pPr>
      <w:r w:rsidRPr="00A73953">
        <w:rPr>
          <w:lang w:val="en-US"/>
        </w:rPr>
        <w:t>Security Industry Association Limited (ASIAL). Ethics approval was obtained from the</w:t>
      </w:r>
    </w:p>
    <w:p w14:paraId="144CEBB4" w14:textId="77777777" w:rsidR="009748AF" w:rsidRPr="00A73953" w:rsidRDefault="009748AF" w:rsidP="009748AF">
      <w:pPr>
        <w:spacing w:line="480" w:lineRule="auto"/>
        <w:rPr>
          <w:lang w:val="en-US"/>
        </w:rPr>
      </w:pPr>
      <w:r w:rsidRPr="00A73953">
        <w:rPr>
          <w:lang w:val="en-US"/>
        </w:rPr>
        <w:t>UNSW Human Research Ethics Committee, and all participants provided verbal informed consent prior to commencing the interview.</w:t>
      </w:r>
    </w:p>
    <w:p w14:paraId="65FB07AB" w14:textId="77777777" w:rsidR="009748AF" w:rsidRPr="00A73953" w:rsidRDefault="009748AF" w:rsidP="009748AF">
      <w:pPr>
        <w:spacing w:line="480" w:lineRule="auto"/>
        <w:rPr>
          <w:b/>
          <w:bCs/>
          <w:lang w:val="en-US"/>
        </w:rPr>
      </w:pPr>
      <w:r w:rsidRPr="00A73953">
        <w:rPr>
          <w:b/>
          <w:bCs/>
          <w:lang w:val="en-US"/>
        </w:rPr>
        <w:t>Procedure</w:t>
      </w:r>
    </w:p>
    <w:p w14:paraId="6A621C8F" w14:textId="77777777" w:rsidR="009748AF" w:rsidRPr="00EB6D3D" w:rsidRDefault="009748AF" w:rsidP="009748AF">
      <w:pPr>
        <w:spacing w:line="480" w:lineRule="auto"/>
        <w:ind w:firstLine="720"/>
        <w:rPr>
          <w:lang w:val="en-US"/>
        </w:rPr>
      </w:pPr>
      <w:r w:rsidRPr="00A73953">
        <w:rPr>
          <w:lang w:val="en-US"/>
        </w:rPr>
        <w:t>Participants were guided through a semi-structured phone interview regarding their experience working in a bar or club setting</w:t>
      </w:r>
      <w:r w:rsidRPr="00EB6D3D">
        <w:rPr>
          <w:lang w:val="en-US"/>
        </w:rPr>
        <w:t>. The semi-structured interview included questions such as: What has your experience been with aggressive patrons when working as a security personnel? How do you differentiate between aggressive and non-aggressive patrons? Have you been told to look out for certain things when profiling for aggression? How reliable do you find these cues are in preventing aggressive patrons from entering the premises (out of 100)?</w:t>
      </w:r>
    </w:p>
    <w:p w14:paraId="50EE9A4D" w14:textId="77777777" w:rsidR="009748AF" w:rsidRDefault="009748AF" w:rsidP="009748AF">
      <w:pPr>
        <w:spacing w:line="480" w:lineRule="auto"/>
        <w:ind w:firstLine="720"/>
        <w:rPr>
          <w:lang w:val="en-US"/>
        </w:rPr>
      </w:pPr>
      <w:r w:rsidRPr="00EB6D3D">
        <w:rPr>
          <w:lang w:val="en-US"/>
        </w:rPr>
        <w:t xml:space="preserve">Each interview took approximately 20 minutes. Participants were not required to provide their real names, except for payment purposes. All identifying data was subsequently deleted. All </w:t>
      </w:r>
      <w:r w:rsidRPr="00EB6D3D">
        <w:rPr>
          <w:lang w:val="en-US"/>
        </w:rPr>
        <w:lastRenderedPageBreak/>
        <w:t xml:space="preserve">responses were recorded and transcribed, after which transcripts were </w:t>
      </w:r>
      <w:proofErr w:type="spellStart"/>
      <w:r w:rsidRPr="00EB6D3D">
        <w:rPr>
          <w:lang w:val="en-US"/>
        </w:rPr>
        <w:t>analysed</w:t>
      </w:r>
      <w:proofErr w:type="spellEnd"/>
      <w:r w:rsidRPr="00EB6D3D">
        <w:rPr>
          <w:lang w:val="en-US"/>
        </w:rPr>
        <w:t xml:space="preserve"> for themes to be used in the primary experiment.</w:t>
      </w:r>
    </w:p>
    <w:p w14:paraId="6CA25B94" w14:textId="77777777" w:rsidR="009748AF" w:rsidRDefault="009748AF" w:rsidP="009748AF">
      <w:pPr>
        <w:spacing w:line="480" w:lineRule="auto"/>
        <w:ind w:firstLine="720"/>
        <w:rPr>
          <w:lang w:val="en-US"/>
        </w:rPr>
      </w:pPr>
      <w:r>
        <w:rPr>
          <w:lang w:val="en-US"/>
        </w:rPr>
        <w:t>Here is the full interview:</w:t>
      </w:r>
    </w:p>
    <w:p w14:paraId="2BA03447" w14:textId="77777777" w:rsidR="009748AF" w:rsidRDefault="009748AF" w:rsidP="009748AF">
      <w:pPr>
        <w:spacing w:line="480" w:lineRule="auto"/>
        <w:ind w:left="567" w:hanging="567"/>
      </w:pPr>
    </w:p>
    <w:p w14:paraId="3C0256D8" w14:textId="77777777" w:rsidR="009748AF" w:rsidRPr="00094F4C" w:rsidRDefault="009748AF" w:rsidP="009748AF">
      <w:pPr>
        <w:spacing w:line="480" w:lineRule="auto"/>
        <w:jc w:val="center"/>
        <w:rPr>
          <w:b/>
        </w:rPr>
      </w:pPr>
      <w:r w:rsidRPr="00094F4C">
        <w:rPr>
          <w:b/>
        </w:rPr>
        <w:t>Semi-structured interview</w:t>
      </w:r>
    </w:p>
    <w:p w14:paraId="40CA6826" w14:textId="77777777" w:rsidR="009748AF" w:rsidRPr="00094F4C" w:rsidRDefault="009748AF" w:rsidP="009748AF">
      <w:pPr>
        <w:spacing w:line="480" w:lineRule="auto"/>
      </w:pPr>
      <w:r w:rsidRPr="00094F4C">
        <w:t>General information:</w:t>
      </w:r>
    </w:p>
    <w:p w14:paraId="300A3ED1" w14:textId="77777777" w:rsidR="009748AF" w:rsidRPr="00094F4C" w:rsidRDefault="009748AF" w:rsidP="009748AF">
      <w:pPr>
        <w:pStyle w:val="ListParagraph"/>
        <w:numPr>
          <w:ilvl w:val="0"/>
          <w:numId w:val="24"/>
        </w:numPr>
        <w:spacing w:line="480" w:lineRule="auto"/>
        <w:rPr>
          <w:rFonts w:ascii="Times New Roman" w:hAnsi="Times New Roman" w:cs="Times New Roman"/>
          <w:sz w:val="24"/>
          <w:szCs w:val="24"/>
          <w:lang w:val="en-US"/>
        </w:rPr>
      </w:pPr>
      <w:r w:rsidRPr="00094F4C">
        <w:rPr>
          <w:rFonts w:ascii="Times New Roman" w:hAnsi="Times New Roman" w:cs="Times New Roman"/>
          <w:sz w:val="24"/>
          <w:szCs w:val="24"/>
          <w:lang w:val="en-US"/>
        </w:rPr>
        <w:t>Age</w:t>
      </w:r>
    </w:p>
    <w:p w14:paraId="14189692" w14:textId="77777777" w:rsidR="009748AF" w:rsidRPr="00094F4C" w:rsidRDefault="009748AF" w:rsidP="009748AF">
      <w:pPr>
        <w:pStyle w:val="ListParagraph"/>
        <w:numPr>
          <w:ilvl w:val="0"/>
          <w:numId w:val="24"/>
        </w:numPr>
        <w:spacing w:line="480" w:lineRule="auto"/>
        <w:rPr>
          <w:rFonts w:ascii="Times New Roman" w:hAnsi="Times New Roman" w:cs="Times New Roman"/>
          <w:sz w:val="24"/>
          <w:szCs w:val="24"/>
          <w:lang w:val="en-US"/>
        </w:rPr>
      </w:pPr>
      <w:r w:rsidRPr="00094F4C">
        <w:rPr>
          <w:rFonts w:ascii="Times New Roman" w:hAnsi="Times New Roman" w:cs="Times New Roman"/>
          <w:sz w:val="24"/>
          <w:szCs w:val="24"/>
          <w:lang w:val="en-US"/>
        </w:rPr>
        <w:t>Gender</w:t>
      </w:r>
    </w:p>
    <w:p w14:paraId="0E550CD3" w14:textId="77777777" w:rsidR="009748AF" w:rsidRPr="00094F4C" w:rsidRDefault="009748AF" w:rsidP="009748AF">
      <w:pPr>
        <w:pStyle w:val="ListParagraph"/>
        <w:numPr>
          <w:ilvl w:val="0"/>
          <w:numId w:val="24"/>
        </w:numPr>
        <w:spacing w:line="480" w:lineRule="auto"/>
        <w:rPr>
          <w:rFonts w:ascii="Times New Roman" w:hAnsi="Times New Roman" w:cs="Times New Roman"/>
          <w:sz w:val="24"/>
          <w:szCs w:val="24"/>
          <w:lang w:val="en-US"/>
        </w:rPr>
      </w:pPr>
      <w:r w:rsidRPr="00094F4C">
        <w:rPr>
          <w:rFonts w:ascii="Times New Roman" w:hAnsi="Times New Roman" w:cs="Times New Roman"/>
          <w:sz w:val="24"/>
          <w:szCs w:val="24"/>
          <w:lang w:val="en-US"/>
        </w:rPr>
        <w:t>Number of years’ experience working as a bouncer</w:t>
      </w:r>
    </w:p>
    <w:p w14:paraId="6FD9AD73" w14:textId="77777777" w:rsidR="009748AF" w:rsidRPr="00094F4C" w:rsidRDefault="009748AF" w:rsidP="009748AF">
      <w:pPr>
        <w:pStyle w:val="ListParagraph"/>
        <w:numPr>
          <w:ilvl w:val="0"/>
          <w:numId w:val="24"/>
        </w:numPr>
        <w:spacing w:line="480" w:lineRule="auto"/>
        <w:rPr>
          <w:rFonts w:ascii="Times New Roman" w:hAnsi="Times New Roman" w:cs="Times New Roman"/>
          <w:sz w:val="24"/>
          <w:szCs w:val="24"/>
          <w:lang w:val="en-US"/>
        </w:rPr>
      </w:pPr>
      <w:r w:rsidRPr="00094F4C">
        <w:rPr>
          <w:rFonts w:ascii="Times New Roman" w:hAnsi="Times New Roman" w:cs="Times New Roman"/>
          <w:sz w:val="24"/>
          <w:szCs w:val="24"/>
          <w:lang w:val="en-US"/>
        </w:rPr>
        <w:t>Type of venues in which you have worked [and rough capacity number]</w:t>
      </w:r>
    </w:p>
    <w:p w14:paraId="0CE01AD4" w14:textId="77777777" w:rsidR="009748AF" w:rsidRPr="00094F4C" w:rsidRDefault="009748AF" w:rsidP="009748AF">
      <w:pPr>
        <w:spacing w:line="480" w:lineRule="auto"/>
      </w:pPr>
      <w:r w:rsidRPr="00094F4C">
        <w:t>What has your experience been with aggressive patrons when working as a bouncer?</w:t>
      </w:r>
    </w:p>
    <w:p w14:paraId="0C71E8D9" w14:textId="77777777" w:rsidR="009748AF" w:rsidRPr="00094F4C" w:rsidRDefault="009748AF" w:rsidP="009748AF">
      <w:pPr>
        <w:spacing w:line="480" w:lineRule="auto"/>
      </w:pPr>
      <w:r w:rsidRPr="00094F4C">
        <w:t xml:space="preserve">How do you differentiate between aggressive and non-aggressive patrons? </w:t>
      </w:r>
    </w:p>
    <w:p w14:paraId="08FE784B" w14:textId="77777777" w:rsidR="009748AF" w:rsidRPr="00094F4C" w:rsidRDefault="009748AF" w:rsidP="009748AF">
      <w:pPr>
        <w:spacing w:line="480" w:lineRule="auto"/>
        <w:ind w:left="720"/>
      </w:pPr>
      <w:r w:rsidRPr="00094F4C">
        <w:rPr>
          <w:i/>
        </w:rPr>
        <w:t xml:space="preserve">Probe 1: </w:t>
      </w:r>
      <w:r w:rsidRPr="00094F4C">
        <w:t>What cues do you use to determine whether someone is likely to be aggressive?</w:t>
      </w:r>
    </w:p>
    <w:p w14:paraId="25599636" w14:textId="77777777" w:rsidR="009748AF" w:rsidRPr="00094F4C" w:rsidRDefault="009748AF" w:rsidP="009748AF">
      <w:pPr>
        <w:spacing w:line="480" w:lineRule="auto"/>
        <w:ind w:left="720"/>
      </w:pPr>
      <w:r w:rsidRPr="00094F4C">
        <w:rPr>
          <w:i/>
        </w:rPr>
        <w:t xml:space="preserve">Probe 2: </w:t>
      </w:r>
      <w:r w:rsidRPr="00094F4C">
        <w:t>Are there any external cues that you use?</w:t>
      </w:r>
    </w:p>
    <w:p w14:paraId="78E45B99" w14:textId="77777777" w:rsidR="009748AF" w:rsidRPr="00094F4C" w:rsidRDefault="009748AF" w:rsidP="009748AF">
      <w:pPr>
        <w:spacing w:line="480" w:lineRule="auto"/>
        <w:ind w:left="720"/>
      </w:pPr>
      <w:r w:rsidRPr="00094F4C">
        <w:rPr>
          <w:i/>
        </w:rPr>
        <w:t>Probe 3:</w:t>
      </w:r>
      <w:r w:rsidRPr="00094F4C">
        <w:t xml:space="preserve"> Do any specific groups or type of patrons stand out to you as being more likely to engage in violence?</w:t>
      </w:r>
    </w:p>
    <w:p w14:paraId="6B9AEF72" w14:textId="77777777" w:rsidR="009748AF" w:rsidRPr="00094F4C" w:rsidRDefault="009748AF" w:rsidP="009748AF">
      <w:pPr>
        <w:spacing w:line="480" w:lineRule="auto"/>
        <w:ind w:left="720"/>
      </w:pPr>
      <w:r w:rsidRPr="00094F4C">
        <w:rPr>
          <w:i/>
        </w:rPr>
        <w:t>Possible probe:</w:t>
      </w:r>
      <w:r w:rsidRPr="00094F4C">
        <w:t xml:space="preserve"> What is your understanding about the way in which physical strength and likelihood of aggression are linked?</w:t>
      </w:r>
    </w:p>
    <w:p w14:paraId="31E0D3CA" w14:textId="77777777" w:rsidR="009748AF" w:rsidRPr="00094F4C" w:rsidRDefault="009748AF" w:rsidP="009748AF">
      <w:pPr>
        <w:spacing w:line="480" w:lineRule="auto"/>
      </w:pPr>
      <w:r w:rsidRPr="00094F4C">
        <w:t>Have you been told to look out for certain things when profiling for aggression?</w:t>
      </w:r>
    </w:p>
    <w:p w14:paraId="1929AB1A" w14:textId="77777777" w:rsidR="009748AF" w:rsidRPr="00094F4C" w:rsidRDefault="009748AF" w:rsidP="009748AF">
      <w:pPr>
        <w:spacing w:line="480" w:lineRule="auto"/>
      </w:pPr>
      <w:r w:rsidRPr="00094F4C">
        <w:t>How reliable do you find these cues are in keeping aggressive patrons out? (out of 100)</w:t>
      </w:r>
    </w:p>
    <w:p w14:paraId="6E95B931" w14:textId="77777777" w:rsidR="009748AF" w:rsidRPr="00094F4C" w:rsidRDefault="009748AF" w:rsidP="009748AF">
      <w:pPr>
        <w:spacing w:line="480" w:lineRule="auto"/>
      </w:pPr>
      <w:r w:rsidRPr="00094F4C">
        <w:t xml:space="preserve">How many people would you say get rejected entry on an average Saturday night? </w:t>
      </w:r>
    </w:p>
    <w:p w14:paraId="00EE8836" w14:textId="77777777" w:rsidR="009748AF" w:rsidRPr="00EB6D3D" w:rsidRDefault="009748AF" w:rsidP="009748AF">
      <w:pPr>
        <w:spacing w:line="480" w:lineRule="auto"/>
        <w:ind w:firstLine="720"/>
        <w:rPr>
          <w:lang w:val="en-US"/>
        </w:rPr>
      </w:pPr>
    </w:p>
    <w:p w14:paraId="59EC3963" w14:textId="77777777" w:rsidR="009748AF" w:rsidRPr="00EB6D3D" w:rsidRDefault="009748AF" w:rsidP="009748AF">
      <w:pPr>
        <w:spacing w:line="480" w:lineRule="auto"/>
        <w:jc w:val="center"/>
        <w:rPr>
          <w:b/>
          <w:bCs/>
          <w:lang w:val="en-US"/>
        </w:rPr>
      </w:pPr>
      <w:r w:rsidRPr="00EB6D3D">
        <w:rPr>
          <w:b/>
          <w:bCs/>
          <w:lang w:val="en-US"/>
        </w:rPr>
        <w:t>Results</w:t>
      </w:r>
    </w:p>
    <w:p w14:paraId="56626687" w14:textId="77777777" w:rsidR="009748AF" w:rsidRPr="00EB6D3D" w:rsidRDefault="009748AF" w:rsidP="009748AF">
      <w:pPr>
        <w:spacing w:line="480" w:lineRule="auto"/>
        <w:ind w:firstLine="720"/>
        <w:rPr>
          <w:lang w:val="en-US"/>
        </w:rPr>
      </w:pPr>
      <w:r w:rsidRPr="00EB6D3D">
        <w:rPr>
          <w:lang w:val="en-US"/>
        </w:rPr>
        <w:lastRenderedPageBreak/>
        <w:t xml:space="preserve">The analysis of the transcripts revealed five main themes: drug and alcohol use, interaction with guard, body tenseness, outward appearance, and race. </w:t>
      </w:r>
    </w:p>
    <w:p w14:paraId="18042D00" w14:textId="77777777" w:rsidR="009748AF" w:rsidRPr="00EB6D3D" w:rsidRDefault="009748AF" w:rsidP="009748AF">
      <w:pPr>
        <w:spacing w:line="480" w:lineRule="auto"/>
        <w:rPr>
          <w:b/>
          <w:bCs/>
          <w:lang w:val="en-US"/>
        </w:rPr>
      </w:pPr>
      <w:r w:rsidRPr="00EB6D3D">
        <w:rPr>
          <w:b/>
          <w:bCs/>
          <w:lang w:val="en-US"/>
        </w:rPr>
        <w:t>Drug and alcohol use</w:t>
      </w:r>
    </w:p>
    <w:p w14:paraId="733F1850" w14:textId="77777777" w:rsidR="009748AF" w:rsidRPr="00EB6D3D" w:rsidRDefault="009748AF" w:rsidP="009748AF">
      <w:pPr>
        <w:spacing w:line="480" w:lineRule="auto"/>
        <w:ind w:firstLine="720"/>
        <w:rPr>
          <w:lang w:val="en-US"/>
        </w:rPr>
      </w:pPr>
      <w:r w:rsidRPr="00EB6D3D">
        <w:rPr>
          <w:lang w:val="en-US"/>
        </w:rPr>
        <w:t>All participants reported that indicators of alcohol intoxication were frequently used to predict likelihood of aggressive behaviour. Specific indicators included staggering, slurred words and smelling of excess alcohol.</w:t>
      </w:r>
    </w:p>
    <w:p w14:paraId="5694A18F" w14:textId="77777777" w:rsidR="009748AF" w:rsidRPr="00EB6D3D" w:rsidRDefault="009748AF" w:rsidP="009748AF">
      <w:pPr>
        <w:spacing w:line="480" w:lineRule="auto"/>
        <w:ind w:firstLine="720"/>
        <w:rPr>
          <w:i/>
          <w:iCs/>
          <w:lang w:val="en-US"/>
        </w:rPr>
      </w:pPr>
      <w:r w:rsidRPr="00EB6D3D">
        <w:rPr>
          <w:iCs/>
          <w:lang w:val="en-US"/>
        </w:rPr>
        <w:t xml:space="preserve">Representative quote: </w:t>
      </w:r>
      <w:r w:rsidRPr="00EB6D3D">
        <w:rPr>
          <w:i/>
          <w:iCs/>
          <w:lang w:val="en-US"/>
        </w:rPr>
        <w:t xml:space="preserve">“Well, you’ve got to assess their sobriety first, that’s very important. If you’re doing door duties… the way they walking down the street, their </w:t>
      </w:r>
      <w:proofErr w:type="spellStart"/>
      <w:r w:rsidRPr="00EB6D3D">
        <w:rPr>
          <w:i/>
          <w:iCs/>
          <w:lang w:val="en-US"/>
        </w:rPr>
        <w:t>demeanour</w:t>
      </w:r>
      <w:proofErr w:type="spellEnd"/>
      <w:r w:rsidRPr="00EB6D3D">
        <w:rPr>
          <w:i/>
          <w:iCs/>
          <w:lang w:val="en-US"/>
        </w:rPr>
        <w:t>, with friends, whether they’re yelling screaming, staggering”</w:t>
      </w:r>
    </w:p>
    <w:p w14:paraId="1F06C564" w14:textId="77777777" w:rsidR="009748AF" w:rsidRPr="00EB6D3D" w:rsidRDefault="009748AF" w:rsidP="009748AF">
      <w:pPr>
        <w:spacing w:line="480" w:lineRule="auto"/>
        <w:ind w:firstLine="720"/>
        <w:rPr>
          <w:lang w:val="en-US"/>
        </w:rPr>
      </w:pPr>
      <w:r w:rsidRPr="00EB6D3D">
        <w:rPr>
          <w:lang w:val="en-US"/>
        </w:rPr>
        <w:t>Additionally, indicators of drug use (such as glassy eyes and a decreased need to blink) were also mentioned.</w:t>
      </w:r>
    </w:p>
    <w:p w14:paraId="61CF4A05" w14:textId="77777777" w:rsidR="009748AF" w:rsidRPr="00EB6D3D" w:rsidRDefault="009748AF" w:rsidP="009748AF">
      <w:pPr>
        <w:spacing w:line="480" w:lineRule="auto"/>
        <w:rPr>
          <w:b/>
          <w:bCs/>
          <w:lang w:val="en-US"/>
        </w:rPr>
      </w:pPr>
      <w:r w:rsidRPr="00EB6D3D">
        <w:rPr>
          <w:b/>
          <w:bCs/>
          <w:lang w:val="en-US"/>
        </w:rPr>
        <w:t>Interaction with guard</w:t>
      </w:r>
    </w:p>
    <w:p w14:paraId="68578099" w14:textId="77777777" w:rsidR="009748AF" w:rsidRPr="00EB6D3D" w:rsidRDefault="009748AF" w:rsidP="009748AF">
      <w:pPr>
        <w:spacing w:line="480" w:lineRule="auto"/>
        <w:ind w:firstLine="720"/>
        <w:rPr>
          <w:lang w:val="en-US"/>
        </w:rPr>
      </w:pPr>
      <w:r w:rsidRPr="00EB6D3D">
        <w:rPr>
          <w:lang w:val="en-US"/>
        </w:rPr>
        <w:t>All security personnel reported that the way in which the patron interacts with the guard is a key consideration when judging their likelihood of engaging in violence in a bar or club setting. Specifically mentioned were cues such as avoiding eye contact or pleasantries with the security guard, and actively searching for the guard or security cameras.</w:t>
      </w:r>
    </w:p>
    <w:p w14:paraId="7FED652A" w14:textId="77777777" w:rsidR="009748AF" w:rsidRPr="00EB6D3D" w:rsidRDefault="009748AF" w:rsidP="009748AF">
      <w:pPr>
        <w:spacing w:line="480" w:lineRule="auto"/>
        <w:ind w:firstLine="720"/>
        <w:rPr>
          <w:i/>
          <w:iCs/>
          <w:lang w:val="en-US"/>
        </w:rPr>
      </w:pPr>
      <w:r w:rsidRPr="00EB6D3D">
        <w:rPr>
          <w:iCs/>
          <w:lang w:val="en-US"/>
        </w:rPr>
        <w:t xml:space="preserve">Representative quotes: </w:t>
      </w:r>
      <w:r w:rsidRPr="00EB6D3D">
        <w:rPr>
          <w:i/>
          <w:iCs/>
          <w:lang w:val="en-US"/>
        </w:rPr>
        <w:t xml:space="preserve">“Whether they look at you or not straight up, how they look at you when they do. </w:t>
      </w:r>
      <w:proofErr w:type="gramStart"/>
      <w:r w:rsidRPr="00EB6D3D">
        <w:rPr>
          <w:i/>
          <w:iCs/>
          <w:lang w:val="en-US"/>
        </w:rPr>
        <w:t>So</w:t>
      </w:r>
      <w:proofErr w:type="gramEnd"/>
      <w:r w:rsidRPr="00EB6D3D">
        <w:rPr>
          <w:i/>
          <w:iCs/>
          <w:lang w:val="en-US"/>
        </w:rPr>
        <w:t xml:space="preserve"> if somebody looks at you and smiles straight away, you know they are not there to participate in dangerous activity in pub or club. If they have like a staunch type look or a blank look on their face, and try to play off pleasantries at [the] door, you predict what it’s going to be like.”</w:t>
      </w:r>
    </w:p>
    <w:p w14:paraId="514EF890" w14:textId="77777777" w:rsidR="009748AF" w:rsidRPr="00EB6D3D" w:rsidRDefault="009748AF" w:rsidP="009748AF">
      <w:pPr>
        <w:spacing w:line="480" w:lineRule="auto"/>
        <w:ind w:firstLine="720"/>
        <w:rPr>
          <w:i/>
          <w:iCs/>
          <w:lang w:val="en-US"/>
        </w:rPr>
      </w:pPr>
      <w:r w:rsidRPr="00EB6D3D">
        <w:rPr>
          <w:i/>
          <w:iCs/>
          <w:lang w:val="en-US"/>
        </w:rPr>
        <w:lastRenderedPageBreak/>
        <w:t>“</w:t>
      </w:r>
      <w:proofErr w:type="gramStart"/>
      <w:r w:rsidRPr="00EB6D3D">
        <w:rPr>
          <w:i/>
          <w:iCs/>
          <w:lang w:val="en-US"/>
        </w:rPr>
        <w:t>So</w:t>
      </w:r>
      <w:proofErr w:type="gramEnd"/>
      <w:r w:rsidRPr="00EB6D3D">
        <w:rPr>
          <w:i/>
          <w:iCs/>
          <w:lang w:val="en-US"/>
        </w:rPr>
        <w:t xml:space="preserve"> if you’ve got a guy approach and he’s looking around a lot – where cameras are, exits… that could indicate a few things… they’ll case the place down, just want to know where the exits are, where cameras are.”</w:t>
      </w:r>
    </w:p>
    <w:p w14:paraId="5DA29356" w14:textId="77777777" w:rsidR="009748AF" w:rsidRPr="00EB6D3D" w:rsidRDefault="009748AF" w:rsidP="009748AF">
      <w:pPr>
        <w:spacing w:line="480" w:lineRule="auto"/>
        <w:rPr>
          <w:b/>
          <w:bCs/>
          <w:lang w:val="en-US"/>
        </w:rPr>
      </w:pPr>
      <w:r w:rsidRPr="00EB6D3D">
        <w:rPr>
          <w:b/>
          <w:bCs/>
          <w:lang w:val="en-US"/>
        </w:rPr>
        <w:t>Body tenseness</w:t>
      </w:r>
    </w:p>
    <w:p w14:paraId="40FB4114" w14:textId="77777777" w:rsidR="009748AF" w:rsidRPr="00EB6D3D" w:rsidRDefault="009748AF" w:rsidP="009748AF">
      <w:pPr>
        <w:spacing w:line="480" w:lineRule="auto"/>
        <w:ind w:firstLine="720"/>
        <w:rPr>
          <w:lang w:val="en-US"/>
        </w:rPr>
      </w:pPr>
      <w:r w:rsidRPr="00EB6D3D">
        <w:rPr>
          <w:lang w:val="en-US"/>
        </w:rPr>
        <w:t>All five security personnel reported utilizing body tenseness to determine whether someone might become aggressive in a bar or club setting. Cues related to tenseness (particularly clenched fists, puffed up chests, and tense shoulders) were mentioned repeatedly as indicators of readiness to engage in aggression.</w:t>
      </w:r>
    </w:p>
    <w:p w14:paraId="01FC7941" w14:textId="77777777" w:rsidR="009748AF" w:rsidRPr="00EB6D3D" w:rsidRDefault="009748AF" w:rsidP="009748AF">
      <w:pPr>
        <w:spacing w:line="480" w:lineRule="auto"/>
        <w:ind w:firstLine="720"/>
        <w:rPr>
          <w:i/>
          <w:iCs/>
          <w:lang w:val="en-US"/>
        </w:rPr>
      </w:pPr>
      <w:r w:rsidRPr="00EB6D3D">
        <w:rPr>
          <w:iCs/>
          <w:lang w:val="en-US"/>
        </w:rPr>
        <w:t xml:space="preserve">Representative quote: </w:t>
      </w:r>
      <w:r w:rsidRPr="00EB6D3D">
        <w:rPr>
          <w:i/>
          <w:iCs/>
          <w:lang w:val="en-US"/>
        </w:rPr>
        <w:t>“The way that their body language. As in the way they’re walking say like with a clenched fist, puffed up chest… the way they hold themselves.”</w:t>
      </w:r>
    </w:p>
    <w:p w14:paraId="4DC4760C" w14:textId="77777777" w:rsidR="009748AF" w:rsidRPr="00EB6D3D" w:rsidRDefault="009748AF" w:rsidP="009748AF">
      <w:pPr>
        <w:spacing w:line="480" w:lineRule="auto"/>
        <w:rPr>
          <w:b/>
          <w:bCs/>
          <w:lang w:val="en-US"/>
        </w:rPr>
      </w:pPr>
      <w:r w:rsidRPr="00EB6D3D">
        <w:rPr>
          <w:b/>
          <w:bCs/>
          <w:lang w:val="en-US"/>
        </w:rPr>
        <w:t>Outward appearance/tattoos</w:t>
      </w:r>
    </w:p>
    <w:p w14:paraId="04F1967D" w14:textId="77777777" w:rsidR="009748AF" w:rsidRPr="00EB6D3D" w:rsidRDefault="009748AF" w:rsidP="009748AF">
      <w:pPr>
        <w:spacing w:line="480" w:lineRule="auto"/>
        <w:ind w:firstLine="720"/>
        <w:rPr>
          <w:lang w:val="en-US"/>
        </w:rPr>
      </w:pPr>
      <w:r w:rsidRPr="00EB6D3D">
        <w:rPr>
          <w:lang w:val="en-US"/>
        </w:rPr>
        <w:t>Four of the five security personnel also identified that external features influenced their decision regarding a patron's likelihood of aggression. Mentioned most frequently was the presence of tattoos, specifically located on the hand and neck.</w:t>
      </w:r>
    </w:p>
    <w:p w14:paraId="4326E1A6" w14:textId="77777777" w:rsidR="009748AF" w:rsidRPr="00EB6D3D" w:rsidRDefault="009748AF" w:rsidP="009748AF">
      <w:pPr>
        <w:spacing w:line="480" w:lineRule="auto"/>
        <w:rPr>
          <w:b/>
          <w:bCs/>
          <w:lang w:val="en-US"/>
        </w:rPr>
      </w:pPr>
      <w:r w:rsidRPr="00EB6D3D">
        <w:rPr>
          <w:b/>
          <w:bCs/>
          <w:lang w:val="en-US"/>
        </w:rPr>
        <w:t>Ethnicity</w:t>
      </w:r>
    </w:p>
    <w:p w14:paraId="45AB6589" w14:textId="17686F8B" w:rsidR="009748AF" w:rsidRDefault="009748AF" w:rsidP="009748AF">
      <w:pPr>
        <w:spacing w:line="480" w:lineRule="auto"/>
        <w:ind w:firstLine="720"/>
        <w:rPr>
          <w:lang w:val="en-US"/>
        </w:rPr>
      </w:pPr>
      <w:r w:rsidRPr="00EB6D3D">
        <w:rPr>
          <w:lang w:val="en-US"/>
        </w:rPr>
        <w:t xml:space="preserve">The majority of security personnel also reported taking a patron's ethnic background into account when predicting likelihood of engaging in violence. Based on their prior experience with violence in bars and clubs, specific ethnicities mentioned included Middle Eastern, </w:t>
      </w:r>
      <w:proofErr w:type="spellStart"/>
      <w:r w:rsidRPr="00EB6D3D">
        <w:rPr>
          <w:lang w:val="en-US"/>
        </w:rPr>
        <w:t>Maori</w:t>
      </w:r>
      <w:proofErr w:type="spellEnd"/>
      <w:r w:rsidRPr="00EB6D3D">
        <w:rPr>
          <w:lang w:val="en-US"/>
        </w:rPr>
        <w:t xml:space="preserve"> and Sudanese.</w:t>
      </w:r>
    </w:p>
    <w:p w14:paraId="1C8BE4CA" w14:textId="77777777" w:rsidR="00E20E81" w:rsidRPr="00EB6D3D" w:rsidRDefault="00E20E81" w:rsidP="009748AF">
      <w:pPr>
        <w:spacing w:line="480" w:lineRule="auto"/>
        <w:ind w:firstLine="720"/>
        <w:rPr>
          <w:lang w:val="en-US"/>
        </w:rPr>
      </w:pPr>
    </w:p>
    <w:p w14:paraId="5B631681" w14:textId="77777777" w:rsidR="009748AF" w:rsidRPr="00EB6D3D" w:rsidRDefault="009748AF" w:rsidP="009748AF">
      <w:pPr>
        <w:spacing w:line="480" w:lineRule="auto"/>
        <w:jc w:val="center"/>
        <w:rPr>
          <w:b/>
          <w:bCs/>
          <w:lang w:val="en-US"/>
        </w:rPr>
      </w:pPr>
      <w:r w:rsidRPr="00EB6D3D">
        <w:rPr>
          <w:b/>
          <w:bCs/>
          <w:lang w:val="en-US"/>
        </w:rPr>
        <w:t>Discussion</w:t>
      </w:r>
    </w:p>
    <w:p w14:paraId="0363359F" w14:textId="77777777" w:rsidR="009748AF" w:rsidRPr="00EB6D3D" w:rsidRDefault="009748AF" w:rsidP="009748AF">
      <w:pPr>
        <w:spacing w:line="480" w:lineRule="auto"/>
        <w:ind w:firstLine="720"/>
        <w:rPr>
          <w:lang w:val="en-US"/>
        </w:rPr>
      </w:pPr>
      <w:r w:rsidRPr="00EB6D3D">
        <w:rPr>
          <w:lang w:val="en-US"/>
        </w:rPr>
        <w:t xml:space="preserve">To the best of our knowledge, this study was the first qualitative exploration of specific features that security personnel use to determine potential for aggression in patrons. As </w:t>
      </w:r>
      <w:r w:rsidRPr="00EB6D3D">
        <w:rPr>
          <w:lang w:val="en-US"/>
        </w:rPr>
        <w:lastRenderedPageBreak/>
        <w:t>anticipated, security personnel identified a range of cues that they utilize to do so.</w:t>
      </w:r>
      <w:r w:rsidRPr="009748AF">
        <w:rPr>
          <w:b/>
          <w:lang w:val="en-US"/>
        </w:rPr>
        <w:t xml:space="preserve"> </w:t>
      </w:r>
      <w:r w:rsidRPr="00ED6E9E">
        <w:rPr>
          <w:lang w:val="en-US"/>
        </w:rPr>
        <w:t>Notably, the cues that they mentioned were both dynamic and static in nature, and involved aspects of appearance, as well as the way that the patron interacts with the security guard.</w:t>
      </w:r>
      <w:r w:rsidRPr="009748AF">
        <w:rPr>
          <w:b/>
          <w:lang w:val="en-US"/>
        </w:rPr>
        <w:t xml:space="preserve"> </w:t>
      </w:r>
    </w:p>
    <w:p w14:paraId="100CD7AD" w14:textId="77777777" w:rsidR="009748AF" w:rsidRPr="00EB6D3D" w:rsidRDefault="009748AF" w:rsidP="009748AF">
      <w:pPr>
        <w:spacing w:line="480" w:lineRule="auto"/>
        <w:ind w:firstLine="720"/>
        <w:rPr>
          <w:lang w:val="en-US"/>
        </w:rPr>
      </w:pPr>
      <w:r w:rsidRPr="00EB6D3D">
        <w:rPr>
          <w:lang w:val="en-US"/>
        </w:rPr>
        <w:t xml:space="preserve">Based on the information gathered from the pilot interviews, several cues were formed into descriptions for use in the primary study. The cues selected were: staggering, slurred words, and smelling of alcohol (grouped together to form the cue condition </w:t>
      </w:r>
      <w:r w:rsidRPr="00EB6D3D">
        <w:rPr>
          <w:i/>
          <w:lang w:val="en-US"/>
        </w:rPr>
        <w:t>alcohol intoxication</w:t>
      </w:r>
      <w:r w:rsidRPr="00EB6D3D">
        <w:rPr>
          <w:lang w:val="en-US"/>
        </w:rPr>
        <w:t xml:space="preserve">); glassy eyes and a decreased need to blink (grouped together to form the cue condition </w:t>
      </w:r>
      <w:r w:rsidRPr="00EB6D3D">
        <w:rPr>
          <w:i/>
          <w:lang w:val="en-US"/>
        </w:rPr>
        <w:t>drug intoxication</w:t>
      </w:r>
      <w:r w:rsidRPr="00EB6D3D">
        <w:rPr>
          <w:lang w:val="en-US"/>
        </w:rPr>
        <w:t xml:space="preserve">); poor eye contact with the security guard and avoidance of eye contact or pleasantries with the security guard (grouped together to form the cue condition </w:t>
      </w:r>
      <w:r w:rsidRPr="00EB6D3D">
        <w:rPr>
          <w:i/>
          <w:lang w:val="en-US"/>
        </w:rPr>
        <w:t>avoidance</w:t>
      </w:r>
      <w:r w:rsidRPr="00EB6D3D">
        <w:rPr>
          <w:lang w:val="en-US"/>
        </w:rPr>
        <w:t>); actively searching for the guard and security cameras (</w:t>
      </w:r>
      <w:r w:rsidRPr="00EB6D3D">
        <w:rPr>
          <w:i/>
          <w:lang w:val="en-US"/>
        </w:rPr>
        <w:t>searching</w:t>
      </w:r>
      <w:r w:rsidRPr="00EB6D3D">
        <w:rPr>
          <w:lang w:val="en-US"/>
        </w:rPr>
        <w:t xml:space="preserve">); clenched fist, puffed-up chest and tense shoulders (grouped together to form the cue condition </w:t>
      </w:r>
      <w:r w:rsidRPr="00EB6D3D">
        <w:rPr>
          <w:i/>
          <w:lang w:val="en-US"/>
        </w:rPr>
        <w:t>body tension</w:t>
      </w:r>
      <w:r w:rsidRPr="00EB6D3D">
        <w:rPr>
          <w:lang w:val="en-US"/>
        </w:rPr>
        <w:t>); hand and neck tattoos (</w:t>
      </w:r>
      <w:r w:rsidRPr="00EB6D3D">
        <w:rPr>
          <w:i/>
          <w:lang w:val="en-US"/>
        </w:rPr>
        <w:t>tattoos</w:t>
      </w:r>
      <w:r w:rsidRPr="00EB6D3D">
        <w:rPr>
          <w:lang w:val="en-US"/>
        </w:rPr>
        <w:t>); and being of Middle Eastern ethnicity (</w:t>
      </w:r>
      <w:r w:rsidRPr="00EB6D3D">
        <w:rPr>
          <w:i/>
          <w:lang w:val="en-US"/>
        </w:rPr>
        <w:t>Middle Eastern</w:t>
      </w:r>
      <w:r w:rsidRPr="00EB6D3D">
        <w:rPr>
          <w:lang w:val="en-US"/>
        </w:rPr>
        <w:t>).</w:t>
      </w:r>
    </w:p>
    <w:p w14:paraId="57BAC331" w14:textId="77777777" w:rsidR="005B28E7" w:rsidRDefault="009748AF" w:rsidP="005B28E7">
      <w:pPr>
        <w:spacing w:line="480" w:lineRule="auto"/>
        <w:ind w:firstLine="720"/>
        <w:rPr>
          <w:lang w:val="en-US"/>
        </w:rPr>
      </w:pPr>
      <w:r w:rsidRPr="00EB6D3D">
        <w:rPr>
          <w:lang w:val="en-US"/>
        </w:rPr>
        <w:t>This selection was based on the frequency with which the cues were mentioned (a minimum of two times by different security personnel) and applicability to an American sample (from which the images for use in the primary experiment were selected). For example, although Maori and Sudanese were racial cues mentioned frequently by security personnel, these racial groups were not readily obtained from the American sample of images, and so were excluded from the primary experiment.</w:t>
      </w:r>
    </w:p>
    <w:p w14:paraId="32DF033F" w14:textId="77777777" w:rsidR="00485650" w:rsidRDefault="005B28E7" w:rsidP="005B28E7">
      <w:pPr>
        <w:spacing w:line="480" w:lineRule="auto"/>
        <w:ind w:firstLine="720"/>
        <w:rPr>
          <w:lang w:val="en-US"/>
        </w:rPr>
      </w:pPr>
      <w:r w:rsidRPr="00386E85">
        <w:rPr>
          <w:lang w:val="en-US"/>
        </w:rPr>
        <w:t xml:space="preserve">With the exception of the Middle Eastern condition, all descriptions included common names among </w:t>
      </w:r>
      <w:r>
        <w:rPr>
          <w:lang w:val="en-US"/>
        </w:rPr>
        <w:t>White Australians</w:t>
      </w:r>
      <w:r w:rsidRPr="00386E85">
        <w:rPr>
          <w:lang w:val="en-US"/>
        </w:rPr>
        <w:t xml:space="preserve"> (i.e., Lee, Jimmy, Graeme, Michael, Elliot, Nick, Daniel, Ryan, Adam, Oliver, Kane, Patrick, Ian, Nathan, Sam, Brian, Henry, Billy, Phillip, Peter, Declan, Shane, Billy, Andre, Harry, Dane, &amp; Terry). For the Middle Eastern condition, names common in the Middle East were used (Youssef, </w:t>
      </w:r>
      <w:proofErr w:type="spellStart"/>
      <w:r w:rsidRPr="00386E85">
        <w:rPr>
          <w:lang w:val="en-US"/>
        </w:rPr>
        <w:t>Akhbar</w:t>
      </w:r>
      <w:proofErr w:type="spellEnd"/>
      <w:r w:rsidRPr="00386E85">
        <w:rPr>
          <w:lang w:val="en-US"/>
        </w:rPr>
        <w:t>, Waleed, &amp; Rabi).</w:t>
      </w:r>
    </w:p>
    <w:p w14:paraId="308C5690" w14:textId="77777777" w:rsidR="005B28E7" w:rsidRDefault="005B28E7">
      <w:pPr>
        <w:rPr>
          <w:b/>
          <w:lang w:val="en-US"/>
        </w:rPr>
      </w:pPr>
    </w:p>
    <w:p w14:paraId="12E1A184" w14:textId="77777777" w:rsidR="00913ADB" w:rsidRDefault="00485650" w:rsidP="00A22964">
      <w:pPr>
        <w:spacing w:line="480" w:lineRule="auto"/>
        <w:contextualSpacing/>
        <w:rPr>
          <w:b/>
          <w:lang w:val="en-US"/>
        </w:rPr>
      </w:pPr>
      <w:r>
        <w:rPr>
          <w:b/>
          <w:lang w:val="en-US"/>
        </w:rPr>
        <w:t xml:space="preserve">Additional </w:t>
      </w:r>
      <w:r w:rsidR="00A22964">
        <w:rPr>
          <w:b/>
          <w:lang w:val="en-US"/>
        </w:rPr>
        <w:t>Demographics for Study 1</w:t>
      </w:r>
      <w:r w:rsidR="005B28E7">
        <w:rPr>
          <w:b/>
          <w:lang w:val="en-US"/>
        </w:rPr>
        <w:t xml:space="preserve"> </w:t>
      </w:r>
      <w:r w:rsidR="005B28E7">
        <w:rPr>
          <w:b/>
          <w:lang w:val="en-US"/>
        </w:rPr>
        <w:tab/>
      </w:r>
    </w:p>
    <w:p w14:paraId="74FDF834" w14:textId="77777777" w:rsidR="00A22964" w:rsidRPr="00386E85" w:rsidRDefault="00A22964" w:rsidP="00A22964">
      <w:pPr>
        <w:widowControl w:val="0"/>
        <w:spacing w:line="480" w:lineRule="auto"/>
        <w:ind w:firstLine="720"/>
        <w:contextualSpacing/>
        <w:rPr>
          <w:lang w:val="en-US"/>
        </w:rPr>
      </w:pPr>
      <w:r>
        <w:rPr>
          <w:b/>
          <w:lang w:val="en-US"/>
        </w:rPr>
        <w:t xml:space="preserve">Security Personnel: </w:t>
      </w:r>
      <w:r w:rsidRPr="00386E85">
        <w:rPr>
          <w:lang w:val="en-US"/>
        </w:rPr>
        <w:t xml:space="preserve">They reported their ethnicities as Caucasian (46%), Pacific Islander/Polynesian/Maori (15%), Indian/Pakistani (10%), Middle Eastern (10%), Asian (4%), Mixed ethnicity (4%), African (4%), and </w:t>
      </w:r>
      <w:proofErr w:type="gramStart"/>
      <w:r>
        <w:rPr>
          <w:lang w:val="en-US"/>
        </w:rPr>
        <w:t>o</w:t>
      </w:r>
      <w:r w:rsidRPr="00386E85">
        <w:rPr>
          <w:lang w:val="en-US"/>
        </w:rPr>
        <w:t>ther</w:t>
      </w:r>
      <w:proofErr w:type="gramEnd"/>
      <w:r w:rsidRPr="00386E85">
        <w:rPr>
          <w:lang w:val="en-US"/>
        </w:rPr>
        <w:t xml:space="preserve"> ethnicity (2%). One participant did not report their ethnicity.</w:t>
      </w:r>
    </w:p>
    <w:p w14:paraId="4E27C605" w14:textId="77777777" w:rsidR="008A3A69" w:rsidRDefault="00A22964" w:rsidP="008A3A69">
      <w:pPr>
        <w:spacing w:line="480" w:lineRule="auto"/>
        <w:contextualSpacing/>
        <w:rPr>
          <w:lang w:val="en-US"/>
        </w:rPr>
      </w:pPr>
      <w:r>
        <w:rPr>
          <w:b/>
          <w:lang w:val="en-US"/>
        </w:rPr>
        <w:tab/>
        <w:t>Students:</w:t>
      </w:r>
      <w:r w:rsidRPr="00A22964">
        <w:rPr>
          <w:lang w:val="en-US"/>
        </w:rPr>
        <w:t xml:space="preserve"> Students reported attending bars and pubs ‘less than monthly’ (42.37%, </w:t>
      </w:r>
      <w:r w:rsidRPr="00A22964">
        <w:rPr>
          <w:i/>
          <w:iCs/>
          <w:lang w:val="en-US"/>
        </w:rPr>
        <w:t xml:space="preserve">n </w:t>
      </w:r>
      <w:r w:rsidRPr="00A22964">
        <w:rPr>
          <w:lang w:val="en-US"/>
        </w:rPr>
        <w:t xml:space="preserve">= 25); monthly (16.95%; </w:t>
      </w:r>
      <w:r w:rsidRPr="00A22964">
        <w:rPr>
          <w:i/>
          <w:iCs/>
          <w:lang w:val="en-US"/>
        </w:rPr>
        <w:t xml:space="preserve">n </w:t>
      </w:r>
      <w:r w:rsidRPr="00A22964">
        <w:rPr>
          <w:lang w:val="en-US"/>
        </w:rPr>
        <w:t xml:space="preserve">= 10); 2-3 times per month (23.72%; </w:t>
      </w:r>
      <w:r w:rsidRPr="00A22964">
        <w:rPr>
          <w:i/>
          <w:iCs/>
          <w:lang w:val="en-US"/>
        </w:rPr>
        <w:t xml:space="preserve">n </w:t>
      </w:r>
      <w:r w:rsidRPr="00A22964">
        <w:rPr>
          <w:lang w:val="en-US"/>
        </w:rPr>
        <w:t xml:space="preserve">= 14), weekly (11.86%; </w:t>
      </w:r>
      <w:r w:rsidRPr="00A22964">
        <w:rPr>
          <w:i/>
          <w:iCs/>
          <w:lang w:val="en-US"/>
        </w:rPr>
        <w:t xml:space="preserve">n </w:t>
      </w:r>
      <w:r w:rsidRPr="00A22964">
        <w:rPr>
          <w:lang w:val="en-US"/>
        </w:rPr>
        <w:t xml:space="preserve">= 7); and more than weekly (5.08%; </w:t>
      </w:r>
      <w:r w:rsidRPr="00A22964">
        <w:rPr>
          <w:i/>
          <w:iCs/>
          <w:lang w:val="en-US"/>
        </w:rPr>
        <w:t xml:space="preserve">n </w:t>
      </w:r>
      <w:r w:rsidRPr="00A22964">
        <w:rPr>
          <w:lang w:val="en-US"/>
        </w:rPr>
        <w:t>= 3). Students reported their ethnicities as Caucasian (47%), Asian (34%), Indian/Sri Lankan (8%), Mixed ethnicity (5%), Middle Eastern (3%), and South African (2%). One student did not report their ethnicity</w:t>
      </w:r>
      <w:r w:rsidR="008A3A69">
        <w:rPr>
          <w:lang w:val="en-US"/>
        </w:rPr>
        <w:t>.</w:t>
      </w:r>
    </w:p>
    <w:p w14:paraId="66E493A4" w14:textId="77777777" w:rsidR="008A3A69" w:rsidRDefault="008A3A69" w:rsidP="008A3A69">
      <w:pPr>
        <w:spacing w:line="480" w:lineRule="auto"/>
        <w:contextualSpacing/>
        <w:rPr>
          <w:lang w:val="en-US"/>
        </w:rPr>
      </w:pPr>
    </w:p>
    <w:p w14:paraId="6A00F502" w14:textId="77777777" w:rsidR="008A3A69" w:rsidRDefault="008A3A69" w:rsidP="008A3A69">
      <w:pPr>
        <w:spacing w:line="480" w:lineRule="auto"/>
        <w:contextualSpacing/>
        <w:rPr>
          <w:lang w:val="en-US"/>
        </w:rPr>
      </w:pPr>
    </w:p>
    <w:p w14:paraId="41C44649" w14:textId="3DD4E330" w:rsidR="008A3A69" w:rsidRDefault="008A3A69" w:rsidP="008A3A69">
      <w:pPr>
        <w:spacing w:line="480" w:lineRule="auto"/>
        <w:contextualSpacing/>
        <w:rPr>
          <w:b/>
          <w:lang w:val="en-US"/>
        </w:rPr>
      </w:pPr>
      <w:r>
        <w:rPr>
          <w:b/>
          <w:lang w:val="en-US"/>
        </w:rPr>
        <w:t>Additional Information on Statistical Analyses in Study 1</w:t>
      </w:r>
    </w:p>
    <w:p w14:paraId="21C94254" w14:textId="77777777" w:rsidR="008A3A69" w:rsidRPr="00F760D6" w:rsidRDefault="008A3A69" w:rsidP="008A3A69">
      <w:pPr>
        <w:widowControl w:val="0"/>
        <w:spacing w:line="480" w:lineRule="auto"/>
        <w:ind w:firstLine="720"/>
        <w:contextualSpacing/>
        <w:rPr>
          <w:lang w:val="en-US"/>
        </w:rPr>
      </w:pPr>
      <w:r w:rsidRPr="00F760D6">
        <w:rPr>
          <w:lang w:val="en-US"/>
        </w:rPr>
        <w:t xml:space="preserve">We calculated the intraclass coefficient using the function </w:t>
      </w:r>
      <w:proofErr w:type="spellStart"/>
      <w:r w:rsidRPr="00F760D6">
        <w:rPr>
          <w:i/>
          <w:lang w:val="en-US"/>
        </w:rPr>
        <w:t>icc</w:t>
      </w:r>
      <w:proofErr w:type="spellEnd"/>
      <w:r w:rsidRPr="00F760D6">
        <w:rPr>
          <w:lang w:val="en-US"/>
        </w:rPr>
        <w:t xml:space="preserve"> in the </w:t>
      </w:r>
      <w:r w:rsidRPr="00F760D6">
        <w:rPr>
          <w:i/>
          <w:lang w:val="en-US"/>
        </w:rPr>
        <w:t>performance</w:t>
      </w:r>
      <w:r w:rsidRPr="00F760D6">
        <w:rPr>
          <w:lang w:val="en-US"/>
        </w:rPr>
        <w:t xml:space="preserve"> package (</w:t>
      </w:r>
      <w:proofErr w:type="spellStart"/>
      <w:r w:rsidRPr="00F760D6">
        <w:rPr>
          <w:lang w:val="en-US"/>
        </w:rPr>
        <w:t>Lüdecke</w:t>
      </w:r>
      <w:proofErr w:type="spellEnd"/>
      <w:r w:rsidRPr="00F760D6">
        <w:rPr>
          <w:lang w:val="en-US"/>
        </w:rPr>
        <w:t xml:space="preserve">, Makowski, &amp; Waggoner, 2019). We used the </w:t>
      </w:r>
      <w:proofErr w:type="spellStart"/>
      <w:r w:rsidRPr="00F760D6">
        <w:rPr>
          <w:i/>
          <w:lang w:val="en-US"/>
        </w:rPr>
        <w:t>lmerTest</w:t>
      </w:r>
      <w:proofErr w:type="spellEnd"/>
      <w:r w:rsidRPr="00F760D6">
        <w:rPr>
          <w:lang w:val="en-US"/>
        </w:rPr>
        <w:t xml:space="preserve"> package to provide significance tests of the linear mixed effects models (</w:t>
      </w:r>
      <w:r w:rsidRPr="00F760D6">
        <w:rPr>
          <w:rFonts w:eastAsiaTheme="minorHAnsi"/>
          <w:lang w:val="en-US"/>
        </w:rPr>
        <w:t xml:space="preserve">Kuznetsova, </w:t>
      </w:r>
      <w:proofErr w:type="spellStart"/>
      <w:r w:rsidRPr="00F760D6">
        <w:rPr>
          <w:rFonts w:eastAsiaTheme="minorHAnsi"/>
          <w:lang w:val="en-US"/>
        </w:rPr>
        <w:t>Brockhoff</w:t>
      </w:r>
      <w:proofErr w:type="spellEnd"/>
      <w:r w:rsidRPr="00F760D6">
        <w:rPr>
          <w:rFonts w:eastAsiaTheme="minorHAnsi"/>
          <w:lang w:val="en-US"/>
        </w:rPr>
        <w:t xml:space="preserve">, &amp; Christensen, 2017). We also evaluated the amount of variance explained by our models with the </w:t>
      </w:r>
      <w:r w:rsidRPr="00F760D6">
        <w:rPr>
          <w:rFonts w:eastAsiaTheme="minorHAnsi"/>
          <w:i/>
          <w:lang w:val="en-US"/>
        </w:rPr>
        <w:t>r2_nakagawa</w:t>
      </w:r>
      <w:r w:rsidRPr="00F760D6">
        <w:rPr>
          <w:rFonts w:eastAsiaTheme="minorHAnsi"/>
          <w:lang w:val="en-US"/>
        </w:rPr>
        <w:t xml:space="preserve"> function in the </w:t>
      </w:r>
      <w:r w:rsidRPr="00F760D6">
        <w:rPr>
          <w:rFonts w:eastAsiaTheme="minorHAnsi"/>
          <w:i/>
          <w:lang w:val="en-US"/>
        </w:rPr>
        <w:t>performance</w:t>
      </w:r>
      <w:r w:rsidRPr="00F760D6">
        <w:rPr>
          <w:rFonts w:eastAsiaTheme="minorHAnsi"/>
          <w:lang w:val="en-US"/>
        </w:rPr>
        <w:t xml:space="preserve"> package (Nakagawa, Johnson, &amp; </w:t>
      </w:r>
      <w:proofErr w:type="spellStart"/>
      <w:r w:rsidRPr="00F760D6">
        <w:rPr>
          <w:rFonts w:eastAsiaTheme="minorHAnsi"/>
          <w:lang w:val="en-US"/>
        </w:rPr>
        <w:t>Schielzeth</w:t>
      </w:r>
      <w:proofErr w:type="spellEnd"/>
      <w:r w:rsidRPr="00F760D6">
        <w:rPr>
          <w:rFonts w:eastAsiaTheme="minorHAnsi"/>
          <w:lang w:val="en-US"/>
        </w:rPr>
        <w:t xml:space="preserve">, 2017). </w:t>
      </w:r>
    </w:p>
    <w:p w14:paraId="410241E5" w14:textId="77777777" w:rsidR="008A3A69" w:rsidRDefault="008A3A69" w:rsidP="007144D1">
      <w:pPr>
        <w:spacing w:line="480" w:lineRule="auto"/>
        <w:ind w:firstLine="720"/>
        <w:contextualSpacing/>
        <w:rPr>
          <w:lang w:val="en-US"/>
        </w:rPr>
      </w:pPr>
      <w:r w:rsidRPr="00F760D6">
        <w:rPr>
          <w:lang w:val="en-US"/>
        </w:rPr>
        <w:t>Because the ratings of whether a patron should be allowed or denied entry into the bar were dichotomous (i.e., yes versus no), we used logistic linear mixed effects modelling.</w:t>
      </w:r>
      <w:r>
        <w:rPr>
          <w:lang w:val="en-US"/>
        </w:rPr>
        <w:t xml:space="preserve"> S</w:t>
      </w:r>
      <w:r w:rsidRPr="00F760D6">
        <w:rPr>
          <w:lang w:val="en-US"/>
        </w:rPr>
        <w:t xml:space="preserve">pecifically, we used the </w:t>
      </w:r>
      <w:proofErr w:type="spellStart"/>
      <w:r w:rsidRPr="00F760D6">
        <w:rPr>
          <w:i/>
          <w:lang w:val="en-US"/>
        </w:rPr>
        <w:t>glmer</w:t>
      </w:r>
      <w:proofErr w:type="spellEnd"/>
      <w:r w:rsidRPr="00F760D6">
        <w:rPr>
          <w:i/>
          <w:lang w:val="en-US"/>
        </w:rPr>
        <w:t xml:space="preserve"> </w:t>
      </w:r>
      <w:r w:rsidRPr="00F760D6">
        <w:rPr>
          <w:lang w:val="en-US"/>
        </w:rPr>
        <w:t xml:space="preserve">function in package </w:t>
      </w:r>
      <w:r w:rsidRPr="00F760D6">
        <w:rPr>
          <w:i/>
          <w:lang w:val="en-US"/>
        </w:rPr>
        <w:t>lme4</w:t>
      </w:r>
      <w:r w:rsidRPr="00F760D6">
        <w:rPr>
          <w:lang w:val="en-US"/>
        </w:rPr>
        <w:t xml:space="preserve">. </w:t>
      </w:r>
      <w:r>
        <w:rPr>
          <w:lang w:val="en-US"/>
        </w:rPr>
        <w:t>W</w:t>
      </w:r>
      <w:r w:rsidRPr="00F760D6">
        <w:rPr>
          <w:lang w:val="en-US"/>
        </w:rPr>
        <w:t xml:space="preserve">e encountered computational issues with the model when all possible three-way interactions were included. Because none of the three-way interactions were significant, we removed them from the model, which solved the </w:t>
      </w:r>
      <w:r w:rsidRPr="00F760D6">
        <w:rPr>
          <w:lang w:val="en-US"/>
        </w:rPr>
        <w:lastRenderedPageBreak/>
        <w:t>computational problems. We specified participant as a random factor and all other variables as fixed factors. The outcome variable was coded: 1 = no, not admitted, 0 = yes, admitted.</w:t>
      </w:r>
    </w:p>
    <w:p w14:paraId="7F431506" w14:textId="77777777" w:rsidR="00E20E81" w:rsidRDefault="00E20E81" w:rsidP="002B687A">
      <w:pPr>
        <w:spacing w:line="480" w:lineRule="auto"/>
        <w:contextualSpacing/>
        <w:jc w:val="center"/>
        <w:rPr>
          <w:b/>
          <w:lang w:val="en-US"/>
        </w:rPr>
      </w:pPr>
    </w:p>
    <w:p w14:paraId="1A36C66C" w14:textId="77777777" w:rsidR="00E20E81" w:rsidRDefault="00E20E81">
      <w:pPr>
        <w:rPr>
          <w:b/>
          <w:lang w:val="en-US"/>
        </w:rPr>
      </w:pPr>
      <w:r>
        <w:rPr>
          <w:b/>
          <w:lang w:val="en-US"/>
        </w:rPr>
        <w:br w:type="page"/>
      </w:r>
    </w:p>
    <w:p w14:paraId="0EA6BC92" w14:textId="4B8A7852" w:rsidR="00DE1190" w:rsidRPr="002B687A" w:rsidRDefault="002B687A" w:rsidP="002B687A">
      <w:pPr>
        <w:spacing w:line="480" w:lineRule="auto"/>
        <w:contextualSpacing/>
        <w:jc w:val="center"/>
        <w:rPr>
          <w:b/>
          <w:lang w:val="en-US"/>
        </w:rPr>
      </w:pPr>
      <w:r w:rsidRPr="002B687A">
        <w:rPr>
          <w:b/>
          <w:lang w:val="en-US"/>
        </w:rPr>
        <w:lastRenderedPageBreak/>
        <w:t>References</w:t>
      </w:r>
    </w:p>
    <w:p w14:paraId="2D9CE05E" w14:textId="77777777" w:rsidR="00DE1190" w:rsidRPr="002B687A" w:rsidRDefault="00DE1190" w:rsidP="002B687A">
      <w:pPr>
        <w:widowControl w:val="0"/>
        <w:spacing w:line="480" w:lineRule="auto"/>
        <w:ind w:left="720" w:hanging="720"/>
        <w:contextualSpacing/>
        <w:rPr>
          <w:color w:val="222222"/>
          <w:szCs w:val="20"/>
          <w:shd w:val="clear" w:color="auto" w:fill="FFFFFF"/>
          <w:lang w:val="en-US"/>
        </w:rPr>
      </w:pPr>
      <w:r w:rsidRPr="001E657E">
        <w:rPr>
          <w:rFonts w:eastAsiaTheme="minorHAnsi"/>
          <w:szCs w:val="22"/>
          <w:lang w:val="en-US"/>
        </w:rPr>
        <w:t xml:space="preserve">Kuznetsova, A., </w:t>
      </w:r>
      <w:proofErr w:type="spellStart"/>
      <w:r w:rsidRPr="001E657E">
        <w:rPr>
          <w:rFonts w:eastAsiaTheme="minorHAnsi"/>
          <w:szCs w:val="22"/>
          <w:lang w:val="en-US"/>
        </w:rPr>
        <w:t>Brockhoff</w:t>
      </w:r>
      <w:proofErr w:type="spellEnd"/>
      <w:r w:rsidRPr="001E657E">
        <w:rPr>
          <w:rFonts w:eastAsiaTheme="minorHAnsi"/>
          <w:szCs w:val="22"/>
          <w:lang w:val="en-US"/>
        </w:rPr>
        <w:t xml:space="preserve">, P. B., Christensen, R. H. B. (2017). </w:t>
      </w:r>
      <w:proofErr w:type="spellStart"/>
      <w:r w:rsidRPr="001E657E">
        <w:rPr>
          <w:rFonts w:eastAsiaTheme="minorHAnsi"/>
          <w:szCs w:val="22"/>
          <w:lang w:val="en-US"/>
        </w:rPr>
        <w:t>lmerTest</w:t>
      </w:r>
      <w:proofErr w:type="spellEnd"/>
      <w:r w:rsidRPr="001E657E">
        <w:rPr>
          <w:rFonts w:eastAsiaTheme="minorHAnsi"/>
          <w:szCs w:val="22"/>
          <w:lang w:val="en-US"/>
        </w:rPr>
        <w:t xml:space="preserve"> package: Tests in linear mixed effects models. </w:t>
      </w:r>
      <w:r w:rsidRPr="001E657E">
        <w:rPr>
          <w:rFonts w:eastAsiaTheme="minorHAnsi"/>
          <w:i/>
          <w:szCs w:val="22"/>
          <w:lang w:val="en-US"/>
        </w:rPr>
        <w:t>Journal of Statistical Software, 82(13)</w:t>
      </w:r>
      <w:r w:rsidRPr="001E657E">
        <w:rPr>
          <w:rFonts w:eastAsiaTheme="minorHAnsi"/>
          <w:szCs w:val="22"/>
          <w:lang w:val="en-US"/>
        </w:rPr>
        <w:t xml:space="preserve">, 1-26. </w:t>
      </w:r>
    </w:p>
    <w:p w14:paraId="765839E1" w14:textId="77777777" w:rsidR="00DE1190" w:rsidRPr="001E657E" w:rsidRDefault="00DE1190" w:rsidP="00DE1190">
      <w:pPr>
        <w:widowControl w:val="0"/>
        <w:spacing w:line="480" w:lineRule="auto"/>
        <w:ind w:left="720" w:hanging="720"/>
        <w:contextualSpacing/>
        <w:rPr>
          <w:rFonts w:eastAsiaTheme="minorHAnsi"/>
          <w:szCs w:val="22"/>
          <w:lang w:val="en-US"/>
        </w:rPr>
      </w:pPr>
      <w:r w:rsidRPr="001E657E">
        <w:rPr>
          <w:rFonts w:eastAsiaTheme="minorHAnsi"/>
          <w:szCs w:val="22"/>
          <w:lang w:val="en-US"/>
        </w:rPr>
        <w:t xml:space="preserve">Nakagawa, S., Johnson, P. C. D., &amp; </w:t>
      </w:r>
      <w:proofErr w:type="spellStart"/>
      <w:r w:rsidRPr="001E657E">
        <w:rPr>
          <w:rFonts w:eastAsiaTheme="minorHAnsi"/>
          <w:szCs w:val="22"/>
          <w:lang w:val="en-US"/>
        </w:rPr>
        <w:t>Schielzeth</w:t>
      </w:r>
      <w:proofErr w:type="spellEnd"/>
      <w:r w:rsidRPr="001E657E">
        <w:rPr>
          <w:rFonts w:eastAsiaTheme="minorHAnsi"/>
          <w:szCs w:val="22"/>
          <w:lang w:val="en-US"/>
        </w:rPr>
        <w:t>, H. (2017). The coefficient of determination R</w:t>
      </w:r>
      <w:r w:rsidRPr="001E657E">
        <w:rPr>
          <w:rFonts w:eastAsiaTheme="minorHAnsi"/>
          <w:szCs w:val="22"/>
          <w:vertAlign w:val="superscript"/>
          <w:lang w:val="en-US"/>
        </w:rPr>
        <w:t>2</w:t>
      </w:r>
      <w:r w:rsidRPr="001E657E">
        <w:rPr>
          <w:rFonts w:eastAsiaTheme="minorHAnsi"/>
          <w:szCs w:val="22"/>
          <w:lang w:val="en-US"/>
        </w:rPr>
        <w:t xml:space="preserve"> and intra-class correlation coefficient from generalized linear mixed-effects models revisited and expanded. </w:t>
      </w:r>
      <w:r w:rsidRPr="001E657E">
        <w:rPr>
          <w:rFonts w:eastAsiaTheme="minorHAnsi"/>
          <w:i/>
          <w:szCs w:val="22"/>
          <w:lang w:val="en-US"/>
        </w:rPr>
        <w:t>Journal of the Royal Society Interface, 14(134)</w:t>
      </w:r>
      <w:r w:rsidRPr="001E657E">
        <w:rPr>
          <w:rFonts w:eastAsiaTheme="minorHAnsi"/>
          <w:szCs w:val="22"/>
          <w:lang w:val="en-US"/>
        </w:rPr>
        <w:t xml:space="preserve">, 20170213. </w:t>
      </w:r>
    </w:p>
    <w:p w14:paraId="31B174BC" w14:textId="77777777" w:rsidR="00DE1190" w:rsidRPr="008A3A69" w:rsidRDefault="00DE1190" w:rsidP="008A3A69">
      <w:pPr>
        <w:spacing w:line="480" w:lineRule="auto"/>
        <w:contextualSpacing/>
        <w:rPr>
          <w:b/>
          <w:lang w:val="en-US"/>
        </w:rPr>
        <w:sectPr w:rsidR="00DE1190" w:rsidRPr="008A3A69" w:rsidSect="00913ADB">
          <w:pgSz w:w="12240" w:h="15840" w:code="1"/>
          <w:pgMar w:top="1440" w:right="1440" w:bottom="1440" w:left="1440" w:header="567" w:footer="567" w:gutter="0"/>
          <w:cols w:space="708"/>
          <w:docGrid w:linePitch="360"/>
        </w:sectPr>
      </w:pPr>
    </w:p>
    <w:p w14:paraId="48E09542" w14:textId="77777777" w:rsidR="00A9204E" w:rsidRDefault="00A9204E" w:rsidP="009748AF">
      <w:pPr>
        <w:spacing w:line="480" w:lineRule="auto"/>
        <w:ind w:firstLine="720"/>
      </w:pP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D1B7ECF"/>
    <w:multiLevelType w:val="hybridMultilevel"/>
    <w:tmpl w:val="FDD20C70"/>
    <w:lvl w:ilvl="0" w:tplc="81B0E3D4">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2"/>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AF"/>
    <w:rsid w:val="002B687A"/>
    <w:rsid w:val="00461C11"/>
    <w:rsid w:val="00485650"/>
    <w:rsid w:val="005B28E7"/>
    <w:rsid w:val="00645252"/>
    <w:rsid w:val="006D3D74"/>
    <w:rsid w:val="007144D1"/>
    <w:rsid w:val="0083569A"/>
    <w:rsid w:val="00864119"/>
    <w:rsid w:val="008A3A69"/>
    <w:rsid w:val="00913ADB"/>
    <w:rsid w:val="009748AF"/>
    <w:rsid w:val="00A22964"/>
    <w:rsid w:val="00A9204E"/>
    <w:rsid w:val="00DE1190"/>
    <w:rsid w:val="00E20E81"/>
    <w:rsid w:val="00ED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C3676"/>
  <w15:chartTrackingRefBased/>
  <w15:docId w15:val="{0C07D679-3172-4ADE-8D78-134E4589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8AF"/>
    <w:rPr>
      <w:rFonts w:ascii="Times New Roman" w:eastAsia="Times New Roman" w:hAnsi="Times New Roman" w:cs="Times New Roman"/>
      <w:sz w:val="24"/>
      <w:szCs w:val="24"/>
      <w:lang w:val="en-AU" w:eastAsia="en-GB"/>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qFormat/>
    <w:rsid w:val="009748AF"/>
    <w:pPr>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913ADB"/>
    <w:rPr>
      <w:rFonts w:ascii="Calibri" w:eastAsia="Calibri" w:hAnsi="Calibri" w:cs="Times New Roman"/>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145</TotalTime>
  <Pages>9</Pages>
  <Words>1497</Words>
  <Characters>8535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Denson</dc:creator>
  <cp:keywords/>
  <dc:description/>
  <cp:lastModifiedBy>Elizabeth Summerell</cp:lastModifiedBy>
  <cp:revision>10</cp:revision>
  <dcterms:created xsi:type="dcterms:W3CDTF">2021-06-04T02:46:00Z</dcterms:created>
  <dcterms:modified xsi:type="dcterms:W3CDTF">2023-02-23T05:23:00Z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