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7D6" w:rsidRPr="006707D6" w:rsidRDefault="006707D6" w:rsidP="00DF15D6">
      <w:pPr>
        <w:spacing w:before="120" w:after="0" w:line="360" w:lineRule="auto"/>
        <w:rPr>
          <w:rFonts w:ascii="Helvetica" w:hAnsi="Helvetica" w:cs="Helvetica"/>
          <w:b/>
        </w:rPr>
      </w:pPr>
      <w:r w:rsidRPr="006707D6">
        <w:rPr>
          <w:rFonts w:ascii="Helvetica" w:hAnsi="Helvetica" w:cs="Helvetica"/>
          <w:b/>
        </w:rPr>
        <w:t>Supplement Figures</w:t>
      </w:r>
      <w:bookmarkStart w:id="0" w:name="_GoBack"/>
      <w:bookmarkEnd w:id="0"/>
    </w:p>
    <w:p w:rsidR="00523B9B" w:rsidRPr="00DF15D6" w:rsidRDefault="00523B9B" w:rsidP="00DF15D6">
      <w:pPr>
        <w:spacing w:before="120" w:after="0" w:line="360" w:lineRule="auto"/>
        <w:rPr>
          <w:rFonts w:ascii="Helvetica" w:hAnsi="Helvetica" w:cs="Helvetica"/>
          <w:sz w:val="16"/>
          <w:szCs w:val="16"/>
        </w:rPr>
      </w:pPr>
    </w:p>
    <w:p w:rsidR="00DF15D6" w:rsidRPr="00DF15D6" w:rsidRDefault="00DF15D6" w:rsidP="00132F5E">
      <w:pPr>
        <w:autoSpaceDE w:val="0"/>
        <w:autoSpaceDN w:val="0"/>
        <w:adjustRightInd w:val="0"/>
        <w:spacing w:before="120" w:after="120" w:line="360" w:lineRule="auto"/>
        <w:rPr>
          <w:rFonts w:ascii="Helvetica" w:hAnsi="Helvetica" w:cs="Helvetica"/>
          <w:sz w:val="16"/>
          <w:szCs w:val="16"/>
        </w:rPr>
      </w:pPr>
    </w:p>
    <w:p w:rsidR="00282192" w:rsidRDefault="00282192" w:rsidP="00132F5E">
      <w:pPr>
        <w:autoSpaceDE w:val="0"/>
        <w:autoSpaceDN w:val="0"/>
        <w:adjustRightInd w:val="0"/>
        <w:spacing w:before="120" w:after="120" w:line="360" w:lineRule="auto"/>
        <w:rPr>
          <w:rFonts w:ascii="Helvetica" w:hAnsi="Helvetica" w:cs="Helveti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523B9B" w:rsidTr="000B663A">
        <w:trPr>
          <w:trHeight w:val="3808"/>
        </w:trPr>
        <w:tc>
          <w:tcPr>
            <w:tcW w:w="9026" w:type="dxa"/>
          </w:tcPr>
          <w:p w:rsidR="00523B9B" w:rsidRDefault="00523B9B" w:rsidP="00FB6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3888C9C" wp14:editId="68871F0D">
                  <wp:extent cx="1865376" cy="1735450"/>
                  <wp:effectExtent l="0" t="0" r="1905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238" cy="173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000" w:type="pct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237"/>
              <w:gridCol w:w="1392"/>
              <w:gridCol w:w="1237"/>
              <w:gridCol w:w="1649"/>
              <w:gridCol w:w="1649"/>
              <w:gridCol w:w="1646"/>
            </w:tblGrid>
            <w:tr w:rsidR="00523B9B" w:rsidRPr="00523B9B" w:rsidTr="00FB6991">
              <w:trPr>
                <w:trHeight w:val="169"/>
              </w:trPr>
              <w:tc>
                <w:tcPr>
                  <w:tcW w:w="702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No of SNP</w:t>
                  </w:r>
                </w:p>
              </w:tc>
              <w:tc>
                <w:tcPr>
                  <w:tcW w:w="790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No of CDS</w:t>
                  </w:r>
                </w:p>
              </w:tc>
              <w:tc>
                <w:tcPr>
                  <w:tcW w:w="702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Genes with KEGG</w:t>
                  </w:r>
                </w:p>
              </w:tc>
              <w:tc>
                <w:tcPr>
                  <w:tcW w:w="936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 xml:space="preserve">Unique KEGG pathways </w:t>
                  </w:r>
                </w:p>
              </w:tc>
              <w:tc>
                <w:tcPr>
                  <w:tcW w:w="936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No of enzyme in pathways</w:t>
                  </w:r>
                </w:p>
              </w:tc>
              <w:tc>
                <w:tcPr>
                  <w:tcW w:w="936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No of unique enzymes</w:t>
                  </w:r>
                </w:p>
              </w:tc>
            </w:tr>
            <w:tr w:rsidR="00523B9B" w:rsidRPr="00523B9B" w:rsidTr="00FB6991">
              <w:trPr>
                <w:trHeight w:val="409"/>
              </w:trPr>
              <w:tc>
                <w:tcPr>
                  <w:tcW w:w="702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1,351</w:t>
                  </w:r>
                </w:p>
              </w:tc>
              <w:tc>
                <w:tcPr>
                  <w:tcW w:w="790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908</w:t>
                  </w:r>
                </w:p>
              </w:tc>
              <w:tc>
                <w:tcPr>
                  <w:tcW w:w="702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176</w:t>
                  </w:r>
                </w:p>
              </w:tc>
              <w:tc>
                <w:tcPr>
                  <w:tcW w:w="936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56</w:t>
                  </w:r>
                </w:p>
              </w:tc>
              <w:tc>
                <w:tcPr>
                  <w:tcW w:w="936" w:type="pct"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104</w:t>
                  </w:r>
                </w:p>
              </w:tc>
              <w:tc>
                <w:tcPr>
                  <w:tcW w:w="936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523B9B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523B9B">
                    <w:rPr>
                      <w:rFonts w:ascii="Helvetica" w:hAnsi="Helvetica" w:cs="Helvetica"/>
                      <w:bCs/>
                      <w:lang w:val="en-US" w:eastAsia="en-AU"/>
                    </w:rPr>
                    <w:t>49</w:t>
                  </w:r>
                </w:p>
              </w:tc>
            </w:tr>
          </w:tbl>
          <w:p w:rsidR="00523B9B" w:rsidRDefault="00523B9B" w:rsidP="00FB6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:rsidR="00523B9B" w:rsidRPr="00523B9B" w:rsidRDefault="00523B9B" w:rsidP="00523B9B">
      <w:pPr>
        <w:autoSpaceDE w:val="0"/>
        <w:autoSpaceDN w:val="0"/>
        <w:adjustRightInd w:val="0"/>
        <w:spacing w:before="120" w:after="0" w:line="360" w:lineRule="auto"/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</w:pPr>
      <w:r w:rsidRPr="00523B9B"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  <w:t>Figure S1 Metrics on number of SNPs, CDSs, KEGG pathways and enzymes associating with caffeine.</w:t>
      </w: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523B9B" w:rsidTr="00FB6991">
        <w:trPr>
          <w:trHeight w:val="3808"/>
        </w:trPr>
        <w:tc>
          <w:tcPr>
            <w:tcW w:w="9242" w:type="dxa"/>
          </w:tcPr>
          <w:p w:rsidR="00523B9B" w:rsidRDefault="00523B9B" w:rsidP="00FB6991">
            <w:pPr>
              <w:spacing w:line="360" w:lineRule="auto"/>
              <w:jc w:val="center"/>
              <w:rPr>
                <w:noProof/>
                <w:lang w:eastAsia="en-AU"/>
              </w:rPr>
            </w:pPr>
          </w:p>
          <w:p w:rsidR="00523B9B" w:rsidRDefault="00523B9B" w:rsidP="00FB6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6655A8A1" wp14:editId="7F330BFD">
                  <wp:extent cx="1769421" cy="1720021"/>
                  <wp:effectExtent l="0" t="0" r="2540" b="0"/>
                  <wp:docPr id="40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032" cy="172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000" w:type="pct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267"/>
              <w:gridCol w:w="1426"/>
              <w:gridCol w:w="1267"/>
              <w:gridCol w:w="1690"/>
              <w:gridCol w:w="1690"/>
              <w:gridCol w:w="1686"/>
            </w:tblGrid>
            <w:tr w:rsidR="00523B9B" w:rsidRPr="00C030B0" w:rsidTr="00FB6991">
              <w:trPr>
                <w:trHeight w:val="169"/>
              </w:trPr>
              <w:tc>
                <w:tcPr>
                  <w:tcW w:w="702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No of SNP</w:t>
                  </w:r>
                </w:p>
              </w:tc>
              <w:tc>
                <w:tcPr>
                  <w:tcW w:w="790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No of CDS</w:t>
                  </w:r>
                </w:p>
              </w:tc>
              <w:tc>
                <w:tcPr>
                  <w:tcW w:w="702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Genes with KEGG</w:t>
                  </w:r>
                </w:p>
              </w:tc>
              <w:tc>
                <w:tcPr>
                  <w:tcW w:w="936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 xml:space="preserve">Unique KEGG pathways </w:t>
                  </w:r>
                </w:p>
              </w:tc>
              <w:tc>
                <w:tcPr>
                  <w:tcW w:w="936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No of enzyme in pathways</w:t>
                  </w:r>
                </w:p>
              </w:tc>
              <w:tc>
                <w:tcPr>
                  <w:tcW w:w="936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No of unique enzymes</w:t>
                  </w:r>
                </w:p>
              </w:tc>
            </w:tr>
            <w:tr w:rsidR="00523B9B" w:rsidRPr="00C030B0" w:rsidTr="00FB6991">
              <w:trPr>
                <w:trHeight w:val="409"/>
              </w:trPr>
              <w:tc>
                <w:tcPr>
                  <w:tcW w:w="702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1,060</w:t>
                  </w:r>
                </w:p>
              </w:tc>
              <w:tc>
                <w:tcPr>
                  <w:tcW w:w="790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719</w:t>
                  </w:r>
                </w:p>
              </w:tc>
              <w:tc>
                <w:tcPr>
                  <w:tcW w:w="702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125</w:t>
                  </w:r>
                </w:p>
              </w:tc>
              <w:tc>
                <w:tcPr>
                  <w:tcW w:w="936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lang w:eastAsia="en-AU"/>
                    </w:rPr>
                    <w:t>61</w:t>
                  </w:r>
                </w:p>
              </w:tc>
              <w:tc>
                <w:tcPr>
                  <w:tcW w:w="936" w:type="pct"/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bCs/>
                      <w:lang w:val="en-US" w:eastAsia="en-AU"/>
                    </w:rPr>
                  </w:pPr>
                  <w:r w:rsidRPr="00C030B0">
                    <w:rPr>
                      <w:rFonts w:ascii="Helvetica" w:hAnsi="Helvetica" w:cs="Helvetica"/>
                      <w:bCs/>
                      <w:lang w:val="en-US" w:eastAsia="en-AU"/>
                    </w:rPr>
                    <w:t>106</w:t>
                  </w:r>
                </w:p>
              </w:tc>
              <w:tc>
                <w:tcPr>
                  <w:tcW w:w="936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523B9B" w:rsidRPr="00C030B0" w:rsidRDefault="00523B9B" w:rsidP="00FB6991">
                  <w:pPr>
                    <w:spacing w:after="0" w:line="240" w:lineRule="auto"/>
                    <w:jc w:val="center"/>
                    <w:rPr>
                      <w:rFonts w:ascii="Helvetica" w:hAnsi="Helvetica" w:cs="Helvetica"/>
                      <w:lang w:eastAsia="en-AU"/>
                    </w:rPr>
                  </w:pPr>
                  <w:r w:rsidRPr="00C030B0">
                    <w:rPr>
                      <w:rFonts w:ascii="Helvetica" w:hAnsi="Helvetica" w:cs="Helvetica"/>
                      <w:lang w:eastAsia="en-AU"/>
                    </w:rPr>
                    <w:t>51</w:t>
                  </w:r>
                </w:p>
              </w:tc>
            </w:tr>
          </w:tbl>
          <w:p w:rsidR="00523B9B" w:rsidRDefault="00523B9B" w:rsidP="00FB6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:rsidR="00523B9B" w:rsidRPr="00C030B0" w:rsidRDefault="00523B9B" w:rsidP="00523B9B">
      <w:pPr>
        <w:autoSpaceDE w:val="0"/>
        <w:autoSpaceDN w:val="0"/>
        <w:adjustRightInd w:val="0"/>
        <w:spacing w:before="120" w:after="0" w:line="360" w:lineRule="auto"/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</w:pPr>
      <w:r w:rsidRPr="00C030B0"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  <w:t>Figure S</w:t>
      </w:r>
      <w:r w:rsidR="0093122D"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  <w:t>3</w:t>
      </w:r>
      <w:r w:rsidRPr="00C030B0">
        <w:rPr>
          <w:rFonts w:ascii="Helvetica" w:eastAsia="Calibri" w:hAnsi="Helvetica" w:cs="Helvetica"/>
          <w:bCs/>
          <w:color w:val="000000" w:themeColor="text1"/>
          <w:kern w:val="24"/>
          <w:lang w:eastAsia="en-AU"/>
        </w:rPr>
        <w:t xml:space="preserve"> Metrics on the number of SNPs, CDSs, KEGG pathways and enzymes associated with trigonelline biosynthesis.</w:t>
      </w:r>
    </w:p>
    <w:p w:rsidR="00282192" w:rsidRDefault="00282192" w:rsidP="00132F5E">
      <w:pPr>
        <w:autoSpaceDE w:val="0"/>
        <w:autoSpaceDN w:val="0"/>
        <w:adjustRightInd w:val="0"/>
        <w:spacing w:before="120" w:after="120" w:line="360" w:lineRule="auto"/>
        <w:rPr>
          <w:rFonts w:ascii="Helvetica" w:hAnsi="Helvetica" w:cs="Helvetica"/>
        </w:rPr>
        <w:sectPr w:rsidR="002821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3122D" w:rsidRDefault="00282192" w:rsidP="00A36086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Helvetica" w:hAnsi="Helvetica" w:cs="Helvetica"/>
          <w:noProof/>
          <w:sz w:val="16"/>
          <w:szCs w:val="16"/>
          <w:lang w:eastAsia="en-AU"/>
        </w:rPr>
      </w:pPr>
      <w:r>
        <w:rPr>
          <w:noProof/>
          <w:lang w:eastAsia="en-AU"/>
        </w:rPr>
        <w:lastRenderedPageBreak/>
        <w:drawing>
          <wp:inline distT="0" distB="0" distL="0" distR="0" wp14:anchorId="01CB8521" wp14:editId="77BEE9F3">
            <wp:extent cx="8038769" cy="5220532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53666" cy="523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192" w:rsidRPr="0093122D" w:rsidRDefault="00282192" w:rsidP="0093122D">
      <w:pPr>
        <w:autoSpaceDE w:val="0"/>
        <w:autoSpaceDN w:val="0"/>
        <w:adjustRightInd w:val="0"/>
        <w:spacing w:before="120" w:after="120" w:line="360" w:lineRule="auto"/>
        <w:rPr>
          <w:rFonts w:ascii="Helvetica" w:hAnsi="Helvetica" w:cs="Helvetica"/>
        </w:rPr>
      </w:pPr>
      <w:r w:rsidRPr="00282192">
        <w:rPr>
          <w:rFonts w:ascii="Helvetica" w:hAnsi="Helvetica" w:cs="Helvetica"/>
          <w:noProof/>
          <w:sz w:val="16"/>
          <w:szCs w:val="16"/>
          <w:lang w:eastAsia="en-AU"/>
        </w:rPr>
        <w:t xml:space="preserve">Figure </w:t>
      </w:r>
      <w:r w:rsidR="0033564C">
        <w:rPr>
          <w:rFonts w:ascii="Helvetica" w:hAnsi="Helvetica" w:cs="Helvetica"/>
          <w:noProof/>
          <w:sz w:val="16"/>
          <w:szCs w:val="16"/>
          <w:lang w:eastAsia="en-AU"/>
        </w:rPr>
        <w:t>S</w:t>
      </w:r>
      <w:r w:rsidR="00523B9B">
        <w:rPr>
          <w:rFonts w:ascii="Helvetica" w:hAnsi="Helvetica" w:cs="Helvetica"/>
          <w:noProof/>
          <w:sz w:val="16"/>
          <w:szCs w:val="16"/>
          <w:lang w:eastAsia="en-AU"/>
        </w:rPr>
        <w:t>2</w:t>
      </w:r>
      <w:r w:rsidRPr="00282192">
        <w:rPr>
          <w:rFonts w:ascii="Helvetica" w:hAnsi="Helvetica" w:cs="Helvetica"/>
          <w:noProof/>
          <w:sz w:val="16"/>
          <w:szCs w:val="16"/>
          <w:lang w:eastAsia="en-AU"/>
        </w:rPr>
        <w:t xml:space="preserve"> Snap shots of the KEGG pathways (obtained from Blast2GO analysis) </w:t>
      </w:r>
      <w:r w:rsidRPr="00282192"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  <w:t>at the location where SNPs associating with enzymes involved in the metabolism of the substrates that entered to the caffeine biosynthesis pathway. Substrates are circled in red; enzymes are highlighted in blue squares.</w:t>
      </w:r>
    </w:p>
    <w:p w:rsidR="0093122D" w:rsidRDefault="0093122D" w:rsidP="00282192">
      <w:pPr>
        <w:autoSpaceDE w:val="0"/>
        <w:autoSpaceDN w:val="0"/>
        <w:adjustRightInd w:val="0"/>
        <w:spacing w:before="120" w:after="0" w:line="360" w:lineRule="auto"/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</w:pPr>
      <w:r>
        <w:rPr>
          <w:noProof/>
          <w:lang w:eastAsia="en-AU"/>
        </w:rPr>
        <w:lastRenderedPageBreak/>
        <w:drawing>
          <wp:inline distT="0" distB="0" distL="0" distR="0" wp14:anchorId="7A7CA9D0" wp14:editId="1B8B8142">
            <wp:extent cx="8376029" cy="5082746"/>
            <wp:effectExtent l="0" t="0" r="635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3966" cy="508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22D" w:rsidRPr="0093122D" w:rsidRDefault="0093122D" w:rsidP="00282192">
      <w:pPr>
        <w:autoSpaceDE w:val="0"/>
        <w:autoSpaceDN w:val="0"/>
        <w:adjustRightInd w:val="0"/>
        <w:spacing w:before="120" w:after="0" w:line="360" w:lineRule="auto"/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</w:pPr>
      <w:r w:rsidRPr="0093122D">
        <w:rPr>
          <w:rFonts w:ascii="Helvetica" w:hAnsi="Helvetica" w:cs="Helvetica"/>
          <w:noProof/>
          <w:sz w:val="16"/>
          <w:szCs w:val="16"/>
          <w:lang w:eastAsia="en-AU"/>
        </w:rPr>
        <w:t xml:space="preserve">Figure </w:t>
      </w:r>
      <w:r>
        <w:rPr>
          <w:rFonts w:ascii="Helvetica" w:hAnsi="Helvetica" w:cs="Helvetica"/>
          <w:noProof/>
          <w:sz w:val="16"/>
          <w:szCs w:val="16"/>
          <w:lang w:eastAsia="en-AU"/>
        </w:rPr>
        <w:t>S4</w:t>
      </w:r>
      <w:r w:rsidRPr="0093122D">
        <w:rPr>
          <w:rFonts w:ascii="Helvetica" w:hAnsi="Helvetica" w:cs="Helvetica"/>
          <w:noProof/>
          <w:sz w:val="16"/>
          <w:szCs w:val="16"/>
          <w:lang w:eastAsia="en-AU"/>
        </w:rPr>
        <w:t xml:space="preserve"> Snap shots of the KEGG pathways </w:t>
      </w:r>
      <w:r w:rsidRPr="0093122D"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  <w:t xml:space="preserve">at the location where SNPs associated with enzymes involved </w:t>
      </w:r>
      <w:proofErr w:type="gramStart"/>
      <w:r w:rsidRPr="0093122D"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  <w:t>in  the</w:t>
      </w:r>
      <w:proofErr w:type="gramEnd"/>
      <w:r w:rsidRPr="0093122D">
        <w:rPr>
          <w:rFonts w:ascii="Helvetica" w:eastAsia="Calibri" w:hAnsi="Helvetica" w:cs="Helvetica"/>
          <w:bCs/>
          <w:color w:val="000000" w:themeColor="text1"/>
          <w:kern w:val="24"/>
          <w:sz w:val="16"/>
          <w:szCs w:val="16"/>
          <w:lang w:eastAsia="en-AU"/>
        </w:rPr>
        <w:t xml:space="preserve"> metabolism of the substrates that entered the trigonelline biosynthesis pathway. Substrates are circled in red; enzymes are highlighted in blue squares.</w:t>
      </w:r>
    </w:p>
    <w:sectPr w:rsidR="0093122D" w:rsidRPr="0093122D" w:rsidSect="0028219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7D"/>
    <w:rsid w:val="000713B6"/>
    <w:rsid w:val="000B663A"/>
    <w:rsid w:val="00132F5E"/>
    <w:rsid w:val="00196301"/>
    <w:rsid w:val="001D56E8"/>
    <w:rsid w:val="001D6B25"/>
    <w:rsid w:val="001E7D9C"/>
    <w:rsid w:val="00282192"/>
    <w:rsid w:val="0033564C"/>
    <w:rsid w:val="003410E5"/>
    <w:rsid w:val="004A5279"/>
    <w:rsid w:val="00523B9B"/>
    <w:rsid w:val="006707D6"/>
    <w:rsid w:val="006D0618"/>
    <w:rsid w:val="007216B7"/>
    <w:rsid w:val="00766731"/>
    <w:rsid w:val="00860C93"/>
    <w:rsid w:val="00874CC9"/>
    <w:rsid w:val="0093122D"/>
    <w:rsid w:val="009837F9"/>
    <w:rsid w:val="00A36086"/>
    <w:rsid w:val="00AF3013"/>
    <w:rsid w:val="00B144B3"/>
    <w:rsid w:val="00C030B0"/>
    <w:rsid w:val="00C46C56"/>
    <w:rsid w:val="00D1236C"/>
    <w:rsid w:val="00D57774"/>
    <w:rsid w:val="00DF15D6"/>
    <w:rsid w:val="00E92ADC"/>
    <w:rsid w:val="00F4467D"/>
    <w:rsid w:val="00FB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8A93A"/>
  <w15:chartTrackingRefBased/>
  <w15:docId w15:val="{F0195C7A-602D-4A7D-B3BB-F2A8A4D5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2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 Minh Hue Tran</dc:creator>
  <cp:keywords/>
  <dc:description/>
  <cp:lastModifiedBy>Thi Minh Hue Tran</cp:lastModifiedBy>
  <cp:revision>19</cp:revision>
  <dcterms:created xsi:type="dcterms:W3CDTF">2017-11-03T05:58:00Z</dcterms:created>
  <dcterms:modified xsi:type="dcterms:W3CDTF">2017-11-09T03:13:00Z</dcterms:modified>
</cp:coreProperties>
</file>