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2756" w:type="dxa"/>
        <w:jc w:val="center"/>
        <w:tblLayout w:type="fixed"/>
        <w:tblLook w:val="04A0" w:firstRow="1" w:lastRow="0" w:firstColumn="1" w:lastColumn="0" w:noHBand="0" w:noVBand="1"/>
      </w:tblPr>
      <w:tblGrid>
        <w:gridCol w:w="1129"/>
        <w:gridCol w:w="1418"/>
        <w:gridCol w:w="585"/>
        <w:gridCol w:w="1116"/>
        <w:gridCol w:w="2268"/>
        <w:gridCol w:w="2693"/>
        <w:gridCol w:w="1276"/>
        <w:gridCol w:w="1276"/>
        <w:gridCol w:w="995"/>
      </w:tblGrid>
      <w:tr w:rsidR="004B3FDE" w:rsidRPr="002E6D00" w14:paraId="40BFD439" w14:textId="77777777" w:rsidTr="00411178">
        <w:trPr>
          <w:trHeight w:val="283"/>
          <w:jc w:val="center"/>
        </w:trPr>
        <w:tc>
          <w:tcPr>
            <w:tcW w:w="1129" w:type="dxa"/>
            <w:noWrap/>
            <w:vAlign w:val="center"/>
            <w:hideMark/>
          </w:tcPr>
          <w:p w14:paraId="7E40DF81" w14:textId="52E88F1A" w:rsidR="003A2397" w:rsidRPr="002E6D00" w:rsidRDefault="003A2397" w:rsidP="6E2C7D63">
            <w:pPr>
              <w:jc w:val="center"/>
              <w:rPr>
                <w:rFonts w:ascii="Times New Roman" w:eastAsia="Times New Roman" w:hAnsi="Times New Roman" w:cs="Times New Roman"/>
                <w:b/>
                <w:bCs/>
                <w:color w:val="000000" w:themeColor="text1"/>
                <w:kern w:val="0"/>
                <w:sz w:val="16"/>
                <w:szCs w:val="16"/>
                <w:lang w:val="en-US"/>
                <w14:ligatures w14:val="none"/>
              </w:rPr>
            </w:pPr>
            <w:r w:rsidRPr="002E6D00">
              <w:rPr>
                <w:rFonts w:ascii="Times New Roman" w:eastAsia="Times New Roman" w:hAnsi="Times New Roman" w:cs="Times New Roman"/>
                <w:b/>
                <w:bCs/>
                <w:color w:val="000000" w:themeColor="text1"/>
                <w:kern w:val="0"/>
                <w:sz w:val="16"/>
                <w:szCs w:val="16"/>
                <w:lang w:val="en-US"/>
                <w14:ligatures w14:val="none"/>
              </w:rPr>
              <w:t>Authors</w:t>
            </w:r>
          </w:p>
        </w:tc>
        <w:tc>
          <w:tcPr>
            <w:tcW w:w="1418" w:type="dxa"/>
            <w:vAlign w:val="center"/>
            <w:hideMark/>
          </w:tcPr>
          <w:p w14:paraId="19CB60C3" w14:textId="77777777" w:rsidR="003A2397" w:rsidRPr="002E6D00" w:rsidRDefault="003A2397" w:rsidP="6E2C7D63">
            <w:pPr>
              <w:jc w:val="center"/>
              <w:rPr>
                <w:rFonts w:ascii="Times New Roman" w:eastAsia="Times New Roman" w:hAnsi="Times New Roman" w:cs="Times New Roman"/>
                <w:b/>
                <w:bCs/>
                <w:color w:val="000000" w:themeColor="text1"/>
                <w:kern w:val="0"/>
                <w:sz w:val="16"/>
                <w:szCs w:val="16"/>
                <w:lang w:val="en-US"/>
                <w14:ligatures w14:val="none"/>
              </w:rPr>
            </w:pPr>
            <w:r w:rsidRPr="002E6D00">
              <w:rPr>
                <w:rFonts w:ascii="Times New Roman" w:eastAsia="Times New Roman" w:hAnsi="Times New Roman" w:cs="Times New Roman"/>
                <w:b/>
                <w:bCs/>
                <w:color w:val="000000" w:themeColor="text1"/>
                <w:kern w:val="0"/>
                <w:sz w:val="16"/>
                <w:szCs w:val="16"/>
                <w:lang w:val="en-US"/>
                <w14:ligatures w14:val="none"/>
              </w:rPr>
              <w:t>Title</w:t>
            </w:r>
          </w:p>
        </w:tc>
        <w:tc>
          <w:tcPr>
            <w:tcW w:w="585" w:type="dxa"/>
            <w:noWrap/>
            <w:vAlign w:val="center"/>
            <w:hideMark/>
          </w:tcPr>
          <w:p w14:paraId="2A4BC6EC" w14:textId="13DA66BA" w:rsidR="003A2397" w:rsidRPr="004B3FDE" w:rsidRDefault="003A2397" w:rsidP="6E2C7D63">
            <w:pPr>
              <w:jc w:val="center"/>
              <w:rPr>
                <w:rFonts w:ascii="Times New Roman" w:eastAsia="Times New Roman" w:hAnsi="Times New Roman" w:cs="Times New Roman"/>
                <w:b/>
                <w:bCs/>
                <w:color w:val="000000" w:themeColor="text1"/>
                <w:kern w:val="0"/>
                <w:sz w:val="16"/>
                <w:szCs w:val="16"/>
                <w:lang w:val="en-US"/>
                <w14:ligatures w14:val="none"/>
              </w:rPr>
            </w:pPr>
            <w:r w:rsidRPr="004B3FDE">
              <w:rPr>
                <w:rFonts w:ascii="Times New Roman" w:eastAsia="Times New Roman" w:hAnsi="Times New Roman" w:cs="Times New Roman"/>
                <w:b/>
                <w:bCs/>
                <w:color w:val="000000" w:themeColor="text1"/>
                <w:kern w:val="0"/>
                <w:sz w:val="16"/>
                <w:szCs w:val="16"/>
                <w:lang w:val="en-US"/>
                <w14:ligatures w14:val="none"/>
              </w:rPr>
              <w:t>Year</w:t>
            </w:r>
          </w:p>
        </w:tc>
        <w:tc>
          <w:tcPr>
            <w:tcW w:w="1116" w:type="dxa"/>
            <w:noWrap/>
            <w:vAlign w:val="center"/>
            <w:hideMark/>
          </w:tcPr>
          <w:p w14:paraId="381B1A69" w14:textId="78FC24F1" w:rsidR="003A2397" w:rsidRPr="004B3FDE" w:rsidRDefault="003A2397" w:rsidP="6E2C7D63">
            <w:pPr>
              <w:jc w:val="center"/>
              <w:rPr>
                <w:rFonts w:ascii="Times New Roman" w:eastAsia="Times New Roman" w:hAnsi="Times New Roman" w:cs="Times New Roman"/>
                <w:b/>
                <w:bCs/>
                <w:color w:val="000000" w:themeColor="text1"/>
                <w:kern w:val="0"/>
                <w:sz w:val="16"/>
                <w:szCs w:val="16"/>
                <w:lang w:val="en-US"/>
                <w14:ligatures w14:val="none"/>
              </w:rPr>
            </w:pPr>
            <w:r w:rsidRPr="004B3FDE">
              <w:rPr>
                <w:rFonts w:ascii="Times New Roman" w:eastAsia="Times New Roman" w:hAnsi="Times New Roman" w:cs="Times New Roman"/>
                <w:b/>
                <w:bCs/>
                <w:color w:val="000000" w:themeColor="text1"/>
                <w:kern w:val="0"/>
                <w:sz w:val="16"/>
                <w:szCs w:val="16"/>
                <w:lang w:val="en-US"/>
                <w14:ligatures w14:val="none"/>
              </w:rPr>
              <w:t>Journal Title</w:t>
            </w:r>
          </w:p>
        </w:tc>
        <w:tc>
          <w:tcPr>
            <w:tcW w:w="2268" w:type="dxa"/>
            <w:vAlign w:val="center"/>
            <w:hideMark/>
          </w:tcPr>
          <w:p w14:paraId="02D0FD59" w14:textId="0659DAED" w:rsidR="003A2397" w:rsidRPr="002E6D00" w:rsidRDefault="003A2397" w:rsidP="6E2C7D63">
            <w:pPr>
              <w:jc w:val="center"/>
              <w:rPr>
                <w:rFonts w:ascii="Times New Roman" w:eastAsia="Times New Roman" w:hAnsi="Times New Roman" w:cs="Times New Roman"/>
                <w:b/>
                <w:bCs/>
                <w:color w:val="000000" w:themeColor="text1"/>
                <w:kern w:val="0"/>
                <w:sz w:val="16"/>
                <w:szCs w:val="16"/>
                <w:lang w:val="en-US"/>
                <w14:ligatures w14:val="none"/>
              </w:rPr>
            </w:pPr>
            <w:r w:rsidRPr="002E6D00">
              <w:rPr>
                <w:rFonts w:ascii="Times New Roman" w:eastAsia="Times New Roman" w:hAnsi="Times New Roman" w:cs="Times New Roman"/>
                <w:b/>
                <w:bCs/>
                <w:color w:val="000000" w:themeColor="text1"/>
                <w:kern w:val="0"/>
                <w:sz w:val="16"/>
                <w:szCs w:val="16"/>
                <w:lang w:val="en-US"/>
                <w14:ligatures w14:val="none"/>
              </w:rPr>
              <w:t xml:space="preserve">Research Question / </w:t>
            </w:r>
            <w:r w:rsidR="48FD4B37" w:rsidRPr="002E6D00">
              <w:rPr>
                <w:rFonts w:ascii="Times New Roman" w:eastAsia="Times New Roman" w:hAnsi="Times New Roman" w:cs="Times New Roman"/>
                <w:b/>
                <w:bCs/>
                <w:color w:val="000000" w:themeColor="text1"/>
                <w:kern w:val="0"/>
                <w:sz w:val="16"/>
                <w:szCs w:val="16"/>
                <w:lang w:val="en-US"/>
                <w14:ligatures w14:val="none"/>
              </w:rPr>
              <w:t>Aim</w:t>
            </w:r>
          </w:p>
        </w:tc>
        <w:tc>
          <w:tcPr>
            <w:tcW w:w="2693" w:type="dxa"/>
            <w:vAlign w:val="center"/>
            <w:hideMark/>
          </w:tcPr>
          <w:p w14:paraId="2693F296" w14:textId="1D1B0391" w:rsidR="003A2397" w:rsidRPr="002E6D00" w:rsidRDefault="48FD4B37" w:rsidP="6E2C7D63">
            <w:pPr>
              <w:jc w:val="center"/>
              <w:rPr>
                <w:rFonts w:ascii="Times New Roman" w:eastAsia="Times New Roman" w:hAnsi="Times New Roman" w:cs="Times New Roman"/>
                <w:b/>
                <w:bCs/>
                <w:color w:val="000000" w:themeColor="text1"/>
                <w:kern w:val="0"/>
                <w:sz w:val="16"/>
                <w:szCs w:val="16"/>
                <w:lang w:val="en-US"/>
                <w14:ligatures w14:val="none"/>
              </w:rPr>
            </w:pPr>
            <w:r w:rsidRPr="002E6D00">
              <w:rPr>
                <w:rFonts w:ascii="Times New Roman" w:eastAsia="Times New Roman" w:hAnsi="Times New Roman" w:cs="Times New Roman"/>
                <w:b/>
                <w:bCs/>
                <w:color w:val="000000" w:themeColor="text1"/>
                <w:kern w:val="0"/>
                <w:sz w:val="16"/>
                <w:szCs w:val="16"/>
                <w:lang w:val="en-US"/>
                <w14:ligatures w14:val="none"/>
              </w:rPr>
              <w:t xml:space="preserve">Key </w:t>
            </w:r>
            <w:r w:rsidR="003A2397" w:rsidRPr="002E6D00">
              <w:rPr>
                <w:rFonts w:ascii="Times New Roman" w:eastAsia="Times New Roman" w:hAnsi="Times New Roman" w:cs="Times New Roman"/>
                <w:b/>
                <w:bCs/>
                <w:color w:val="000000" w:themeColor="text1"/>
                <w:kern w:val="0"/>
                <w:sz w:val="16"/>
                <w:szCs w:val="16"/>
                <w:lang w:val="en-US"/>
                <w14:ligatures w14:val="none"/>
              </w:rPr>
              <w:t>Results</w:t>
            </w:r>
          </w:p>
        </w:tc>
        <w:tc>
          <w:tcPr>
            <w:tcW w:w="1276" w:type="dxa"/>
            <w:vAlign w:val="center"/>
            <w:hideMark/>
          </w:tcPr>
          <w:p w14:paraId="42DEDDBB" w14:textId="747D1850" w:rsidR="003A2397" w:rsidRPr="002E6D00" w:rsidRDefault="003A2397" w:rsidP="6E2C7D63">
            <w:pPr>
              <w:jc w:val="center"/>
              <w:rPr>
                <w:rFonts w:ascii="Times New Roman" w:eastAsia="Times New Roman" w:hAnsi="Times New Roman" w:cs="Times New Roman"/>
                <w:b/>
                <w:bCs/>
                <w:color w:val="000000" w:themeColor="text1"/>
                <w:kern w:val="0"/>
                <w:sz w:val="16"/>
                <w:szCs w:val="16"/>
                <w14:ligatures w14:val="none"/>
              </w:rPr>
            </w:pPr>
            <w:r w:rsidRPr="002E6D00">
              <w:rPr>
                <w:rFonts w:ascii="Times New Roman" w:eastAsia="Times New Roman" w:hAnsi="Times New Roman" w:cs="Times New Roman"/>
                <w:b/>
                <w:bCs/>
                <w:color w:val="000000" w:themeColor="text1"/>
                <w:kern w:val="0"/>
                <w:sz w:val="16"/>
                <w:szCs w:val="16"/>
                <w14:ligatures w14:val="none"/>
              </w:rPr>
              <w:t>Sample Size</w:t>
            </w:r>
          </w:p>
        </w:tc>
        <w:tc>
          <w:tcPr>
            <w:tcW w:w="1276" w:type="dxa"/>
            <w:vAlign w:val="center"/>
          </w:tcPr>
          <w:p w14:paraId="16E732C9" w14:textId="7CA075FE" w:rsidR="003A2397" w:rsidRPr="002E6D00" w:rsidRDefault="00D02C0F" w:rsidP="6E2C7D63">
            <w:pPr>
              <w:jc w:val="center"/>
              <w:rPr>
                <w:rFonts w:ascii="Times New Roman" w:eastAsia="Times New Roman" w:hAnsi="Times New Roman" w:cs="Times New Roman"/>
                <w:b/>
                <w:bCs/>
                <w:color w:val="000000" w:themeColor="text1"/>
                <w:kern w:val="0"/>
                <w:sz w:val="16"/>
                <w:szCs w:val="16"/>
                <w:lang w:val="en-US"/>
                <w14:ligatures w14:val="none"/>
              </w:rPr>
            </w:pPr>
            <w:r>
              <w:rPr>
                <w:rFonts w:ascii="Times New Roman" w:eastAsia="Times New Roman" w:hAnsi="Times New Roman" w:cs="Times New Roman"/>
                <w:b/>
                <w:bCs/>
                <w:color w:val="000000" w:themeColor="text1"/>
                <w:kern w:val="0"/>
                <w:sz w:val="16"/>
                <w:szCs w:val="16"/>
                <w:lang w:val="en-US"/>
                <w14:ligatures w14:val="none"/>
              </w:rPr>
              <w:t xml:space="preserve">Dominant </w:t>
            </w:r>
            <w:r w:rsidR="003A2397" w:rsidRPr="002E6D00">
              <w:rPr>
                <w:rFonts w:ascii="Times New Roman" w:eastAsia="Times New Roman" w:hAnsi="Times New Roman" w:cs="Times New Roman"/>
                <w:b/>
                <w:bCs/>
                <w:color w:val="000000" w:themeColor="text1"/>
                <w:kern w:val="0"/>
                <w:sz w:val="16"/>
                <w:szCs w:val="16"/>
                <w:lang w:val="en-US"/>
                <w14:ligatures w14:val="none"/>
              </w:rPr>
              <w:t>Method</w:t>
            </w:r>
            <w:r>
              <w:rPr>
                <w:rFonts w:ascii="Times New Roman" w:eastAsia="Times New Roman" w:hAnsi="Times New Roman" w:cs="Times New Roman"/>
                <w:b/>
                <w:bCs/>
                <w:color w:val="000000" w:themeColor="text1"/>
                <w:kern w:val="0"/>
                <w:sz w:val="16"/>
                <w:szCs w:val="16"/>
                <w:lang w:val="en-US"/>
                <w14:ligatures w14:val="none"/>
              </w:rPr>
              <w:t>s</w:t>
            </w:r>
            <w:r w:rsidR="003A2397" w:rsidRPr="002E6D00">
              <w:rPr>
                <w:rFonts w:ascii="Times New Roman" w:eastAsia="Times New Roman" w:hAnsi="Times New Roman" w:cs="Times New Roman"/>
                <w:b/>
                <w:bCs/>
                <w:color w:val="000000" w:themeColor="text1"/>
                <w:kern w:val="0"/>
                <w:sz w:val="16"/>
                <w:szCs w:val="16"/>
                <w:lang w:val="en-US"/>
                <w14:ligatures w14:val="none"/>
              </w:rPr>
              <w:t xml:space="preserve"> of Analysis</w:t>
            </w:r>
          </w:p>
        </w:tc>
        <w:tc>
          <w:tcPr>
            <w:tcW w:w="995" w:type="dxa"/>
            <w:vAlign w:val="center"/>
            <w:hideMark/>
          </w:tcPr>
          <w:p w14:paraId="6DA7283E" w14:textId="6A9FFE2F" w:rsidR="003A2397" w:rsidRPr="002E6D00" w:rsidRDefault="003A2397" w:rsidP="6E2C7D63">
            <w:pPr>
              <w:jc w:val="center"/>
              <w:rPr>
                <w:rFonts w:ascii="Times New Roman" w:eastAsia="Times New Roman" w:hAnsi="Times New Roman" w:cs="Times New Roman"/>
                <w:b/>
                <w:bCs/>
                <w:color w:val="000000" w:themeColor="text1"/>
                <w:kern w:val="0"/>
                <w:sz w:val="16"/>
                <w:szCs w:val="16"/>
                <w:lang w:val="en-US"/>
                <w14:ligatures w14:val="none"/>
              </w:rPr>
            </w:pPr>
            <w:r w:rsidRPr="002E6D00">
              <w:rPr>
                <w:rFonts w:ascii="Times New Roman" w:eastAsia="Times New Roman" w:hAnsi="Times New Roman" w:cs="Times New Roman"/>
                <w:b/>
                <w:bCs/>
                <w:color w:val="000000" w:themeColor="text1"/>
                <w:kern w:val="0"/>
                <w:sz w:val="16"/>
                <w:szCs w:val="16"/>
                <w:lang w:val="en-US"/>
                <w14:ligatures w14:val="none"/>
              </w:rPr>
              <w:t>Data Source</w:t>
            </w:r>
          </w:p>
        </w:tc>
      </w:tr>
      <w:tr w:rsidR="004B3FDE" w:rsidRPr="00F711FA" w14:paraId="5D80077C" w14:textId="77777777" w:rsidTr="45483B6E">
        <w:trPr>
          <w:trHeight w:val="1134"/>
          <w:jc w:val="center"/>
        </w:trPr>
        <w:tc>
          <w:tcPr>
            <w:tcW w:w="1129" w:type="dxa"/>
            <w:shd w:val="clear" w:color="auto" w:fill="auto"/>
            <w:noWrap/>
            <w:hideMark/>
          </w:tcPr>
          <w:p w14:paraId="1A3D78BC" w14:textId="5BAC4E2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Griffith</w:t>
            </w:r>
            <w:r w:rsidR="00D138EC">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T. &amp; Northcraft</w:t>
            </w:r>
            <w:r w:rsidR="00D138EC">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G.</w:t>
            </w:r>
          </w:p>
        </w:tc>
        <w:tc>
          <w:tcPr>
            <w:tcW w:w="1418" w:type="dxa"/>
            <w:shd w:val="clear" w:color="auto" w:fill="auto"/>
            <w:hideMark/>
          </w:tcPr>
          <w:p w14:paraId="434D7899" w14:textId="1CF999A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Distinguishing Between the Forest and the Trees: Media, Features, and Methodology in Electronic Communication Research</w:t>
            </w:r>
          </w:p>
        </w:tc>
        <w:tc>
          <w:tcPr>
            <w:tcW w:w="585" w:type="dxa"/>
            <w:shd w:val="clear" w:color="auto" w:fill="auto"/>
            <w:noWrap/>
            <w:hideMark/>
          </w:tcPr>
          <w:p w14:paraId="0E18572F" w14:textId="56D32E00"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{"citationItems":[{"id":"ITEM-1","itemData":{"DOI":"10.1287/orsc.5.2.272","ISSN":"1047-7039","abstract":"Electronic communication media usually differ from nonelectronic communication media on a variety of communication features. However, research designs typically do not allow for the most revealing examination of communication feature effects. This paper proposes a methodological framework for conceptualizing and operationalizing electronic communication research, and presents an illustrative study based on the framework. The methodological framework distinguishes among communication media, channels, and features, and emphasizes the importance for theory and research of understanding the effects of communication features both within and across communication media. To demonstrate this framework, subjects in the study participated in a sealed-bid negotiation. Communication of the bids was either paper-and-pencil or computer-mediated. The results revealed a significant main effect for medium (computer-mediated communication yielded lower individual scores), significant main effects for features (documentation and anonymity both yielded lower individual scores), and a significant interaction between a feature (documentation) and medium. For organizations, these results suggest that the accepted effects of a medium should be reexamined in light of the medium's component features; design and adoption decisions should be made with an understanding of the existence of interactions between features and media.","author":[{"dropping-particle":"","family":"Griffith","given":"Terri L.","non-dropping-particle":"","parse-names":false,"suffix":""},{"dropping-particle":"","family":"Northcraft","given":"Gregory B.","non-dropping-particle":"","parse-names":false,"suffix":""}],"container-title":"Organization Science","id":"ITEM-1","issue":"2","issued":{"date-parts":[["1994"]]},"page":"272-285","title":"Distinguishing Between the Forest and the Trees: Media, Features, and Methodology in Electronic Communication Research","type":"article-journal","volume":"5"},"suppress-author":1,"uris":["http://www.mendeley.com/documents/?uuid=8b448b49-bb34-4beb-a2dc-6f3437936965"]}],"mendeley":{"formattedCitation":"(1994)","manualFormatting":"1994","plainTextFormattedCitation":"(1994)","previouslyFormattedCitation":"(1994)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1994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shd w:val="clear" w:color="auto" w:fill="auto"/>
            <w:noWrap/>
            <w:hideMark/>
          </w:tcPr>
          <w:p w14:paraId="56D55222" w14:textId="5F42D69B"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Organization Science</w:t>
            </w:r>
          </w:p>
        </w:tc>
        <w:tc>
          <w:tcPr>
            <w:tcW w:w="2268" w:type="dxa"/>
            <w:shd w:val="clear" w:color="auto" w:fill="auto"/>
            <w:hideMark/>
          </w:tcPr>
          <w:p w14:paraId="50BCB4B2" w14:textId="585B32F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Distinction between media and features of media in electronic communication research: “This paper provides a methodological framework for conceptualizing and op- erationalizing electronic communication research, and presents an illustrative study based on the framework” (p. 272).</w:t>
            </w:r>
          </w:p>
        </w:tc>
        <w:tc>
          <w:tcPr>
            <w:tcW w:w="2693" w:type="dxa"/>
            <w:shd w:val="clear" w:color="auto" w:fill="auto"/>
            <w:hideMark/>
          </w:tcPr>
          <w:p w14:paraId="726D0267" w14:textId="78ACB7B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results revealed a significant main effect for medium (computer-mediated communication yielded lower individual scores), significant main effects for features (documentation and anonymity both yielded lower individual scores), and a significant interaction between a feature (documentation) and medium. For organizations, these results suggest that the accepted effects of a medium should be reexamined in light of the medium's component features; design and adoption decisions should be made with an understanding of the existence of interactions between features and media” (p. 272).</w:t>
            </w:r>
          </w:p>
        </w:tc>
        <w:tc>
          <w:tcPr>
            <w:tcW w:w="1276" w:type="dxa"/>
            <w:shd w:val="clear" w:color="auto" w:fill="auto"/>
            <w:hideMark/>
          </w:tcPr>
          <w:p w14:paraId="7B76DC5A" w14:textId="3C0B23BB" w:rsidR="003A2397" w:rsidRPr="002E6D00" w:rsidRDefault="003A2397" w:rsidP="00576827">
            <w:pPr>
              <w:rPr>
                <w:rFonts w:ascii="Times New Roman" w:eastAsia="Times New Roman" w:hAnsi="Times New Roman" w:cs="Times New Roman"/>
                <w:color w:val="FF0000"/>
                <w:kern w:val="0"/>
                <w:sz w:val="16"/>
                <w:szCs w:val="16"/>
                <w:highlight w:val="yellow"/>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180 university undergraduates</w:t>
            </w:r>
          </w:p>
        </w:tc>
        <w:tc>
          <w:tcPr>
            <w:tcW w:w="1276" w:type="dxa"/>
          </w:tcPr>
          <w:p w14:paraId="4F8AD37B" w14:textId="528DA4A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 x 2 x 2 between</w:t>
            </w:r>
            <w:r w:rsidR="003A3F4B">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subjec</w:t>
            </w:r>
            <w:r w:rsidR="003A3F4B">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s factorial design experiment (&amp; questionnaire), dyadic negotiation experiments, regression analysis</w:t>
            </w:r>
          </w:p>
        </w:tc>
        <w:tc>
          <w:tcPr>
            <w:tcW w:w="995" w:type="dxa"/>
            <w:hideMark/>
          </w:tcPr>
          <w:p w14:paraId="27CF79CA" w14:textId="51693FC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Computer-mediated bids from experiment</w:t>
            </w:r>
          </w:p>
        </w:tc>
      </w:tr>
      <w:tr w:rsidR="004B3FDE" w:rsidRPr="002E6D00" w14:paraId="03B83C75" w14:textId="77777777" w:rsidTr="45483B6E">
        <w:trPr>
          <w:trHeight w:val="495"/>
          <w:jc w:val="center"/>
        </w:trPr>
        <w:tc>
          <w:tcPr>
            <w:tcW w:w="1129" w:type="dxa"/>
            <w:shd w:val="clear" w:color="auto" w:fill="auto"/>
            <w:noWrap/>
            <w:hideMark/>
          </w:tcPr>
          <w:p w14:paraId="13ABF65E" w14:textId="0A4DB891" w:rsidR="003A2397" w:rsidRPr="002D253D" w:rsidRDefault="003A2397" w:rsidP="00576827">
            <w:pPr>
              <w:rPr>
                <w:rFonts w:ascii="Times New Roman" w:eastAsia="Times New Roman" w:hAnsi="Times New Roman" w:cs="Times New Roman"/>
                <w:color w:val="000000" w:themeColor="text1"/>
                <w:kern w:val="0"/>
                <w:sz w:val="16"/>
                <w:szCs w:val="16"/>
                <w:lang w:val="en-US"/>
                <w14:ligatures w14:val="none"/>
              </w:rPr>
            </w:pPr>
            <w:r w:rsidRPr="002D253D">
              <w:rPr>
                <w:rFonts w:ascii="Times New Roman" w:eastAsia="Times New Roman" w:hAnsi="Times New Roman" w:cs="Times New Roman"/>
                <w:color w:val="000000" w:themeColor="text1"/>
                <w:kern w:val="0"/>
                <w:sz w:val="16"/>
                <w:szCs w:val="16"/>
                <w:lang w:val="en-US"/>
                <w14:ligatures w14:val="none"/>
              </w:rPr>
              <w:t>Zack, M.H. &amp; McKenney, J.L.</w:t>
            </w:r>
          </w:p>
        </w:tc>
        <w:tc>
          <w:tcPr>
            <w:tcW w:w="1418" w:type="dxa"/>
            <w:shd w:val="clear" w:color="auto" w:fill="auto"/>
            <w:hideMark/>
          </w:tcPr>
          <w:p w14:paraId="47173137" w14:textId="6D90AAA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Context and Interaction in Ongoing Computer-Supported Management Groups</w:t>
            </w:r>
          </w:p>
        </w:tc>
        <w:tc>
          <w:tcPr>
            <w:tcW w:w="585" w:type="dxa"/>
            <w:shd w:val="clear" w:color="auto" w:fill="auto"/>
            <w:noWrap/>
            <w:hideMark/>
          </w:tcPr>
          <w:p w14:paraId="5FC7E63E" w14:textId="24353123"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{"citationItems":[{"id":"ITEM-1","itemData":{"DOI":"10.1287/orsc.6.4.394","ISBN":"9781136389474","ISSN":"1047-7039","abstract":"Electronic communication has been proposed as a key technology enabling new organization forms and structures, work designs, and task processes. This view assumes that organization structure and form can be defined in terms of communication linkages among organizational units. Communication is a social process, however. Therefore, to better understand the potential for these technologies to enable fundamental organizational change, we must understand how existing structures and social contexts influence patterns of organizational communication. This research examined the use of electronic messaging by ongoing management groups performing a cooperative task. By means of an in-depth multimethod field study of the editorial group of two daily newspapers, it examined the influence of the groups’ social context on the patterns of face-to-face and computer-mediated communication. The results show that different groups using the same functional structure and performing the same task with identical communication technologies, but operating within different social contexts, appropriated the communication technology differently and in a way that was consistent with and reinforcing to their existing social structure. This finding suggests that researchers must, at the very least, explicitly take into account social context when studying the effects of introducing technologies which may alter group interaction. Additionally, researchers should look to social context as an important explanatory construct to be explicitly varied and investigated with regard to effects and outcomes of these technologies. The findings also suggest that managers must diagnose and explicitly manage the social context of the workplace prior to implementing technologies, if their intent is to restructure the patterns of interaction and information exchange in support of new organizational forms.","author":[{"dropping-particle":"","family":"Zack","given":"Michael H.","non-dropping-particle":"","parse-names":false,"suffix":""},{"dropping-particle":"","family":"McKenney","given":"James L.","non-dropping-particle":"","parse-names":false,"suffix":""}],"container-title":"Organization Science","id":"ITEM-1","issue":"4","issued":{"date-parts":[["1995","8"]]},"page":"394-422","title":"Social Context and Interaction in Ongoing Computer-Supported Management Groups","type":"article-journal","volume":"6"},"suppress-author":1,"uris":["http://www.mendeley.com/documents/?uuid=bf02eda8-bd89-4a39-bfb8-ac2fd480d85b"]}],"mendeley":{"formattedCitation":"(1995)","manualFormatting":"1995","plainTextFormattedCitation":"(1995)","previouslyFormattedCitation":"(1995)"},"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1995</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shd w:val="clear" w:color="auto" w:fill="auto"/>
            <w:noWrap/>
            <w:hideMark/>
          </w:tcPr>
          <w:p w14:paraId="12D8BB82" w14:textId="1F365222"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Organization Science</w:t>
            </w:r>
          </w:p>
        </w:tc>
        <w:tc>
          <w:tcPr>
            <w:tcW w:w="2268" w:type="dxa"/>
            <w:shd w:val="clear" w:color="auto" w:fill="auto"/>
            <w:hideMark/>
          </w:tcPr>
          <w:p w14:paraId="1F9E1BAE" w14:textId="465949E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“Our goal was to show that the use of EM and FTF as described by groups’ interaction patterns was consistent with each group’s social context and, in turn, influenced the groups’ communication and performance effectiveness” (p. 398).</w:t>
            </w:r>
          </w:p>
        </w:tc>
        <w:tc>
          <w:tcPr>
            <w:tcW w:w="2693" w:type="dxa"/>
            <w:shd w:val="clear" w:color="auto" w:fill="auto"/>
            <w:hideMark/>
          </w:tcPr>
          <w:p w14:paraId="0F98B78F" w14:textId="0774CA0E" w:rsidR="003A2397" w:rsidRPr="002E6D00" w:rsidRDefault="003A2397" w:rsidP="005B7F7C">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Groups’ appropriation of electronic messages reflects the social context of each group and group outcomes are mediated by the groups’ interaction patterns and, given the same task requirements but different patterns of interaction, the communication and outcome effectiveness of the groups differ. Results show “that different groups using the same functional structure and performing the same task with identical communication technologies, but operating within different social contexts, appropriated the communication technology differently and in a way that was consistent with and reinforcing to their existing social structure” (p. 394).</w:t>
            </w:r>
          </w:p>
        </w:tc>
        <w:tc>
          <w:tcPr>
            <w:tcW w:w="1276" w:type="dxa"/>
            <w:shd w:val="clear" w:color="auto" w:fill="auto"/>
            <w:hideMark/>
          </w:tcPr>
          <w:p w14:paraId="0DC7FAA5" w14:textId="062AB95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Interviews: 37 members of management group and several non-group managers; 26 of 29 returned questionnaires: The Statewide Times’s editorial group had 15 members, and The Regional News’s 14.</w:t>
            </w:r>
          </w:p>
        </w:tc>
        <w:tc>
          <w:tcPr>
            <w:tcW w:w="1276" w:type="dxa"/>
          </w:tcPr>
          <w:p w14:paraId="21167270" w14:textId="2C70562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In-depth multimethod Case-Study approach including questionnaires (quantitative/ subjective), interviews (qualitative/ subjective), and capturing electronic messages to obtain their content, observation of face-to-face content)</w:t>
            </w:r>
          </w:p>
        </w:tc>
        <w:tc>
          <w:tcPr>
            <w:tcW w:w="995" w:type="dxa"/>
            <w:hideMark/>
          </w:tcPr>
          <w:p w14:paraId="0C00548C" w14:textId="0B44971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w:t>
            </w:r>
          </w:p>
        </w:tc>
      </w:tr>
      <w:tr w:rsidR="004B3FDE" w:rsidRPr="00F711FA" w14:paraId="3E0B082C" w14:textId="77777777" w:rsidTr="45483B6E">
        <w:trPr>
          <w:trHeight w:val="1134"/>
          <w:jc w:val="center"/>
        </w:trPr>
        <w:tc>
          <w:tcPr>
            <w:tcW w:w="1129" w:type="dxa"/>
            <w:shd w:val="clear" w:color="auto" w:fill="auto"/>
            <w:noWrap/>
            <w:hideMark/>
          </w:tcPr>
          <w:p w14:paraId="4DF40473" w14:textId="53027520" w:rsidR="003A2397" w:rsidRPr="002E6D00" w:rsidRDefault="003A2397" w:rsidP="00576827">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Yates, J.A., Orlikowski, W.J., &amp; Okamura, K.</w:t>
            </w:r>
          </w:p>
        </w:tc>
        <w:tc>
          <w:tcPr>
            <w:tcW w:w="1418" w:type="dxa"/>
            <w:shd w:val="clear" w:color="auto" w:fill="auto"/>
            <w:hideMark/>
          </w:tcPr>
          <w:p w14:paraId="255B83F4" w14:textId="73FA47F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Explicit and Implicit Structuring of Genres in Electronic Communication: Reinforcement and Change of Social Interaction</w:t>
            </w:r>
          </w:p>
        </w:tc>
        <w:tc>
          <w:tcPr>
            <w:tcW w:w="585" w:type="dxa"/>
            <w:shd w:val="clear" w:color="auto" w:fill="auto"/>
            <w:noWrap/>
            <w:hideMark/>
          </w:tcPr>
          <w:p w14:paraId="42E1E1DC" w14:textId="383F5A3B"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{"citationItems":[{"id":"ITEM-1","itemData":{"DOI":"10.1287/orsc.10.1.83","ISSN":"10477039","abstract":"In a study of how an R&amp;D group in a Japanese firm adopted and used a new electronic medium, we identified two contrasting patterns of use: the use of community-wide communication types, or genres, deliberately shaped by the action of a small, sanctioned group of mediators; and the use of local genres tacitly shaped by members within their own research teams. We suggest that these patterns reflect the more general processes of explicit and implicit structuring, resulting in both the reinforcement and change of social interaction within communities. Explicit structuring included the planned replication, planned modification, and opportunistic modification of existing genres, while implicit structuring included the migration and variation of existing genres. We believe that these two processes provide suggestive models for understanding the initial and ongoing use of new electronic media within a community.","author":[{"dropping-particle":"","family":"Yates","given":"Jo Anne","non-dropping-particle":"","parse-names":false,"suffix":""},{"dropping-particle":"","family":"Orlikowski","given":"Wanda J.","non-dropping-particle":"","parse-names":false,"suffix":""},{"dropping-particle":"","family":"Okamura","given":"Kazuo","non-dropping-particle":"","parse-names":false,"suffix":""}],"container-title":"Organization Science","id":"ITEM-1","issue":"1","issued":{"date-parts":[["1999"]]},"page":"83-103","title":"Explicit and Implicit Structuring of Genres in Electronic Communication: Reinforcement and Change of Social Interaction","type":"article-journal","volume":"10"},"suppress-author":1,"uris":["http://www.mendeley.com/documents/?uuid=3450e4dc-e330-43cc-81f9-be47e41d06af"]}],"mendeley":{"formattedCitation":"(1999)","manualFormatting":"1999","plainTextFormattedCitation":"(1999)","previouslyFormattedCitation":"(1999)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1999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shd w:val="clear" w:color="auto" w:fill="auto"/>
            <w:noWrap/>
            <w:hideMark/>
          </w:tcPr>
          <w:p w14:paraId="6EA293EE" w14:textId="63E0BF0A"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Organization Science</w:t>
            </w:r>
          </w:p>
        </w:tc>
        <w:tc>
          <w:tcPr>
            <w:tcW w:w="2268" w:type="dxa"/>
            <w:shd w:val="clear" w:color="auto" w:fill="auto"/>
            <w:hideMark/>
          </w:tcPr>
          <w:p w14:paraId="6E11F796" w14:textId="4C8430E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Investigate “the influence of the technology-use mediation process on the enactment of communication genres in an electronic medium (computer conferencing) that has been newly introduced into a specific social context (a 17-</w:t>
            </w:r>
            <w:r w:rsidRPr="002E6D00">
              <w:rPr>
                <w:rFonts w:ascii="Times New Roman" w:eastAsia="Times New Roman" w:hAnsi="Times New Roman" w:cs="Times New Roman"/>
                <w:color w:val="000000" w:themeColor="text1"/>
                <w:kern w:val="0"/>
                <w:sz w:val="16"/>
                <w:szCs w:val="16"/>
                <w:lang w:val="en-US"/>
                <w14:ligatures w14:val="none"/>
              </w:rPr>
              <w:lastRenderedPageBreak/>
              <w:t>month Japanese R&amp;D project)” (p. 83).</w:t>
            </w:r>
          </w:p>
        </w:tc>
        <w:tc>
          <w:tcPr>
            <w:tcW w:w="2693" w:type="dxa"/>
            <w:shd w:val="clear" w:color="auto" w:fill="auto"/>
            <w:hideMark/>
          </w:tcPr>
          <w:p w14:paraId="42542583" w14:textId="40A7EAD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The authors reveal insights into how “processes and their different influences offer insight into how people adopt and use new electronic media over time and with what outcomes” (p. 84): “we identified and obtained insights into two distinct patterns of electronic media use. One pattern reflected the intervention by a </w:t>
            </w:r>
            <w:r w:rsidRPr="002E6D00">
              <w:rPr>
                <w:rFonts w:ascii="Times New Roman" w:eastAsia="Times New Roman" w:hAnsi="Times New Roman" w:cs="Times New Roman"/>
                <w:color w:val="000000" w:themeColor="text1"/>
                <w:kern w:val="0"/>
                <w:sz w:val="16"/>
                <w:szCs w:val="16"/>
                <w:lang w:val="en-US"/>
                <w14:ligatures w14:val="none"/>
              </w:rPr>
              <w:lastRenderedPageBreak/>
              <w:t>small group of self-selected team members, acting as technology-use mediators, who deliberately shaped genre norms for the whole project community, leading to both the replication of existing genres and the enactment of modified or new genres within the electronic medium. The second pattern reflected the tacit enactment of genres by project members in their local teams, resulting in both the migration of existing genres into the electronic medium and the variation of genres within it” (p. 83-84).</w:t>
            </w:r>
          </w:p>
        </w:tc>
        <w:tc>
          <w:tcPr>
            <w:tcW w:w="1276" w:type="dxa"/>
            <w:shd w:val="clear" w:color="auto" w:fill="auto"/>
            <w:hideMark/>
          </w:tcPr>
          <w:p w14:paraId="13FEA71F" w14:textId="1A645AB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A total of 9,302 messages posted on a news-system over 9 months by about 150 project members from an R&amp;D </w:t>
            </w:r>
            <w:r w:rsidRPr="002E6D00">
              <w:rPr>
                <w:rFonts w:ascii="Times New Roman" w:eastAsia="Times New Roman" w:hAnsi="Times New Roman" w:cs="Times New Roman"/>
                <w:color w:val="000000" w:themeColor="text1"/>
                <w:kern w:val="0"/>
                <w:sz w:val="16"/>
                <w:szCs w:val="16"/>
                <w:lang w:val="en-US"/>
                <w14:ligatures w14:val="none"/>
              </w:rPr>
              <w:lastRenderedPageBreak/>
              <w:t>division of a large Japanese high-tech manufacturing firm.</w:t>
            </w:r>
          </w:p>
        </w:tc>
        <w:tc>
          <w:tcPr>
            <w:tcW w:w="1276" w:type="dxa"/>
          </w:tcPr>
          <w:p w14:paraId="5974A72D" w14:textId="67F0993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Qualitative content analysis (genre analysis)</w:t>
            </w:r>
          </w:p>
        </w:tc>
        <w:tc>
          <w:tcPr>
            <w:tcW w:w="995" w:type="dxa"/>
            <w:hideMark/>
          </w:tcPr>
          <w:p w14:paraId="3E14C65F" w14:textId="3145AFC3"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Messages posted on the news-system</w:t>
            </w:r>
          </w:p>
        </w:tc>
      </w:tr>
      <w:tr w:rsidR="004B3FDE" w:rsidRPr="00F711FA" w14:paraId="3A37828B" w14:textId="77777777" w:rsidTr="45483B6E">
        <w:trPr>
          <w:trHeight w:val="645"/>
          <w:jc w:val="center"/>
        </w:trPr>
        <w:tc>
          <w:tcPr>
            <w:tcW w:w="1129" w:type="dxa"/>
            <w:shd w:val="clear" w:color="auto" w:fill="auto"/>
            <w:noWrap/>
            <w:hideMark/>
          </w:tcPr>
          <w:p w14:paraId="48455BC5" w14:textId="20541C33"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Sussman, S.W. &amp; Sproull, L.</w:t>
            </w:r>
          </w:p>
        </w:tc>
        <w:tc>
          <w:tcPr>
            <w:tcW w:w="1418" w:type="dxa"/>
            <w:shd w:val="clear" w:color="auto" w:fill="auto"/>
            <w:hideMark/>
          </w:tcPr>
          <w:p w14:paraId="27DE81F7" w14:textId="2394B1E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Straight Talk: Delivering Bad News Through Electronic Communication</w:t>
            </w:r>
          </w:p>
        </w:tc>
        <w:tc>
          <w:tcPr>
            <w:tcW w:w="585" w:type="dxa"/>
            <w:shd w:val="clear" w:color="auto" w:fill="auto"/>
            <w:noWrap/>
            <w:hideMark/>
          </w:tcPr>
          <w:p w14:paraId="1E2C9BB4" w14:textId="02D4D005"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{"citationItems":[{"id":"ITEM-1","itemData":{"DOI":"10.1287/isre.10.2.150","ISSN":"10477047","abstract":"Delivering bad news can be an unpleasant task, therefore people often either postpone it or mitigate its effect through positive distortion. However, delivering (and receiving) timely and accurate negative information can be critical for performance improvement and organizational learning. This paper investigates the possibility that computer-mediated communication can increase honesty and accuracy in delivering negative information that has personal consequences for the recipient. In a laboratory experiment, 117 participants delivered positive or negative personally-consequential information to a \"student\" (confederate) using one of three types of media: computer-mediated communication, telephone, or face-to-face conversation. Participants distorted negative information less, i.e., were more accurate and honest, when they used computer-mediated communication than face-to-face or telephone communication. There was no difference in distortion of positive information across media conditions. Participants also reported higher levels of satisfaction and comfort in the computer-mediated communication situation. The perceived quality of the relationship mediated the impact of medium on satisfaction, but not on distortion.","author":[{"dropping-particle":"","family":"Sussman","given":"Stephanie Watts","non-dropping-particle":"","parse-names":false,"suffix":""},{"dropping-particle":"","family":"Sproull","given":"Lee","non-dropping-particle":"","parse-names":false,"suffix":""}],"container-title":"Information Systems Research","id":"ITEM-1","issue":"2","issued":{"date-parts":[["1999"]]},"page":"150-166","title":"Straight Talk: Delivering Bad News Through Electronic Communication","type":"article-journal","volume":"10"},"suppress-author":1,"uris":["http://www.mendeley.com/documents/?uuid=d56eb483-fe1d-4ba2-93b6-4eda98a59125"]}],"mendeley":{"formattedCitation":"(1999)","manualFormatting":"1999","plainTextFormattedCitation":"(1999)","previouslyFormattedCitation":"(1999)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1999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shd w:val="clear" w:color="auto" w:fill="auto"/>
            <w:noWrap/>
            <w:hideMark/>
          </w:tcPr>
          <w:p w14:paraId="305DF9FF" w14:textId="6F68188E"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Information Systems Research</w:t>
            </w:r>
          </w:p>
        </w:tc>
        <w:tc>
          <w:tcPr>
            <w:tcW w:w="2268" w:type="dxa"/>
            <w:shd w:val="clear" w:color="auto" w:fill="auto"/>
            <w:hideMark/>
          </w:tcPr>
          <w:p w14:paraId="204C688E" w14:textId="0EAA2603"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Investigate “the possibility that computer-mediated communication can increase honesty and accuracy in delivering negative information that has personal consequences for the recipient” (p. 150).</w:t>
            </w:r>
          </w:p>
        </w:tc>
        <w:tc>
          <w:tcPr>
            <w:tcW w:w="2693" w:type="dxa"/>
            <w:shd w:val="clear" w:color="auto" w:fill="auto"/>
            <w:hideMark/>
          </w:tcPr>
          <w:p w14:paraId="2E53DCEA" w14:textId="4E738884" w:rsidR="003A2397" w:rsidRPr="002E6D00" w:rsidRDefault="003A2397" w:rsidP="009C7746">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“Participants distorted negative information less, i.e., were more accurate and honest, when they used computer-mediated communication than face-to-face or telephone communication. There was no difference in distortion of positive information across media conditions. Participants also reported higher levels of satisfaction and comfort in the computer mediated communication situation. The perceived quality of the relationship mediated the impact of medium on satisfaction, but not on distortion” (p. 150).</w:t>
            </w:r>
          </w:p>
        </w:tc>
        <w:tc>
          <w:tcPr>
            <w:tcW w:w="1276" w:type="dxa"/>
            <w:shd w:val="clear" w:color="auto" w:fill="auto"/>
            <w:hideMark/>
          </w:tcPr>
          <w:p w14:paraId="027038B8" w14:textId="09562B9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117 undergraduates enrolled in introductory information systems course (Boston University School of Management)</w:t>
            </w:r>
          </w:p>
        </w:tc>
        <w:tc>
          <w:tcPr>
            <w:tcW w:w="1276" w:type="dxa"/>
          </w:tcPr>
          <w:p w14:paraId="788C4700" w14:textId="001A3E1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Experiment (2 x 3 between participants factorial design), post-experiment questionnaire, regression analysis</w:t>
            </w:r>
          </w:p>
        </w:tc>
        <w:tc>
          <w:tcPr>
            <w:tcW w:w="995" w:type="dxa"/>
            <w:hideMark/>
          </w:tcPr>
          <w:p w14:paraId="7AD78C8A" w14:textId="78C80FC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Chats from TALK program available on UNIX® computer system, push button phone communication</w:t>
            </w:r>
          </w:p>
        </w:tc>
      </w:tr>
      <w:tr w:rsidR="004B3FDE" w:rsidRPr="00F711FA" w14:paraId="5D1155DD" w14:textId="77777777" w:rsidTr="45483B6E">
        <w:trPr>
          <w:trHeight w:val="1134"/>
          <w:jc w:val="center"/>
        </w:trPr>
        <w:tc>
          <w:tcPr>
            <w:tcW w:w="1129" w:type="dxa"/>
            <w:noWrap/>
            <w:hideMark/>
          </w:tcPr>
          <w:p w14:paraId="7E97E46F" w14:textId="75BEF9BB" w:rsidR="003A2397" w:rsidRPr="002E6D00" w:rsidRDefault="003A2397" w:rsidP="00576827">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Warschauer</w:t>
            </w:r>
            <w:r w:rsidR="00387CB2">
              <w:rPr>
                <w:rFonts w:ascii="Times New Roman" w:eastAsia="Times New Roman" w:hAnsi="Times New Roman" w:cs="Times New Roman"/>
                <w:color w:val="000000" w:themeColor="text1"/>
                <w:kern w:val="0"/>
                <w:sz w:val="16"/>
                <w:szCs w:val="16"/>
                <w14:ligatures w14:val="none"/>
              </w:rPr>
              <w:t>,</w:t>
            </w:r>
            <w:r w:rsidRPr="002E6D00">
              <w:rPr>
                <w:rFonts w:ascii="Times New Roman" w:eastAsia="Times New Roman" w:hAnsi="Times New Roman" w:cs="Times New Roman"/>
                <w:color w:val="000000" w:themeColor="text1"/>
                <w:kern w:val="0"/>
                <w:sz w:val="16"/>
                <w:szCs w:val="16"/>
                <w14:ligatures w14:val="none"/>
              </w:rPr>
              <w:t xml:space="preserve"> M., El Said</w:t>
            </w:r>
            <w:r w:rsidR="00387CB2">
              <w:rPr>
                <w:rFonts w:ascii="Times New Roman" w:eastAsia="Times New Roman" w:hAnsi="Times New Roman" w:cs="Times New Roman"/>
                <w:color w:val="000000" w:themeColor="text1"/>
                <w:kern w:val="0"/>
                <w:sz w:val="16"/>
                <w:szCs w:val="16"/>
                <w14:ligatures w14:val="none"/>
              </w:rPr>
              <w:t>,</w:t>
            </w:r>
            <w:r w:rsidRPr="002E6D00">
              <w:rPr>
                <w:rFonts w:ascii="Times New Roman" w:eastAsia="Times New Roman" w:hAnsi="Times New Roman" w:cs="Times New Roman"/>
                <w:color w:val="000000" w:themeColor="text1"/>
                <w:kern w:val="0"/>
                <w:sz w:val="16"/>
                <w:szCs w:val="16"/>
                <w14:ligatures w14:val="none"/>
              </w:rPr>
              <w:t xml:space="preserve"> G.R., &amp; Zohry</w:t>
            </w:r>
            <w:r w:rsidR="00387CB2">
              <w:rPr>
                <w:rFonts w:ascii="Times New Roman" w:eastAsia="Times New Roman" w:hAnsi="Times New Roman" w:cs="Times New Roman"/>
                <w:color w:val="000000" w:themeColor="text1"/>
                <w:kern w:val="0"/>
                <w:sz w:val="16"/>
                <w:szCs w:val="16"/>
                <w14:ligatures w14:val="none"/>
              </w:rPr>
              <w:t>,</w:t>
            </w:r>
            <w:r w:rsidRPr="002E6D00">
              <w:rPr>
                <w:rFonts w:ascii="Times New Roman" w:eastAsia="Times New Roman" w:hAnsi="Times New Roman" w:cs="Times New Roman"/>
                <w:color w:val="000000" w:themeColor="text1"/>
                <w:kern w:val="0"/>
                <w:sz w:val="16"/>
                <w:szCs w:val="16"/>
                <w14:ligatures w14:val="none"/>
              </w:rPr>
              <w:t xml:space="preserve"> A.</w:t>
            </w:r>
          </w:p>
        </w:tc>
        <w:tc>
          <w:tcPr>
            <w:tcW w:w="1418" w:type="dxa"/>
            <w:hideMark/>
          </w:tcPr>
          <w:p w14:paraId="242383A4" w14:textId="1D8E966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Language Choice Online: Globalization And Identity in Egypt</w:t>
            </w:r>
          </w:p>
        </w:tc>
        <w:tc>
          <w:tcPr>
            <w:tcW w:w="585" w:type="dxa"/>
            <w:noWrap/>
            <w:hideMark/>
          </w:tcPr>
          <w:p w14:paraId="017DF43D" w14:textId="02E968F7"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{"citationItems":[{"id":"ITEM-1","itemData":{"DOI":"10.1111/j.1083-6101.2002.tb00157.x","ISSN":"10836101","abstract":"The dominance of English on the Internet in the medium's early years caused great consternation about a possible threat to local languages and cultures. Though the hegemony of English online has since weakened, there is still concern about how English and other languages interact online, but there has been almost no research on this issue. This paper combines linguistic analysis, a survey, and interviews to examine English and Arabic language use in online communications by a group of young professionals in Egypt. The study indicates that, among this group, English is used overwhelmingly in Web use and in formal e-mail communication, but that a Romanized version of Egyptian Arabic is used extensively in informal e-mail messages and online chats. This online use of English and Arabic is analyzed in relation to broader social trends of language, technology, globalization, and identity.","author":[{"dropping-particle":"","family":"Warschauer","given":"Mark","non-dropping-particle":"","parse-names":false,"suffix":""},{"dropping-particle":"","family":"Said","given":"Ghada R.","non-dropping-particle":"El","parse-names":false,"suffix":""},{"dropping-particle":"","family":"Zohry","given":"Ayman","non-dropping-particle":"","parse-names":false,"suffix":""}],"container-title":"Journal of Computer-Mediated Communication","id":"ITEM-1","issue":"4","issued":{"date-parts":[["2002"]]},"page":"1-23","title":"Language Choice Online: Globalization and Identity in Egypt","type":"article-journal","volume":"7"},"suppress-author":1,"uris":["http://www.mendeley.com/documents/?uuid=b36602a8-f657-400f-b959-d8fa37856ea5"]}],"mendeley":{"formattedCitation":"(2002)","manualFormatting":"2002","plainTextFormattedCitation":"(2002)","previouslyFormattedCitation":"(2002)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580F6A7A" w14:textId="465A0666"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Computer-Mediated Communication</w:t>
            </w:r>
          </w:p>
        </w:tc>
        <w:tc>
          <w:tcPr>
            <w:tcW w:w="2268" w:type="dxa"/>
            <w:hideMark/>
          </w:tcPr>
          <w:p w14:paraId="6274AB80" w14:textId="042C9D4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assess “language choice online by a group of Egyptian Internet users, examining in what circumstances, and why, this group uses English and Arabic in their computer-mediated communication” (p. 3).</w:t>
            </w:r>
          </w:p>
        </w:tc>
        <w:tc>
          <w:tcPr>
            <w:tcW w:w="2693" w:type="dxa"/>
            <w:hideMark/>
          </w:tcPr>
          <w:p w14:paraId="30E4495C" w14:textId="0B5F01B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Results show that “English is the dominant language used online among a particular group of early Internet adopters in Egypt, and […] that a previously little used written form of Romanized Egyptian Arabic is also widely used in informal communication by this group” (p. 16).</w:t>
            </w:r>
          </w:p>
        </w:tc>
        <w:tc>
          <w:tcPr>
            <w:tcW w:w="1276" w:type="dxa"/>
            <w:hideMark/>
          </w:tcPr>
          <w:p w14:paraId="47CB758B" w14:textId="0AD1D6D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43 young professionals from Cairo (Egypt) known to be Internet users </w:t>
            </w:r>
          </w:p>
        </w:tc>
        <w:tc>
          <w:tcPr>
            <w:tcW w:w="1276" w:type="dxa"/>
          </w:tcPr>
          <w:p w14:paraId="659E679B" w14:textId="3BF8526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regression analysis</w:t>
            </w:r>
          </w:p>
        </w:tc>
        <w:tc>
          <w:tcPr>
            <w:tcW w:w="995" w:type="dxa"/>
            <w:hideMark/>
          </w:tcPr>
          <w:p w14:paraId="66F4EC12" w14:textId="487FB06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and online chat transcripts</w:t>
            </w:r>
          </w:p>
        </w:tc>
      </w:tr>
      <w:tr w:rsidR="004B3FDE" w:rsidRPr="002E6D00" w14:paraId="515B96D1" w14:textId="77777777" w:rsidTr="00F711FA">
        <w:trPr>
          <w:trHeight w:val="558"/>
          <w:jc w:val="center"/>
        </w:trPr>
        <w:tc>
          <w:tcPr>
            <w:tcW w:w="1129" w:type="dxa"/>
            <w:noWrap/>
            <w:hideMark/>
          </w:tcPr>
          <w:p w14:paraId="7D17EBA1" w14:textId="47C35E1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Barron</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G. &amp; Yechiam</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E.</w:t>
            </w:r>
          </w:p>
        </w:tc>
        <w:tc>
          <w:tcPr>
            <w:tcW w:w="1418" w:type="dxa"/>
            <w:hideMark/>
          </w:tcPr>
          <w:p w14:paraId="19B7725B" w14:textId="0E44F5F5"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Private E-Mail Requests and the Diffusion of Responsibility</w:t>
            </w:r>
          </w:p>
        </w:tc>
        <w:tc>
          <w:tcPr>
            <w:tcW w:w="585" w:type="dxa"/>
            <w:noWrap/>
            <w:hideMark/>
          </w:tcPr>
          <w:p w14:paraId="2DAAD212" w14:textId="7A049D75"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{"citationItems":[{"id":"ITEM-1","itemData":{"DOI":"10.1016/S0747-5632(02)00007-9","ISSN":"07475632","abstract":"E-mail technology provides a way of requesting information or assistance from multiple sources by simultaneously addressing a letter to more than one recipient. Models of prosocial behavior taken from social psychology and economics suggest that the probability of receiving a helpful response is an inverse function of the number of simultaneous addressees. An experiment is presented which examines this prediction in the context of an e-mail request for information. The results show that there are more responses to e-mails addressed to a single recipient, that these responses are more helpful, and that they are lengthier. Response rates and measures of helpfulness were found to be independent of explicit information pertaining to the ability of other recipients to provide assistance. Implications of the results for the application of social cueing theory to e-mail communication and direct marketing are discussed. © 2002 Elsevier Science Ltd. All rights reserved.","author":[{"dropping-particle":"","family":"Barron","given":"Greg","non-dropping-particle":"","parse-names":false,"suffix":""},{"dropping-particle":"","family":"Yechiam","given":"Eldad","non-dropping-particle":"","parse-names":false,"suffix":""}],"container-title":"Computers in Human Behavior","id":"ITEM-1","issue":"5","issued":{"date-parts":[["2002"]]},"page":"507-520","title":"Private E-Mail Requests and the Diffusion of Responsibility","type":"article-journal","volume":"18"},"suppress-author":1,"uris":["http://www.mendeley.com/documents/?uuid=ba41a046-7ba3-46ae-b55a-6b87cde3dc7e"]}],"mendeley":{"formattedCitation":"(2002)","manualFormatting":"2002","plainTextFormattedCitation":"(2002)","previouslyFormattedCitation":"(2002)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D49BB2F" w14:textId="4D0384B6"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Computers In Human Behavior</w:t>
            </w:r>
          </w:p>
        </w:tc>
        <w:tc>
          <w:tcPr>
            <w:tcW w:w="2268" w:type="dxa"/>
            <w:hideMark/>
          </w:tcPr>
          <w:p w14:paraId="609EA7DB" w14:textId="400B8565"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authors address prosocial behaviors and present “experimental data demonstrating that recipients of e-mail requests will be more helpful when they perceive that they are the sole recipient of the request, than when observing that they are but one </w:t>
            </w:r>
            <w:r w:rsidRPr="002E6D00">
              <w:rPr>
                <w:rFonts w:ascii="Times New Roman" w:eastAsia="Times New Roman" w:hAnsi="Times New Roman" w:cs="Times New Roman"/>
                <w:color w:val="000000" w:themeColor="text1"/>
                <w:kern w:val="0"/>
                <w:sz w:val="16"/>
                <w:szCs w:val="16"/>
                <w:lang w:val="en-US"/>
                <w14:ligatures w14:val="none"/>
              </w:rPr>
              <w:lastRenderedPageBreak/>
              <w:t>of a larger group who have received the same request” (p. 509).</w:t>
            </w:r>
          </w:p>
        </w:tc>
        <w:tc>
          <w:tcPr>
            <w:tcW w:w="2693" w:type="dxa"/>
            <w:hideMark/>
          </w:tcPr>
          <w:p w14:paraId="419A55B9" w14:textId="5CC7EB1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“The results show that there are more responses to e-mails addressed to a single recipient, that these responses are more helpful, and that they are lengthier. Response rates and measures of helpfulness were found to be independent of explicit information pertaining to the ability of other </w:t>
            </w:r>
            <w:r w:rsidRPr="002E6D00">
              <w:rPr>
                <w:rFonts w:ascii="Times New Roman" w:eastAsia="Times New Roman" w:hAnsi="Times New Roman" w:cs="Times New Roman"/>
                <w:color w:val="000000" w:themeColor="text1"/>
                <w:kern w:val="0"/>
                <w:sz w:val="16"/>
                <w:szCs w:val="16"/>
                <w:lang w:val="en-US"/>
                <w14:ligatures w14:val="none"/>
              </w:rPr>
              <w:lastRenderedPageBreak/>
              <w:t>recipients to provide assistance” (p. 507).</w:t>
            </w:r>
          </w:p>
        </w:tc>
        <w:tc>
          <w:tcPr>
            <w:tcW w:w="1276" w:type="dxa"/>
            <w:hideMark/>
          </w:tcPr>
          <w:p w14:paraId="5D6BF7F1" w14:textId="42FCF5C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225 addressees: graduate and doctoral students, faculty members, and administrative staff members (no response was also coded)</w:t>
            </w:r>
          </w:p>
        </w:tc>
        <w:tc>
          <w:tcPr>
            <w:tcW w:w="1276" w:type="dxa"/>
          </w:tcPr>
          <w:p w14:paraId="2EA9B122" w14:textId="2C8EDB6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Experiment, manual content analysis, regression analysis</w:t>
            </w:r>
          </w:p>
        </w:tc>
        <w:tc>
          <w:tcPr>
            <w:tcW w:w="995" w:type="dxa"/>
            <w:hideMark/>
          </w:tcPr>
          <w:p w14:paraId="046C7F48" w14:textId="7456528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 responses</w:t>
            </w:r>
          </w:p>
        </w:tc>
      </w:tr>
      <w:tr w:rsidR="004B3FDE" w:rsidRPr="00F711FA" w14:paraId="66E84935" w14:textId="77777777" w:rsidTr="45483B6E">
        <w:trPr>
          <w:trHeight w:val="1134"/>
          <w:jc w:val="center"/>
        </w:trPr>
        <w:tc>
          <w:tcPr>
            <w:tcW w:w="1129" w:type="dxa"/>
            <w:noWrap/>
            <w:hideMark/>
          </w:tcPr>
          <w:p w14:paraId="41B5A977" w14:textId="0F6C071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Alonzo, M., &amp; Aiken, M.</w:t>
            </w:r>
          </w:p>
        </w:tc>
        <w:tc>
          <w:tcPr>
            <w:tcW w:w="1418" w:type="dxa"/>
            <w:hideMark/>
          </w:tcPr>
          <w:p w14:paraId="71331664" w14:textId="4412935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Flaming in Electronic Communication</w:t>
            </w:r>
          </w:p>
        </w:tc>
        <w:tc>
          <w:tcPr>
            <w:tcW w:w="585" w:type="dxa"/>
            <w:noWrap/>
            <w:hideMark/>
          </w:tcPr>
          <w:p w14:paraId="4FEEE433" w14:textId="15274DA5"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{"citationItems":[{"id":"ITEM-1","itemData":{"DOI":"10.1016/S0167-9236(02)00190-2","ISSN":"01679236","abstract":"Communication through computer networks, electronic salons, and virtual communities has its price. Often relatively anonymous and socially detached, electronic communication allows people to write things online that they would seldom consider saying face-to-face, sometimes generating flames. In a study of the motives to flame based upon Uses and Gratifications Theory (UGT), 160 subjects generated comments anonymously in parallel with a group support system (GSS) idea generation program. Results showed that high levels of assertiveness and sensation seeking predicted flaming, and males tended to participate more in the activity than did females. © 2002 Elsevier Science B.V. All rights reserved.","author":[{"dropping-particle":"","family":"Alonzo","given":"Mei","non-dropping-particle":"","parse-names":false,"suffix":""},{"dropping-particle":"","family":"Aiken","given":"Milam","non-dropping-particle":"","parse-names":false,"suffix":""}],"container-title":"Decision Support Systems","id":"ITEM-1","issue":"3","issued":{"date-parts":[["2004"]]},"page":"205-213","title":"Flaming in Electronic Communication","type":"article-journal","volume":"36"},"suppress-author":1,"uris":["http://www.mendeley.com/documents/?uuid=dddff487-097e-4799-8d4c-67cffd901034"]}],"mendeley":{"formattedCitation":"(2004)","manualFormatting":"2004","plainTextFormattedCitation":"(2004)","previouslyFormattedCitation":"(2004)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AB56BB2" w14:textId="78817C17"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Decision Support Systems</w:t>
            </w:r>
          </w:p>
        </w:tc>
        <w:tc>
          <w:tcPr>
            <w:tcW w:w="2268" w:type="dxa"/>
            <w:hideMark/>
          </w:tcPr>
          <w:p w14:paraId="3CF1461C" w14:textId="791E980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aim “to provide a theoretical explanation of flaming motivations [in electronic communication] based on Uses and Gratifications Theory (UGT)” (p. 206).</w:t>
            </w:r>
          </w:p>
        </w:tc>
        <w:tc>
          <w:tcPr>
            <w:tcW w:w="2693" w:type="dxa"/>
            <w:hideMark/>
          </w:tcPr>
          <w:p w14:paraId="0F1B6DBA" w14:textId="5F54F3D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“Results showed that high levels of assertiveness and sensation seeking predicted flaming, and males tended to participate more in the activity than did females” (p. 205).</w:t>
            </w:r>
          </w:p>
        </w:tc>
        <w:tc>
          <w:tcPr>
            <w:tcW w:w="1276" w:type="dxa"/>
            <w:hideMark/>
          </w:tcPr>
          <w:p w14:paraId="6D9CBA28" w14:textId="31B38B8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160 junior/senior business students (4.88 comments per subject on average)</w:t>
            </w:r>
          </w:p>
        </w:tc>
        <w:tc>
          <w:tcPr>
            <w:tcW w:w="1276" w:type="dxa"/>
          </w:tcPr>
          <w:p w14:paraId="516428CF" w14:textId="274F2ED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Content analysis (automation/manual not specified), hierarchical regression analysis</w:t>
            </w:r>
          </w:p>
        </w:tc>
        <w:tc>
          <w:tcPr>
            <w:tcW w:w="995" w:type="dxa"/>
            <w:hideMark/>
          </w:tcPr>
          <w:p w14:paraId="56ED4120" w14:textId="7CFC8E5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Comments from an electronic gallery writing program</w:t>
            </w:r>
          </w:p>
        </w:tc>
      </w:tr>
      <w:tr w:rsidR="004B3FDE" w:rsidRPr="002E6D00" w14:paraId="25221014" w14:textId="77777777" w:rsidTr="45483B6E">
        <w:trPr>
          <w:trHeight w:val="1134"/>
          <w:jc w:val="center"/>
        </w:trPr>
        <w:tc>
          <w:tcPr>
            <w:tcW w:w="1129" w:type="dxa"/>
            <w:noWrap/>
            <w:hideMark/>
          </w:tcPr>
          <w:p w14:paraId="784D5543" w14:textId="6C7149B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Torpe, L. &amp; Nielsen, J.</w:t>
            </w:r>
          </w:p>
        </w:tc>
        <w:tc>
          <w:tcPr>
            <w:tcW w:w="1418" w:type="dxa"/>
            <w:hideMark/>
          </w:tcPr>
          <w:p w14:paraId="49CCD178" w14:textId="7CAD635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Digital Communication Between Local Authorities and Citizens in Denmark</w:t>
            </w:r>
          </w:p>
        </w:tc>
        <w:tc>
          <w:tcPr>
            <w:tcW w:w="585" w:type="dxa"/>
            <w:noWrap/>
            <w:hideMark/>
          </w:tcPr>
          <w:p w14:paraId="518CB23F" w14:textId="003073FC"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{"citationItems":[{"id":"ITEM-1","itemData":{"DOI":"10.1080/0300393042000267254","ISSN":"0300-3930","abstract":"Today options for digital communication exist in all Danish municipalities. But are local councils aware of the democratic potentials of the new forms of political communication? This article focuses on the democratic dimensions of web design. To what extent do the websites improve access to information on public affairs and stimulate participation of citizens in local politics? To answer these questions, a screening of all 275 Danish municipal websites was carried out on two dimensions: information/transparency and contact/dialogue. The findings show great variation between best and worst practice in terms of democracy. Furthermore, the findings show that size and income per inhabitant explain some of the variation, whereas the political colour of the party in office has no significance. © 2004 Taylor &amp; Francis Ltd.","author":[{"dropping-particle":"","family":"Torpe","given":"Lars","non-dropping-particle":"","parse-names":false,"suffix":""},{"dropping-particle":"","family":"Nielsen","given":"Jeppe","non-dropping-particle":"","parse-names":false,"suffix":""}],"container-title":"Local Government Studies","id":"ITEM-1","issue":"2","issued":{"date-parts":[["2004","6"]]},"page":"230-244","title":"Digital Communication Between Local Authorities and Citizens in Denmark","type":"article-journal","volume":"30"},"suppress-author":1,"uris":["http://www.mendeley.com/documents/?uuid=9e772ab6-401a-417a-9411-51fdbad537e0"]}],"mendeley":{"formattedCitation":"(2004)","manualFormatting":"2004","plainTextFormattedCitation":"(2004)","previouslyFormattedCitation":"(2004)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D9F09EF" w14:textId="1738F3FF"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Local Government Studies</w:t>
            </w:r>
          </w:p>
        </w:tc>
        <w:tc>
          <w:tcPr>
            <w:tcW w:w="2268" w:type="dxa"/>
          </w:tcPr>
          <w:p w14:paraId="794CD0A4" w14:textId="59A9E1C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“To what extent are citizens provided with information that could improve their opportunities to gain insight into local politics? What opportunities do citizens have to give voice to their thoughts and to participate in electronic debates on local matters?” (p. 230-231).</w:t>
            </w:r>
          </w:p>
        </w:tc>
        <w:tc>
          <w:tcPr>
            <w:tcW w:w="2693" w:type="dxa"/>
            <w:hideMark/>
          </w:tcPr>
          <w:p w14:paraId="392DB393" w14:textId="121CD464" w:rsidR="003A2397" w:rsidRPr="002E6D00" w:rsidRDefault="003A2397" w:rsidP="0004490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“great variation between best and worst practice in terms of democracy. Furthermore, the findings show that size and income per inhabitant explain some of the variation, whereas the political colour of the party in office has no significance.</w:t>
            </w:r>
          </w:p>
          <w:p w14:paraId="1339E2E5" w14:textId="77777777" w:rsidR="003A2397" w:rsidRPr="002E6D00" w:rsidRDefault="003A2397" w:rsidP="00F6720B">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(p. 230). As “every</w:t>
            </w:r>
          </w:p>
          <w:p w14:paraId="12ED13F9" w14:textId="1699527B" w:rsidR="003A2397" w:rsidRPr="002E6D00" w:rsidRDefault="003A2397" w:rsidP="00576827">
            <w:pPr>
              <w:rPr>
                <w:rFonts w:ascii="Times New Roman" w:eastAsia="Times New Roman" w:hAnsi="Times New Roman" w:cs="Times New Roman"/>
                <w:color w:val="000000" w:themeColor="text1"/>
                <w:kern w:val="0"/>
                <w:sz w:val="16"/>
                <w:szCs w:val="16"/>
                <w:highlight w:val="yellow"/>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citizen is now able to contact his or her local authority, but a small minority of the local authorities offers opportunities for electronic debate and dialogue” (p. 242).</w:t>
            </w:r>
          </w:p>
        </w:tc>
        <w:tc>
          <w:tcPr>
            <w:tcW w:w="1276" w:type="dxa"/>
            <w:hideMark/>
          </w:tcPr>
          <w:p w14:paraId="7B9F05F9" w14:textId="7777777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271 danish websites of local municipalities</w:t>
            </w:r>
          </w:p>
        </w:tc>
        <w:tc>
          <w:tcPr>
            <w:tcW w:w="1276" w:type="dxa"/>
          </w:tcPr>
          <w:p w14:paraId="722E1A2F" w14:textId="64DECE6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76D6AFC5" w14:textId="6424E9E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Website content</w:t>
            </w:r>
          </w:p>
        </w:tc>
      </w:tr>
      <w:tr w:rsidR="004B3FDE" w:rsidRPr="002E6D00" w14:paraId="249DD792" w14:textId="77777777" w:rsidTr="45483B6E">
        <w:trPr>
          <w:trHeight w:val="1134"/>
          <w:jc w:val="center"/>
        </w:trPr>
        <w:tc>
          <w:tcPr>
            <w:tcW w:w="1129" w:type="dxa"/>
            <w:noWrap/>
            <w:hideMark/>
          </w:tcPr>
          <w:p w14:paraId="26CF9E51" w14:textId="1A66D19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Carr</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T., Cox</w:t>
            </w:r>
            <w:r w:rsidR="00387CB2">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G., Eden</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A., &amp; Hanslo</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M.</w:t>
            </w:r>
          </w:p>
        </w:tc>
        <w:tc>
          <w:tcPr>
            <w:tcW w:w="1418" w:type="dxa"/>
            <w:hideMark/>
          </w:tcPr>
          <w:p w14:paraId="05F9551B" w14:textId="060084D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From Peripheral to Full Participation in a Blended Trade Bargaining Simulation</w:t>
            </w:r>
          </w:p>
        </w:tc>
        <w:tc>
          <w:tcPr>
            <w:tcW w:w="585" w:type="dxa"/>
            <w:noWrap/>
            <w:hideMark/>
          </w:tcPr>
          <w:p w14:paraId="4942B1D1" w14:textId="11F51739"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{"citationItems":[{"id":"ITEM-1","itemData":{"DOI":"10.1111/j.0007-1013.2004.00381.x","ISSN":"0007-1013","abstract":"This article considers the extent and nature of student participation in a trade bargaining simulation from a community of practice perspective. This third‐year economics module included a blend of online communication (through email, online chats and online discussions) and face‐to‐face meetings, both in smaller bargaining groups and in whole class plenary meetings. Our method of analysis includes the use of Exchange Structure Analysis of text chats and face‐to‐face learning conversations, triangulated by observation, survey and interview data. The focus on community of practice enables us to offer a nuanced interpretation of differences in crude participation data derived from the online chats. Superficially, the data may suggest marginalisation of participants, but Wenger's (1988 ) notion of peripheral participation with a trajectory towards full participation reframes the disparities in terms of an active community of practice. Some members are fully engaged with the practices of trade bargaining from the early stages of the simulation, while others move towards full participation over the duration of the simulation. Our results suggest that the laboratory‐based online text chats did provide opportunities for student participation in the simulation, and that male and female students exhibited different patterns of participation in the chats.","author":[{"dropping-particle":"","family":"Carr","given":"Tony","non-dropping-particle":"","parse-names":false,"suffix":""},{"dropping-particle":"","family":"Cox","given":"Lenda","non-dropping-particle":"","parse-names":false,"suffix":""},{"dropping-particle":"","family":"Eden","given":"Ndrea","non-dropping-particle":"","parse-names":false,"suffix":""},{"dropping-particle":"","family":"Hanslo","given":"Monique","non-dropping-particle":"","parse-names":false,"suffix":""}],"container-title":"British Journal of Educational Technology","id":"ITEM-1","issue":"2","issued":{"date-parts":[["2004","3"]]},"page":"197-211","title":"From peripheral to full participation in a blended trade bargaining simulation","type":"article-journal","volume":"35"},"suppress-author":1,"uris":["http://www.mendeley.com/documents/?uuid=989d26fc-cbce-4dd8-b713-70874fa3e5d7"]}],"mendeley":{"formattedCitation":"(2004)","manualFormatting":"2004","plainTextFormattedCitation":"(2004)","previouslyFormattedCitation":"(2004)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EAC83EE" w14:textId="3E61BFDA"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British Journal of Educational Technology</w:t>
            </w:r>
          </w:p>
        </w:tc>
        <w:tc>
          <w:tcPr>
            <w:tcW w:w="2268" w:type="dxa"/>
            <w:hideMark/>
          </w:tcPr>
          <w:p w14:paraId="5B4E159B" w14:textId="5027608E" w:rsidR="003A2397" w:rsidRPr="002E6D00" w:rsidRDefault="003A2397" w:rsidP="009B7CE9">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explored “the effects of online text chats on the extent and nature of student participation in a blended international trade bargaining simulation” (p. 210) and answered the following research questions: “Did the text chats enhance student participation? Were the text chats on-topic? What roles did students play in the chats? Did male and female students show different patterns of participation?” (p. 198)</w:t>
            </w:r>
          </w:p>
        </w:tc>
        <w:tc>
          <w:tcPr>
            <w:tcW w:w="2693" w:type="dxa"/>
            <w:hideMark/>
          </w:tcPr>
          <w:p w14:paraId="5D9FB479" w14:textId="2205CEA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“results suggest that the laboratory-based online text chats did provide opportunities for student participation in the simulation, and that male and female students exhibited different patterns of participation in the chats” (p. 197).</w:t>
            </w:r>
          </w:p>
        </w:tc>
        <w:tc>
          <w:tcPr>
            <w:tcW w:w="1276" w:type="dxa"/>
            <w:hideMark/>
          </w:tcPr>
          <w:p w14:paraId="45D71CB2" w14:textId="697BF233"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98 students from the University of Cape Town</w:t>
            </w:r>
          </w:p>
        </w:tc>
        <w:tc>
          <w:tcPr>
            <w:tcW w:w="1276" w:type="dxa"/>
          </w:tcPr>
          <w:p w14:paraId="047E8E89" w14:textId="12D41FE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Exchange structure analysis, </w:t>
            </w:r>
          </w:p>
        </w:tc>
        <w:tc>
          <w:tcPr>
            <w:tcW w:w="995" w:type="dxa"/>
            <w:hideMark/>
          </w:tcPr>
          <w:p w14:paraId="0D7A3708" w14:textId="24FD2E6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Text chat logs</w:t>
            </w:r>
          </w:p>
        </w:tc>
      </w:tr>
      <w:tr w:rsidR="004B3FDE" w:rsidRPr="002E6D00" w14:paraId="438CC1EC" w14:textId="77777777" w:rsidTr="00F711FA">
        <w:trPr>
          <w:trHeight w:val="693"/>
          <w:jc w:val="center"/>
        </w:trPr>
        <w:tc>
          <w:tcPr>
            <w:tcW w:w="1129" w:type="dxa"/>
            <w:noWrap/>
            <w:hideMark/>
          </w:tcPr>
          <w:p w14:paraId="5663AF37" w14:textId="4E9DD8C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Grünberg</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J. &amp; Armellini</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A.</w:t>
            </w:r>
          </w:p>
        </w:tc>
        <w:tc>
          <w:tcPr>
            <w:tcW w:w="1418" w:type="dxa"/>
            <w:hideMark/>
          </w:tcPr>
          <w:p w14:paraId="4945AD24" w14:textId="124FEAB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Teacher Collegiality and Electronic Communication: A Study of the Collaborative Uses of Email by Secondary School </w:t>
            </w:r>
            <w:r w:rsidRPr="002E6D00">
              <w:rPr>
                <w:rFonts w:ascii="Times New Roman" w:eastAsia="Times New Roman" w:hAnsi="Times New Roman" w:cs="Times New Roman"/>
                <w:color w:val="000000" w:themeColor="text1"/>
                <w:kern w:val="0"/>
                <w:sz w:val="16"/>
                <w:szCs w:val="16"/>
                <w:lang w:val="en-US"/>
                <w14:ligatures w14:val="none"/>
              </w:rPr>
              <w:lastRenderedPageBreak/>
              <w:t>Teachers in Uruguay</w:t>
            </w:r>
          </w:p>
        </w:tc>
        <w:tc>
          <w:tcPr>
            <w:tcW w:w="585" w:type="dxa"/>
            <w:noWrap/>
            <w:hideMark/>
          </w:tcPr>
          <w:p w14:paraId="111027F4" w14:textId="1579C2DD"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lastRenderedPageBreak/>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{"citationItems":[{"id":"ITEM-1","itemData":{"DOI":"10.1111/j.0007-1013.2004.00416.x","ISSN":"0007-1013","abstract":"Teacher collegiality has been consistently highlighted in recent years as a crucial factor in the success of processes of educational change and professional development. Consequently, there is considerable interest both from researchers and practitioners, in investigating strategies capable of supporting interactions and collaborations between teachers.","author":[{"dropping-particle":"","family":"Grünberg","given":"Jorge","non-dropping-particle":"","parse-names":false,"suffix":""},{"dropping-particle":"","family":"Armellini","given":"Alejandro","non-dropping-particle":"","parse-names":false,"suffix":""}],"container-title":"British Journal of Educational Technology","id":"ITEM-1","issue":"5","issued":{"date-parts":[["2004","9","28"]]},"page":"597-606","title":"Teacher collegiality and electronic communication: A study of the collaborative uses of email by secondary school teachers in Uruguay","type":"article-journal","volume":"35"},"suppress-author":1,"uris":["http://www.mendeley.com/documents/?uuid=e550d32a-0ffb-452e-897e-35f544f1c881"]}],"mendeley":{"formattedCitation":"(2004)","manualFormatting":"2004","plainTextFormattedCitation":"(2004)","previouslyFormattedCitation":"(2004)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3D9885E" w14:textId="6025309C"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British Journal of Educational Technology</w:t>
            </w:r>
          </w:p>
        </w:tc>
        <w:tc>
          <w:tcPr>
            <w:tcW w:w="2268" w:type="dxa"/>
            <w:hideMark/>
          </w:tcPr>
          <w:p w14:paraId="3B5157FD" w14:textId="307CDF2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authors aim to “discuss some of the results of a research project that investigated the potential of electronic mail for supporting the development of collegiality and professional exchange among secondary school </w:t>
            </w:r>
            <w:r w:rsidRPr="002E6D00">
              <w:rPr>
                <w:rFonts w:ascii="Times New Roman" w:eastAsia="Times New Roman" w:hAnsi="Times New Roman" w:cs="Times New Roman"/>
                <w:color w:val="000000" w:themeColor="text1"/>
                <w:kern w:val="0"/>
                <w:sz w:val="16"/>
                <w:szCs w:val="16"/>
                <w:lang w:val="en-US"/>
                <w14:ligatures w14:val="none"/>
              </w:rPr>
              <w:lastRenderedPageBreak/>
              <w:t>teachers in Uruguay” (p. 597). They pose the research question: “What is email used for?” (p. 602).</w:t>
            </w:r>
          </w:p>
        </w:tc>
        <w:tc>
          <w:tcPr>
            <w:tcW w:w="2693" w:type="dxa"/>
            <w:hideMark/>
          </w:tcPr>
          <w:p w14:paraId="3AA95695" w14:textId="005017F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Results show that “email may support the formation of communities of highly committed users, where seeking and sharing professional resources are accepted behaviours” (p. 597). Therefore, “evidence suggests that email may support professional exchange between school teachers </w:t>
            </w:r>
            <w:r w:rsidRPr="002E6D00">
              <w:rPr>
                <w:rFonts w:ascii="Times New Roman" w:eastAsia="Times New Roman" w:hAnsi="Times New Roman" w:cs="Times New Roman"/>
                <w:color w:val="000000" w:themeColor="text1"/>
                <w:kern w:val="0"/>
                <w:sz w:val="16"/>
                <w:szCs w:val="16"/>
                <w:lang w:val="en-US"/>
                <w14:ligatures w14:val="none"/>
              </w:rPr>
              <w:lastRenderedPageBreak/>
              <w:t>who use the system regularly” (p. 602).</w:t>
            </w:r>
          </w:p>
        </w:tc>
        <w:tc>
          <w:tcPr>
            <w:tcW w:w="1276" w:type="dxa"/>
            <w:hideMark/>
          </w:tcPr>
          <w:p w14:paraId="6D089B8A" w14:textId="39548E2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1,356 email messages from 20 secondary school teachers</w:t>
            </w:r>
          </w:p>
        </w:tc>
        <w:tc>
          <w:tcPr>
            <w:tcW w:w="1276" w:type="dxa"/>
          </w:tcPr>
          <w:p w14:paraId="7DD779AE" w14:textId="009FCF2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Manual content analysis, </w:t>
            </w:r>
          </w:p>
        </w:tc>
        <w:tc>
          <w:tcPr>
            <w:tcW w:w="995" w:type="dxa"/>
            <w:hideMark/>
          </w:tcPr>
          <w:p w14:paraId="60B60FE6" w14:textId="42FCF88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w:t>
            </w:r>
          </w:p>
        </w:tc>
      </w:tr>
      <w:tr w:rsidR="004B3FDE" w:rsidRPr="00F711FA" w14:paraId="45D49A0B" w14:textId="77777777" w:rsidTr="45483B6E">
        <w:trPr>
          <w:trHeight w:val="1134"/>
          <w:jc w:val="center"/>
        </w:trPr>
        <w:tc>
          <w:tcPr>
            <w:tcW w:w="1129" w:type="dxa"/>
            <w:noWrap/>
            <w:hideMark/>
          </w:tcPr>
          <w:p w14:paraId="09F84CA2" w14:textId="189253C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Burgess, A., Jackson, T., &amp; Edwards</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J.</w:t>
            </w:r>
          </w:p>
        </w:tc>
        <w:tc>
          <w:tcPr>
            <w:tcW w:w="1418" w:type="dxa"/>
            <w:hideMark/>
          </w:tcPr>
          <w:p w14:paraId="15A0AAC9" w14:textId="3B3D67C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 Training Significantly Reduces Email Defects</w:t>
            </w:r>
          </w:p>
        </w:tc>
        <w:tc>
          <w:tcPr>
            <w:tcW w:w="585" w:type="dxa"/>
            <w:noWrap/>
            <w:hideMark/>
          </w:tcPr>
          <w:p w14:paraId="4FC4A2E2" w14:textId="2005A5A8"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{"citationItems":[{"id":"ITEM-1","itemData":{"DOI":"10.1016/j.ijinfomgt.2004.10.004","ISSN":"02684012","abstract":"Organisations are now becoming aware of the problems associated with email use and are keen to reduce these defects. These email defects relate to the ineffective way that email is used within organisations, and are not only limited to the volume of email that is sent and received, but also the quality of the email content. Email defects lead to inefficiencies within the workplace as employees spend more time dealing with email rather than doing other aspects of their job. This paper firstly examines how email is used within a large organisation and highlights the defects associated with email. The initial results show that these defects affect some groups of employees more than others. The paper also reports on the effectiveness of email training in reducing the defects associated with email use. The results show that some of these defects are related and that training can significantly reduce some of the email defects and improve the way people write emails. © 2004 Elsevier Ltd. All rights reserved.","author":[{"dropping-particle":"","family":"Burgess","given":"Anthony","non-dropping-particle":"","parse-names":false,"suffix":""},{"dropping-particle":"","family":"Jackson","given":"Thomas","non-dropping-particle":"","parse-names":false,"suffix":""},{"dropping-particle":"","family":"Edwards","given":"Janet","non-dropping-particle":"","parse-names":false,"suffix":""}],"container-title":"International Journal of Information Management","id":"ITEM-1","issue":"1","issued":{"date-parts":[["2005"]]},"page":"71-83","title":"Email training significantly reduces email defects","type":"article-journal","volume":"25"},"suppress-author":1,"uris":["http://www.mendeley.com/documents/?uuid=2cce7c35-8e5a-494e-bbec-6b036c87411f"]}],"mendeley":{"formattedCitation":"(2005)","manualFormatting":"2005","plainTextFormattedCitation":"(2005)","previouslyFormattedCitation":"(2005)"},"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2005</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5A984FA" w14:textId="76FFC543"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International Journal of Information Management</w:t>
            </w:r>
          </w:p>
        </w:tc>
        <w:tc>
          <w:tcPr>
            <w:tcW w:w="2268" w:type="dxa"/>
            <w:hideMark/>
          </w:tcPr>
          <w:p w14:paraId="135F5299" w14:textId="05E5ADC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“how email is used within a large organization” (p. 71) and highlight “the defects associated with email” (p. 71). They focus on “identifying email productivity and efficiency costs and generating questions on how to enhance performance throughout an organisation using electronic networks” (p. 72).</w:t>
            </w:r>
          </w:p>
        </w:tc>
        <w:tc>
          <w:tcPr>
            <w:tcW w:w="2693" w:type="dxa"/>
            <w:hideMark/>
          </w:tcPr>
          <w:p w14:paraId="4AF08103" w14:textId="0B41157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Results show “that these defects affect some groups of employees more than others” (p. 71) and that “some of these defects are related and that training can significantly reduce some of the email defects and improve the way people write emails” (p. 71). In detail, the “extents of the email defects are directly related to job grade, age and duration of employment” (p. 82).</w:t>
            </w:r>
          </w:p>
        </w:tc>
        <w:tc>
          <w:tcPr>
            <w:tcW w:w="1276" w:type="dxa"/>
            <w:hideMark/>
          </w:tcPr>
          <w:p w14:paraId="0D6AE09E" w14:textId="7CFD2CB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2,850 employees from one large, diversified technology company in the UK; 20 sender-recipient pairs (400 emails)</w:t>
            </w:r>
          </w:p>
        </w:tc>
        <w:tc>
          <w:tcPr>
            <w:tcW w:w="1276" w:type="dxa"/>
          </w:tcPr>
          <w:p w14:paraId="25939C78" w14:textId="571F48C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case study: manual content analysis, correlation analysis</w:t>
            </w:r>
          </w:p>
        </w:tc>
        <w:tc>
          <w:tcPr>
            <w:tcW w:w="995" w:type="dxa"/>
            <w:hideMark/>
          </w:tcPr>
          <w:p w14:paraId="3CCAA97B" w14:textId="364167C2"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from Lotus Notes (email application in the UK &amp; Ireland)</w:t>
            </w:r>
          </w:p>
        </w:tc>
      </w:tr>
      <w:tr w:rsidR="004B3FDE" w:rsidRPr="002E6D00" w14:paraId="6297915A" w14:textId="77777777" w:rsidTr="45483B6E">
        <w:trPr>
          <w:trHeight w:val="1134"/>
          <w:jc w:val="center"/>
        </w:trPr>
        <w:tc>
          <w:tcPr>
            <w:tcW w:w="1129" w:type="dxa"/>
            <w:noWrap/>
            <w:hideMark/>
          </w:tcPr>
          <w:p w14:paraId="082660FB" w14:textId="2FA8E35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Seshadri, S. &amp; Carstenson, L.</w:t>
            </w:r>
          </w:p>
        </w:tc>
        <w:tc>
          <w:tcPr>
            <w:tcW w:w="1418" w:type="dxa"/>
            <w:hideMark/>
          </w:tcPr>
          <w:p w14:paraId="43632D83" w14:textId="3E19C07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Perils of E-Mail Communications in Nonprofit</w:t>
            </w:r>
          </w:p>
        </w:tc>
        <w:tc>
          <w:tcPr>
            <w:tcW w:w="585" w:type="dxa"/>
            <w:noWrap/>
            <w:hideMark/>
          </w:tcPr>
          <w:p w14:paraId="4ED5DA7F" w14:textId="01A0C7CA"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{"citationItems":[{"id":"ITEM-1","itemData":{"DOI":"10.1002/nml.172","ISSN":"1048-6682","abstract":"Nonprofits typically operate in a multicultural and global environment. Critical to their success is effective communications by their leaders. But effective communications is a challenge as e‐mail has become the medium of choice for communications among most nonprofit executives. Communicating with their culturally diverse stakeholders using the less personal medium of e‐mails could be jeopardized unless nonprofit executives consciously focus on how recipients might decode their message. By understanding the interactions of the linguistic, cultural, and social processes inherent in the encoding and decoding of communications, they can attenuate misunderstandings. Learning from a series of personal and damaging e‐mails experienced by one of the authors in a global nonprofit organization, the authors underline the need to be culturally sensitive in e‐mail communications in a multicultural organization. This article highlights the challenge faced by leaders and managers of nonprofits to be direct yet polite when not communicating face‐to‐face with their stakeholders.","author":[{"dropping-particle":"","family":"Seshadri","given":"Srivatsa","non-dropping-particle":"","parse-names":false,"suffix":""},{"dropping-particle":"","family":"Carstenson","given":"Larry","non-dropping-particle":"","parse-names":false,"suffix":""}],"container-title":"Nonprofit Management and Leadership","id":"ITEM-1","issue":"1","issued":{"date-parts":[["2007","9","26"]]},"page":"77-99","title":"The perils of e‐mail communications in nonprofits","type":"article-journal","volume":"18"},"suppress-author":1,"uris":["http://www.mendeley.com/documents/?uuid=5f30bff0-2fdf-481e-93fd-e90468eaa129"]}],"mendeley":{"formattedCitation":"(2007)","manualFormatting":"2007","plainTextFormattedCitation":"(2007)","previouslyFormattedCitation":"(2007)"},"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2007</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D2C2727" w14:textId="1700F517"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Nonprofit Management &amp; Leadership</w:t>
            </w:r>
          </w:p>
        </w:tc>
        <w:tc>
          <w:tcPr>
            <w:tcW w:w="2268" w:type="dxa"/>
            <w:hideMark/>
          </w:tcPr>
          <w:p w14:paraId="42348730" w14:textId="0399C6E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highlight “the challenge faced by leaders and managers of non- profits to be direct yet polite when not communicating face-to- face with their stakeholders” (p. 77) to</w:t>
            </w:r>
          </w:p>
          <w:p w14:paraId="21E70E63" w14:textId="6DD65442"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improve email communication in multicultural environments and prevent misunderstandings.</w:t>
            </w:r>
          </w:p>
        </w:tc>
        <w:tc>
          <w:tcPr>
            <w:tcW w:w="2693" w:type="dxa"/>
            <w:hideMark/>
          </w:tcPr>
          <w:p w14:paraId="381FB253" w14:textId="106EDE4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identified multiple email perils and how to fix them, concluding that that emails are a “highly inappropriate [medium] for messages heavily laden with connotations” (p. 90). “An understanding of cultural and social norms, adhering to social norms, empathy toward the other party, and giving them the benefit of the doubt are some of the prerequisites for effective e-mail” (p. 90).</w:t>
            </w:r>
          </w:p>
        </w:tc>
        <w:tc>
          <w:tcPr>
            <w:tcW w:w="1276" w:type="dxa"/>
            <w:hideMark/>
          </w:tcPr>
          <w:p w14:paraId="76FE660A" w14:textId="4B7636A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Incident with bilateral email communication “between two [anonymized] friends” (p.79): 4 exchanges with 8 emails</w:t>
            </w:r>
          </w:p>
        </w:tc>
        <w:tc>
          <w:tcPr>
            <w:tcW w:w="1276" w:type="dxa"/>
          </w:tcPr>
          <w:p w14:paraId="2D19343A" w14:textId="37E6731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case study: manual content analysis</w:t>
            </w:r>
          </w:p>
        </w:tc>
        <w:tc>
          <w:tcPr>
            <w:tcW w:w="995" w:type="dxa"/>
            <w:hideMark/>
          </w:tcPr>
          <w:p w14:paraId="6031690A" w14:textId="0F32DB7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w:t>
            </w:r>
          </w:p>
        </w:tc>
      </w:tr>
      <w:tr w:rsidR="004B3FDE" w:rsidRPr="00F711FA" w14:paraId="668E67D6" w14:textId="77777777" w:rsidTr="45483B6E">
        <w:trPr>
          <w:trHeight w:val="1134"/>
          <w:jc w:val="center"/>
        </w:trPr>
        <w:tc>
          <w:tcPr>
            <w:tcW w:w="1129" w:type="dxa"/>
            <w:noWrap/>
            <w:hideMark/>
          </w:tcPr>
          <w:p w14:paraId="6BB01909" w14:textId="7E5A98F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Harvey</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K.J., Brown</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B., Crawford</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P., Macfarlane</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A., &amp; Mcpherson</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A.</w:t>
            </w:r>
          </w:p>
        </w:tc>
        <w:tc>
          <w:tcPr>
            <w:tcW w:w="1418" w:type="dxa"/>
            <w:hideMark/>
          </w:tcPr>
          <w:p w14:paraId="5DBD6B53" w14:textId="29DFB1B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‘Am I Normal?’ Teenagers, Sexual Health and the Internet</w:t>
            </w:r>
          </w:p>
        </w:tc>
        <w:tc>
          <w:tcPr>
            <w:tcW w:w="585" w:type="dxa"/>
            <w:noWrap/>
            <w:hideMark/>
          </w:tcPr>
          <w:p w14:paraId="46CB2F23" w14:textId="139815F9"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{"citationItems":[{"id":"ITEM-1","itemData":{"DOI":"10.1016/j.socscimed.2007.04.005","ISSN":"02779536","PMID":"17499898","abstract":"The development of new communication technologies has created a wide variety of new fields in which human beings can construct identities. The past decade has seen a proliferation of opportunities to use the internet for health related advice and information and many new sites have been created where participants can construct identities, formulate problems and seek solutions concerning health related issues. This paper will report on a study of emails written in to a UK-based website concerned with health issues for young people. Our analysis was driven by corpus linguistics, a computational methodology for interrogating extensive datasets, and we have combined both quantitative and qualitative approaches to the study of language. We interrogated a 400,000 word dataset of messages and were able to identify terms whose usage was elevated compared to the English language as a whole. As well as personal pronouns, these included many terms related to sexual health and bodily development, as well as terms such as 'normal' and 'worried' which were identified for further exploration. Whereas previous research on sexual health has discovered the use of vague terms and euphemisms, here, young people described themselves, their anatomy and their identities in meticulous detail. This study enables us to define the role of health topics raised, the presentation of health concerns, and contributes towards the discovery of a distinctive 'genre' of health messages concerning sexual health which differs from that found by other researchers concentrating on face to face encounters. In conclusion we suggest that for researchers and practitioners working in health with young people in the medium of English there could be valuable lessons in communication to be learned from examination of corpora of the health care language concerned. © 2007 Elsevier Ltd. All rights reserved.","author":[{"dropping-particle":"","family":"Harvey","given":"Kevin James","non-dropping-particle":"","parse-names":false,"suffix":""},{"dropping-particle":"","family":"Brown","given":"Brian","non-dropping-particle":"","parse-names":false,"suffix":""},{"dropping-particle":"","family":"Crawford","given":"Paul","non-dropping-particle":"","parse-names":false,"suffix":""},{"dropping-particle":"","family":"Macfarlane","given":"Aidan","non-dropping-particle":"","parse-names":false,"suffix":""},{"dropping-particle":"","family":"McPherson","given":"Ann","non-dropping-particle":"","parse-names":false,"suffix":""}],"container-title":"Social Science &amp; Medicine","id":"ITEM-1","issue":"4","issued":{"date-parts":[["2007","8"]]},"page":"771-781","title":"‘Am I normal?’ Teenagers, Sexual Health and the Internet","type":"article-journal","volume":"65"},"suppress-author":1,"uris":["http://www.mendeley.com/documents/?uuid=6fa7460a-392d-4321-9f64-d24a7246e17a"]}],"mendeley":{"formattedCitation":"(2007)","manualFormatting":"2007","plainTextFormattedCitation":"(2007)","previouslyFormattedCitation":"(2007)"},"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2007</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BDC1F56" w14:textId="5C269364"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Social Science &amp; Medicine</w:t>
            </w:r>
          </w:p>
        </w:tc>
        <w:tc>
          <w:tcPr>
            <w:tcW w:w="2268" w:type="dxa"/>
            <w:hideMark/>
          </w:tcPr>
          <w:p w14:paraId="46AB2D56" w14:textId="02647642"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aim to “define the role of health topics raised, the presentation of health concerns, and contributes towards the discovery of a distinctive ‘genre’ of health messages concerning sexual health which differs from that found by other researchers concentrating on face to face encounters” (p. 771).</w:t>
            </w:r>
          </w:p>
        </w:tc>
        <w:tc>
          <w:tcPr>
            <w:tcW w:w="2693" w:type="dxa"/>
            <w:hideMark/>
          </w:tcPr>
          <w:p w14:paraId="2FF72944" w14:textId="68DCD13D" w:rsidR="003A2397" w:rsidRPr="002E6D00" w:rsidRDefault="003A2397" w:rsidP="00777489">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authors “illustrated the role that studies informed by corpus linguistics can have for understanding subjective, culturally embedded and linguistically displayed notions of illness and health” (p. 778). </w:t>
            </w:r>
          </w:p>
        </w:tc>
        <w:tc>
          <w:tcPr>
            <w:tcW w:w="1276" w:type="dxa"/>
            <w:hideMark/>
          </w:tcPr>
          <w:p w14:paraId="13374860" w14:textId="176E919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“400,000 word corpus of emails sent to the popular adolescent health website […] (www.teenagehealthfreak.org)” (p. 773).</w:t>
            </w:r>
          </w:p>
        </w:tc>
        <w:tc>
          <w:tcPr>
            <w:tcW w:w="1276" w:type="dxa"/>
          </w:tcPr>
          <w:p w14:paraId="1FD15833" w14:textId="48A3DCC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w:t>
            </w:r>
          </w:p>
        </w:tc>
        <w:tc>
          <w:tcPr>
            <w:tcW w:w="995" w:type="dxa"/>
            <w:hideMark/>
          </w:tcPr>
          <w:p w14:paraId="76DBBA7E" w14:textId="4D308D4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Emails </w:t>
            </w:r>
          </w:p>
        </w:tc>
      </w:tr>
      <w:tr w:rsidR="004B3FDE" w:rsidRPr="002E6D00" w14:paraId="28491B3F" w14:textId="77777777" w:rsidTr="45483B6E">
        <w:trPr>
          <w:trHeight w:val="1134"/>
          <w:jc w:val="center"/>
        </w:trPr>
        <w:tc>
          <w:tcPr>
            <w:tcW w:w="1129" w:type="dxa"/>
            <w:noWrap/>
            <w:hideMark/>
          </w:tcPr>
          <w:p w14:paraId="00326486" w14:textId="55B75562"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Trier, M.</w:t>
            </w:r>
          </w:p>
        </w:tc>
        <w:tc>
          <w:tcPr>
            <w:tcW w:w="1418" w:type="dxa"/>
            <w:hideMark/>
          </w:tcPr>
          <w:p w14:paraId="28470BBF" w14:textId="1DF53205"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Towards Dynamic Visualization for Understanding Evolution of Digital Communication Networks</w:t>
            </w:r>
          </w:p>
        </w:tc>
        <w:tc>
          <w:tcPr>
            <w:tcW w:w="585" w:type="dxa"/>
            <w:noWrap/>
            <w:hideMark/>
          </w:tcPr>
          <w:p w14:paraId="489A7887" w14:textId="7FFBD29B"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{"citationItems":[{"id":"ITEM-1","itemData":{"DOI":"10.1287/isre.l080.0191","ISBN":"1526553610811","author":[{"dropping-particle":"","family":"Trier","given":"Matthias","non-dropping-particle":"","parse-names":false,"suffix":""}],"container-title":"Information Systems Research","id":"ITEM-1","issue":"3","issued":{"date-parts":[["2008"]]},"page":"335-350","title":"Towards Dynamic Visualization for Understanding Evolution of Digital Communication Networks","type":"article-journal","volume":"19"},"suppress-author":1,"uris":["http://www.mendeley.com/documents/?uuid=774322af-a24e-4249-88c0-4572d51b7fcd"]}],"mendeley":{"formattedCitation":"(2008)","manualFormatting":"2008","plainTextFormattedCitation":"(2008)","previouslyFormattedCitation":"(2008)"},"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2008</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90EA89C" w14:textId="7AF335E1"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Information Systems Research</w:t>
            </w:r>
          </w:p>
        </w:tc>
        <w:tc>
          <w:tcPr>
            <w:tcW w:w="2268" w:type="dxa"/>
            <w:hideMark/>
          </w:tcPr>
          <w:p w14:paraId="72675324" w14:textId="4008717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“(1) How can longitudinal network analysis overcome limitations and measurement artifacts of summative pictures provided by static SNA? How volatile is the formation of an online communication network and its actors' positions? (2) What processes of general </w:t>
            </w:r>
            <w:r w:rsidRPr="002E6D00">
              <w:rPr>
                <w:rFonts w:ascii="Times New Roman" w:eastAsia="Times New Roman" w:hAnsi="Times New Roman" w:cs="Times New Roman"/>
                <w:color w:val="000000" w:themeColor="text1"/>
                <w:kern w:val="0"/>
                <w:sz w:val="16"/>
                <w:szCs w:val="16"/>
                <w:lang w:val="en-US"/>
                <w14:ligatures w14:val="none"/>
              </w:rPr>
              <w:lastRenderedPageBreak/>
              <w:t>network and sub group formation can be observed and described with event-based visualization and analysis?</w:t>
            </w:r>
            <w:r w:rsidRPr="002E6D00">
              <w:rPr>
                <w:rFonts w:ascii="Times New Roman" w:eastAsia="Times New Roman" w:hAnsi="Times New Roman" w:cs="Times New Roman"/>
                <w:color w:val="000000" w:themeColor="text1"/>
                <w:kern w:val="0"/>
                <w:sz w:val="16"/>
                <w:szCs w:val="16"/>
                <w:lang w:val="en-US"/>
                <w14:ligatures w14:val="none"/>
              </w:rPr>
              <w:br/>
              <w:t>(3) How can event-based dynamic network analy sis evaluate actor activity, i.e., the structural impact of actors who actively broker and integrate separate parts of the corporate network? Which organizational positions have such actors?</w:t>
            </w:r>
            <w:r w:rsidRPr="002E6D00">
              <w:rPr>
                <w:rFonts w:ascii="Times New Roman" w:eastAsia="Times New Roman" w:hAnsi="Times New Roman" w:cs="Times New Roman"/>
                <w:color w:val="000000" w:themeColor="text1"/>
                <w:kern w:val="0"/>
                <w:sz w:val="16"/>
                <w:szCs w:val="16"/>
                <w:lang w:val="en-US"/>
                <w14:ligatures w14:val="none"/>
              </w:rPr>
              <w:br/>
              <w:t>(4) What is the impact of external events on the network structure and its levels of change?” (p. 336)</w:t>
            </w:r>
          </w:p>
        </w:tc>
        <w:tc>
          <w:tcPr>
            <w:tcW w:w="2693" w:type="dxa"/>
            <w:hideMark/>
          </w:tcPr>
          <w:p w14:paraId="00ED908E" w14:textId="330F98F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The author tries to “improve our understanding of dynamic phenomena in online communication and motivate novel metrics that complement Social Network Analysis” (p. 335). The author shows the following: dynamic analysis provides more detailed insights; central actors rise and fall in their centrality ranking; </w:t>
            </w:r>
            <w:r w:rsidRPr="002E6D00">
              <w:rPr>
                <w:rFonts w:ascii="Times New Roman" w:eastAsia="Times New Roman" w:hAnsi="Times New Roman" w:cs="Times New Roman"/>
                <w:color w:val="000000" w:themeColor="text1"/>
                <w:kern w:val="0"/>
                <w:sz w:val="16"/>
                <w:szCs w:val="16"/>
                <w:lang w:val="en-US"/>
                <w14:ligatures w14:val="none"/>
              </w:rPr>
              <w:lastRenderedPageBreak/>
              <w:t>disaggregating relationships into ordered series of timed events.</w:t>
            </w:r>
          </w:p>
        </w:tc>
        <w:tc>
          <w:tcPr>
            <w:tcW w:w="1276" w:type="dxa"/>
            <w:hideMark/>
          </w:tcPr>
          <w:p w14:paraId="104E6D2D" w14:textId="0E961CB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Enron Corporation: 151 actors, 19,811 email messages, 1,526 relationships </w:t>
            </w:r>
          </w:p>
        </w:tc>
        <w:tc>
          <w:tcPr>
            <w:tcW w:w="1276" w:type="dxa"/>
          </w:tcPr>
          <w:p w14:paraId="0AAC230D" w14:textId="64BC067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case study: dynamic network analysis (automated)</w:t>
            </w:r>
          </w:p>
        </w:tc>
        <w:tc>
          <w:tcPr>
            <w:tcW w:w="995" w:type="dxa"/>
            <w:hideMark/>
          </w:tcPr>
          <w:p w14:paraId="0B39178C" w14:textId="43FE37B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from Enron (internal)</w:t>
            </w:r>
          </w:p>
        </w:tc>
      </w:tr>
      <w:tr w:rsidR="004B3FDE" w:rsidRPr="00F711FA" w14:paraId="02E95008" w14:textId="77777777" w:rsidTr="45483B6E">
        <w:trPr>
          <w:trHeight w:val="1134"/>
          <w:jc w:val="center"/>
        </w:trPr>
        <w:tc>
          <w:tcPr>
            <w:tcW w:w="1129" w:type="dxa"/>
            <w:noWrap/>
            <w:hideMark/>
          </w:tcPr>
          <w:p w14:paraId="17A6FB02" w14:textId="76A4488E" w:rsidR="003A2397" w:rsidRPr="002E6D00" w:rsidRDefault="003A2397" w:rsidP="00A8347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Prabowo, R., Thelwall, M., Hellsten, I., &amp; Scharnhorst, A.</w:t>
            </w:r>
          </w:p>
        </w:tc>
        <w:tc>
          <w:tcPr>
            <w:tcW w:w="1418" w:type="dxa"/>
            <w:hideMark/>
          </w:tcPr>
          <w:p w14:paraId="7BF83B43" w14:textId="32060FE5" w:rsidR="003A2397" w:rsidRPr="002E6D00" w:rsidRDefault="003A2397" w:rsidP="00A8347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Evolving Debates in Online Communication: A Graph Analytical Approach</w:t>
            </w:r>
          </w:p>
        </w:tc>
        <w:tc>
          <w:tcPr>
            <w:tcW w:w="585" w:type="dxa"/>
            <w:noWrap/>
            <w:hideMark/>
          </w:tcPr>
          <w:p w14:paraId="7D067ABD" w14:textId="7E3FEA03" w:rsidR="003A2397" w:rsidRPr="004B3FDE" w:rsidRDefault="003A2397" w:rsidP="00A8347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{"citationItems":[{"id":"ITEM-1","itemData":{"DOI":"10.1108/10662240810912765","ISSN":"10662243","abstract":"Purpose - The aim of this paper is to analyse the structure of evolving debates in online discussion forums to see how science-related debates evolve over time. Design/methodology/approach - A graph-based approach is applied to analyse the structure of graphs of connected terms in online debates. A number of different graph properties, such as the Densification Power Law (DPL), diameter (γ) and effective diameter (δ), are used to observe the properties of the graphs over time. Findings - The graphs of connected terms obey the DPL and the effective diameters (δ) of the graphs tend to shrink as the debates progress. Slight fluctuations can occur, however, when new terms are integrated into the graphs. These two properties suggest that a graph of connected terms can be modelled through a number of blocks of terms, each of which becomes densely connected over time as indicated by δ and DPL plots. Originality/value - This paper proposes observing the dynamic changes of evolving debates by using graphs of connected terms. The structures and properties of these graphs may be useful for understanding the evolution of public debates about controversial science-related topics, such as embryonic stem cell research, and to track debates that can potentially explode into major issues. © Emerald Group Publishing Limited.","author":[{"dropping-particle":"","family":"Prabowo","given":"Rudy","non-dropping-particle":"","parse-names":false,"suffix":""},{"dropping-particle":"","family":"Thelwall","given":"Mike","non-dropping-particle":"","parse-names":false,"suffix":""},{"dropping-particle":"","family":"Hellsten","given":"Iina","non-dropping-particle":"","parse-names":false,"suffix":""},{"dropping-particle":"","family":"Scharnhorst","given":"Andrea","non-dropping-particle":"","parse-names":false,"suffix":""}],"container-title":"Internet Research","id":"ITEM-1","issue":"5","issued":{"date-parts":[["2008"]]},"page":"520-540","title":"Evolving Debates in Online Communication: A Graph Analytical Approach","type":"article-journal","volume":"18"},"suppress-author":1,"uris":["http://www.mendeley.com/documents/?uuid=9cb3cc13-7b05-4bac-b4fc-86f187bdbd13"]}],"mendeley":{"formattedCitation":"(2008)","manualFormatting":"2008","plainTextFormattedCitation":"(2008)","previouslyFormattedCitation":"(2008)"},"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2008</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C9F992C" w14:textId="0E0414E2" w:rsidR="003A2397" w:rsidRPr="004B3FDE" w:rsidRDefault="003A2397" w:rsidP="00A8347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Internet Research</w:t>
            </w:r>
          </w:p>
        </w:tc>
        <w:tc>
          <w:tcPr>
            <w:tcW w:w="2268" w:type="dxa"/>
            <w:hideMark/>
          </w:tcPr>
          <w:p w14:paraId="11C41836" w14:textId="0B245209" w:rsidR="003A2397" w:rsidRPr="002E6D00" w:rsidRDefault="003A2397" w:rsidP="00A8347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aim of this paper is to analyse the structure of evolving debates in online discussion forums to see how science-related debates evolve over time” (p. 520).</w:t>
            </w:r>
          </w:p>
        </w:tc>
        <w:tc>
          <w:tcPr>
            <w:tcW w:w="2693" w:type="dxa"/>
            <w:hideMark/>
          </w:tcPr>
          <w:p w14:paraId="2AE18066" w14:textId="482419C9" w:rsidR="003A2397" w:rsidRPr="002E6D00" w:rsidRDefault="003A2397" w:rsidP="00A8347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graphs of connected terms obey the [Densification Power Law (DPL)] and the effective diameters […] of the graphs tend to shrink as the debates progress. Slight fluctuations can occur, however, when new terms are integrated into the graphs. These two properties suggest that a graph of connected terms can be modelled through a number of blocks of terms, each of which becomes densely connected over time as indicated by [diameters] and DPL plots” (p. 520).</w:t>
            </w:r>
          </w:p>
        </w:tc>
        <w:tc>
          <w:tcPr>
            <w:tcW w:w="1276" w:type="dxa"/>
            <w:hideMark/>
          </w:tcPr>
          <w:p w14:paraId="43AE4EA7" w14:textId="5A2200B5" w:rsidR="003A2397" w:rsidRPr="002E6D00" w:rsidRDefault="003A2397" w:rsidP="00A8347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30 threads each ranging between 1 and 186 sentences; 8 bulletins each ranging between 158 and 237 sentences</w:t>
            </w:r>
          </w:p>
        </w:tc>
        <w:tc>
          <w:tcPr>
            <w:tcW w:w="1276" w:type="dxa"/>
          </w:tcPr>
          <w:p w14:paraId="32A9BF92" w14:textId="038038DB" w:rsidR="003A2397" w:rsidRPr="002E6D00" w:rsidRDefault="003A2397" w:rsidP="00A8347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network analysis</w:t>
            </w:r>
          </w:p>
        </w:tc>
        <w:tc>
          <w:tcPr>
            <w:tcW w:w="995" w:type="dxa"/>
            <w:hideMark/>
          </w:tcPr>
          <w:p w14:paraId="30568998" w14:textId="18BA0049" w:rsidR="003A2397" w:rsidRPr="002E6D00" w:rsidRDefault="003A2397" w:rsidP="00A8347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Threads, Conference of the Parties (COP3 COP10) bulletins</w:t>
            </w:r>
          </w:p>
        </w:tc>
      </w:tr>
      <w:tr w:rsidR="004B3FDE" w:rsidRPr="002E6D00" w14:paraId="18259BA8" w14:textId="77777777" w:rsidTr="45483B6E">
        <w:trPr>
          <w:trHeight w:val="1134"/>
          <w:jc w:val="center"/>
        </w:trPr>
        <w:tc>
          <w:tcPr>
            <w:tcW w:w="1129" w:type="dxa"/>
            <w:noWrap/>
            <w:hideMark/>
          </w:tcPr>
          <w:p w14:paraId="4BB00524" w14:textId="5103F4B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Zhou, L &amp; Zhang, D.</w:t>
            </w:r>
          </w:p>
        </w:tc>
        <w:tc>
          <w:tcPr>
            <w:tcW w:w="1418" w:type="dxa"/>
            <w:hideMark/>
          </w:tcPr>
          <w:p w14:paraId="3AC225CD" w14:textId="713F337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Following Linguistic Footprints: Automatic Deception Detection in Online Communication</w:t>
            </w:r>
          </w:p>
        </w:tc>
        <w:tc>
          <w:tcPr>
            <w:tcW w:w="585" w:type="dxa"/>
            <w:noWrap/>
            <w:hideMark/>
          </w:tcPr>
          <w:p w14:paraId="4530ED48" w14:textId="329F65ED"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10.1145/1378727.1389972","ISSN":"0001-0782","author":[{"dropping-particle":"","family":"Zhou","given":"Lina","non-dropping-particle":"","parse-names":false,"suffix":""},{"dropping-particle":"","family":"Zhang","given":"Dongsong","non-dropping-particle":"","parse-names":false,"suffix":""}],"container-title":"Communications of the ACM","id":"ITEM-1","issue":"9","issued":{"date-parts":[["2008","9"]]},"page":"119-122","title":"Following Linguistic Footprints: Automatic Deception Detection in Online Communication","type":"article-journal","volume":"51"},"suppress-author":1,"uris":["http://www.mendeley.com/documents/?uuid=f8a1ba37-d418-453c-929b-37fd4132b5c6"]}],"mendeley":{"formattedCitation":"(2008)","manualFormatting":"2008","plainTextFormattedCitation":"(2008)","previouslyFormattedCitation":"(2008)"},"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2008</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10BCBC3" w14:textId="71553D50"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Communications of the ACM</w:t>
            </w:r>
          </w:p>
        </w:tc>
        <w:tc>
          <w:tcPr>
            <w:tcW w:w="2268" w:type="dxa"/>
            <w:hideMark/>
          </w:tcPr>
          <w:p w14:paraId="3C949AD5" w14:textId="2A256C2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“What are effective linguistic cues to deception in online communication? Can automated computational models based on the linguistic cues effectively assist deception detection in online communication?” (p. 120)</w:t>
            </w:r>
          </w:p>
        </w:tc>
        <w:tc>
          <w:tcPr>
            <w:tcW w:w="2693" w:type="dxa"/>
            <w:hideMark/>
          </w:tcPr>
          <w:p w14:paraId="2C04B08D" w14:textId="5D9ECF4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provide a summary of cues to deception and show that they “can be context-dependent” (p. 122). Automatic deception detection becomes a promising solution considering most linguistic cues can be extracted automatically.</w:t>
            </w:r>
          </w:p>
        </w:tc>
        <w:tc>
          <w:tcPr>
            <w:tcW w:w="1276" w:type="dxa"/>
            <w:hideMark/>
          </w:tcPr>
          <w:p w14:paraId="56D1BBC9" w14:textId="7E08D9A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“[G]roups of two or more members” (p. 121).</w:t>
            </w:r>
          </w:p>
        </w:tc>
        <w:tc>
          <w:tcPr>
            <w:tcW w:w="1276" w:type="dxa"/>
          </w:tcPr>
          <w:p w14:paraId="2C6462AC" w14:textId="6C81521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w:t>
            </w:r>
          </w:p>
        </w:tc>
        <w:tc>
          <w:tcPr>
            <w:tcW w:w="995" w:type="dxa"/>
            <w:hideMark/>
          </w:tcPr>
          <w:p w14:paraId="1EEA28A2" w14:textId="31B2AA7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Electronic text messages</w:t>
            </w:r>
          </w:p>
        </w:tc>
      </w:tr>
      <w:tr w:rsidR="004B3FDE" w:rsidRPr="002E6D00" w14:paraId="1A01F033" w14:textId="77777777" w:rsidTr="00F711FA">
        <w:trPr>
          <w:trHeight w:val="410"/>
          <w:jc w:val="center"/>
        </w:trPr>
        <w:tc>
          <w:tcPr>
            <w:tcW w:w="1129" w:type="dxa"/>
            <w:noWrap/>
            <w:hideMark/>
          </w:tcPr>
          <w:p w14:paraId="75D13679" w14:textId="650FF52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Chundi</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P., Subramaniam</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M., &amp; Vasireddy</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D.K.</w:t>
            </w:r>
          </w:p>
        </w:tc>
        <w:tc>
          <w:tcPr>
            <w:tcW w:w="1418" w:type="dxa"/>
            <w:hideMark/>
          </w:tcPr>
          <w:p w14:paraId="7623B3DE" w14:textId="0B15D045"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An Approach for Temporal Analysis of Email Data Based on Segmentation</w:t>
            </w:r>
          </w:p>
        </w:tc>
        <w:tc>
          <w:tcPr>
            <w:tcW w:w="585" w:type="dxa"/>
            <w:noWrap/>
            <w:hideMark/>
          </w:tcPr>
          <w:p w14:paraId="52B84BDA" w14:textId="48492849"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{"citationItems":[{"id":"ITEM-1","itemData":{"DOI":"10.1016/j.datak.2009.04.011","ISSN":"0169023X","abstract":"Many kinds of information are hidden in email data, such as the information being exchanged, the time of exchange, and the user IDs participating in the exchange. Analyzing the email data can reveal valuable information about the social networks of a single user or multiple users, the topics being discussed, and so on. In this paper, we describe a novel approach for temporally analyzing the communication patterns embedded in email data based on time series segmentation. The approach computes egocentric communication patterns of a single user, as well as sociocentric communication patterns involving multiple users. Time series segmentation is used to uncover patterns that may span multiple time points and to study how these patterns change over time. To find egocentric patterns, the email communication of a user is represented as an item-set time series. An optimal segmentation of the item-set time series is constructed, from which patterns are extracted. To find sociocentric patterns, the email data is represented as an item-setgroup time series. Patterns involving multiple users are then extracted from an optimal segmentation of the item-setgroup time series. The proposed approach is applied to the Enron email data set, which produced very promising results. © 2009 Elsevier B.V. All rights reserved.","author":[{"dropping-particle":"","family":"Chundi","given":"Parvathi","non-dropping-particle":"","parse-names":false,"suffix":""},{"dropping-particle":"","family":"Subramaniam","given":"Mahadevan","non-dropping-particle":"","parse-names":false,"suffix":""},{"dropping-particle":"","family":"Vasireddy","given":"Dileep K.","non-dropping-particle":"","parse-names":false,"suffix":""}],"container-title":"Data and Knowledge Engineering","id":"ITEM-1","issue":"11","issued":{"date-parts":[["2009"]]},"page":"1253-1270","publisher":"Elsevier B.V.","title":"An approach for temporal analysis of email data based on segmentation","type":"article-journal","volume":"68"},"suppress-author":1,"uris":["http://www.mendeley.com/documents/?uuid=869c935b-f822-4d60-87be-a532d9c6a5f4"]}],"mendeley":{"formattedCitation":"(2009)","manualFormatting":"2009","plainTextFormattedCitation":"(2009)","previouslyFormattedCitation":"(2009)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342BBF2" w14:textId="28BBD4CC"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Data and Knowledge Engineering</w:t>
            </w:r>
          </w:p>
        </w:tc>
        <w:tc>
          <w:tcPr>
            <w:tcW w:w="2268" w:type="dxa"/>
            <w:hideMark/>
          </w:tcPr>
          <w:p w14:paraId="3230ECE9" w14:textId="753E06D7" w:rsidR="003A2397" w:rsidRPr="002E6D00" w:rsidRDefault="003A2397" w:rsidP="00423A6E">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authors “describe a novel approach for temporally analyzing the communication patterns embedded in email data based on time series segmentation” (p. 1253). They “propose an approach for performing temporal analysis of email data by using the time stamp and the sender and </w:t>
            </w:r>
            <w:r w:rsidRPr="002E6D00">
              <w:rPr>
                <w:rFonts w:ascii="Times New Roman" w:eastAsia="Times New Roman" w:hAnsi="Times New Roman" w:cs="Times New Roman"/>
                <w:color w:val="000000" w:themeColor="text1"/>
                <w:kern w:val="0"/>
                <w:sz w:val="16"/>
                <w:szCs w:val="16"/>
                <w:lang w:val="en-US"/>
                <w14:ligatures w14:val="none"/>
              </w:rPr>
              <w:lastRenderedPageBreak/>
              <w:t>recipient information” (p. 1254).</w:t>
            </w:r>
          </w:p>
        </w:tc>
        <w:tc>
          <w:tcPr>
            <w:tcW w:w="2693" w:type="dxa"/>
            <w:hideMark/>
          </w:tcPr>
          <w:p w14:paraId="19FD70C1" w14:textId="7D99F81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The author’s “experiments indicate that optimal segmentations are well-suited to capture the communication among users that is spread over multiple time points, which is crucial for computing patterns from bursty communications” (p. 1269).</w:t>
            </w:r>
          </w:p>
        </w:tc>
        <w:tc>
          <w:tcPr>
            <w:tcW w:w="1276" w:type="dxa"/>
            <w:hideMark/>
          </w:tcPr>
          <w:p w14:paraId="3BED957E" w14:textId="3C6F618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Enron corporation: 200,000 email messages exchanged between about 2,150 users</w:t>
            </w:r>
          </w:p>
        </w:tc>
        <w:tc>
          <w:tcPr>
            <w:tcW w:w="1276" w:type="dxa"/>
          </w:tcPr>
          <w:p w14:paraId="574B6565" w14:textId="7F5B9AA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case study: Automated time series segmentation</w:t>
            </w:r>
          </w:p>
        </w:tc>
        <w:tc>
          <w:tcPr>
            <w:tcW w:w="995" w:type="dxa"/>
            <w:hideMark/>
          </w:tcPr>
          <w:p w14:paraId="76AE5BBA" w14:textId="187EE60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from Enron (internal)</w:t>
            </w:r>
          </w:p>
        </w:tc>
      </w:tr>
      <w:tr w:rsidR="004B3FDE" w:rsidRPr="002E6D00" w14:paraId="4847A1FE" w14:textId="77777777" w:rsidTr="45483B6E">
        <w:trPr>
          <w:trHeight w:val="1134"/>
          <w:jc w:val="center"/>
        </w:trPr>
        <w:tc>
          <w:tcPr>
            <w:tcW w:w="1129" w:type="dxa"/>
            <w:noWrap/>
            <w:hideMark/>
          </w:tcPr>
          <w:p w14:paraId="5768914B" w14:textId="6BE50A5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Duncan-Howell, J.</w:t>
            </w:r>
          </w:p>
        </w:tc>
        <w:tc>
          <w:tcPr>
            <w:tcW w:w="1418" w:type="dxa"/>
            <w:hideMark/>
          </w:tcPr>
          <w:p w14:paraId="619ACFFF" w14:textId="2EC07A5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eCAF: A New Tool for the Conversational Analysis of Electronic Communication</w:t>
            </w:r>
          </w:p>
        </w:tc>
        <w:tc>
          <w:tcPr>
            <w:tcW w:w="585" w:type="dxa"/>
            <w:noWrap/>
            <w:hideMark/>
          </w:tcPr>
          <w:p w14:paraId="0B2A5D1B" w14:textId="62D132AF"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{"citationItems":[{"id":"ITEM-1","itemData":{"DOI":"10.1111/j.1467-8535.2008.00904.x","ISSN":"00071013","abstract":"Electronic communication is characteristically concerned with 'the message' (eM), those who send them (S), and those who receive and read them (R). This relationship could be simplified into the equation eM = S + R. When this simple equation is applied to electronic communication, several elements are added that make this straightforward act of sending and receiving a message more complex. These new elements are characteristics such as asynchronicity, unknown senders and readers, non-linear text and the absence of non-verbal cues. What is apparent is that the complexity of these messages lies in their impact outside the online environment. It is clear from the messages themselves that the information is being applied to real, authentic contexts and is not limited to the online environment. Conversational analysis frameworks must attempt to understand this complexity if the meaning of electronic messages is to be understood. This paper proposes a new conversational analysis framework, the electronic conversational analysis framework (eCAF), for use with electronic communication. The eCAF has been designed as a new methodological tool that incorporates the unique virtual-real worlds that individuals participate in and links these two locations to the phases of electronic discussions. © 2008 British Educational Communications and Technology Agency.","author":[{"dropping-particle":"","family":"Duncan-Howell","given":"Jennifer","non-dropping-particle":"","parse-names":false,"suffix":""}],"container-title":"British Journal of Educational Technology","id":"ITEM-1","issue":"6","issued":{"date-parts":[["2009"]]},"page":"1014-1027","title":"ECAF: A New Tool for the Conversational Analysis of Electronic Communication","type":"article-journal","volume":"40"},"suppress-author":1,"uris":["http://www.mendeley.com/documents/?uuid=2203dd14-0399-4c87-8ed5-bdb6ec8da27a"]}],"mendeley":{"formattedCitation":"(2009)","manualFormatting":"2009","plainTextFormattedCitation":"(2009)","previouslyFormattedCitation":"(2009)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2009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34284C3" w14:textId="41E6C2DE"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British Journal of Educational Technology</w:t>
            </w:r>
          </w:p>
        </w:tc>
        <w:tc>
          <w:tcPr>
            <w:tcW w:w="2268" w:type="dxa"/>
            <w:hideMark/>
          </w:tcPr>
          <w:p w14:paraId="59EC1045" w14:textId="41F371E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 “proposes a new conversational analysis framework, the electronic conversational analysis framework (eCAF), for use with electronic communication. The eCAF has been designed as a new methodological tool that incorporates the unique virtual/real worlds that individuals participate in and links these two locations to the phases of electronic discussions” (p. 1014).</w:t>
            </w:r>
          </w:p>
        </w:tc>
        <w:tc>
          <w:tcPr>
            <w:tcW w:w="2693" w:type="dxa"/>
            <w:hideMark/>
          </w:tcPr>
          <w:p w14:paraId="50390267" w14:textId="0503A14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 presents the new methodological tool (i.e., eCAF) and demonstrates, that “[d]iscussions that occur online should not be considered as particular to that environment but need to be contextualised as a component of the real/authentic world of the individual participants” (p. 1026).</w:t>
            </w:r>
          </w:p>
        </w:tc>
        <w:tc>
          <w:tcPr>
            <w:tcW w:w="1276" w:type="dxa"/>
            <w:hideMark/>
          </w:tcPr>
          <w:p w14:paraId="3AD9D0D8" w14:textId="20CC9FF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546 community messages from three online communities</w:t>
            </w:r>
          </w:p>
        </w:tc>
        <w:tc>
          <w:tcPr>
            <w:tcW w:w="1276" w:type="dxa"/>
          </w:tcPr>
          <w:p w14:paraId="005995EA" w14:textId="0F6E2C3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2C7965EB" w14:textId="6EBA68F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Messages from community transcripts</w:t>
            </w:r>
          </w:p>
        </w:tc>
      </w:tr>
      <w:tr w:rsidR="004B3FDE" w:rsidRPr="00F711FA" w14:paraId="7D075760" w14:textId="77777777" w:rsidTr="45483B6E">
        <w:trPr>
          <w:trHeight w:val="1134"/>
          <w:jc w:val="center"/>
        </w:trPr>
        <w:tc>
          <w:tcPr>
            <w:tcW w:w="1129" w:type="dxa"/>
            <w:noWrap/>
            <w:hideMark/>
          </w:tcPr>
          <w:p w14:paraId="7F1E5AE5" w14:textId="40371CA7" w:rsidR="003A2397" w:rsidRPr="002E6D00" w:rsidRDefault="003A2397" w:rsidP="00576827">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Riordan</w:t>
            </w:r>
            <w:r w:rsidR="00387CB2">
              <w:rPr>
                <w:rFonts w:ascii="Times New Roman" w:eastAsia="Times New Roman" w:hAnsi="Times New Roman" w:cs="Times New Roman"/>
                <w:color w:val="000000" w:themeColor="text1"/>
                <w:kern w:val="0"/>
                <w:sz w:val="16"/>
                <w:szCs w:val="16"/>
                <w14:ligatures w14:val="none"/>
              </w:rPr>
              <w:t>,</w:t>
            </w:r>
            <w:r w:rsidRPr="002E6D00">
              <w:rPr>
                <w:rFonts w:ascii="Times New Roman" w:eastAsia="Times New Roman" w:hAnsi="Times New Roman" w:cs="Times New Roman"/>
                <w:color w:val="000000" w:themeColor="text1"/>
                <w:kern w:val="0"/>
                <w:sz w:val="16"/>
                <w:szCs w:val="16"/>
                <w14:ligatures w14:val="none"/>
              </w:rPr>
              <w:t xml:space="preserve"> M. A. &amp; Kreuz</w:t>
            </w:r>
            <w:r w:rsidR="00387CB2">
              <w:rPr>
                <w:rFonts w:ascii="Times New Roman" w:eastAsia="Times New Roman" w:hAnsi="Times New Roman" w:cs="Times New Roman"/>
                <w:color w:val="000000" w:themeColor="text1"/>
                <w:kern w:val="0"/>
                <w:sz w:val="16"/>
                <w:szCs w:val="16"/>
                <w14:ligatures w14:val="none"/>
              </w:rPr>
              <w:t>,</w:t>
            </w:r>
            <w:r w:rsidRPr="002E6D00">
              <w:rPr>
                <w:rFonts w:ascii="Times New Roman" w:eastAsia="Times New Roman" w:hAnsi="Times New Roman" w:cs="Times New Roman"/>
                <w:color w:val="000000" w:themeColor="text1"/>
                <w:kern w:val="0"/>
                <w:sz w:val="16"/>
                <w:szCs w:val="16"/>
                <w14:ligatures w14:val="none"/>
              </w:rPr>
              <w:t xml:space="preserve"> R.J.</w:t>
            </w:r>
          </w:p>
        </w:tc>
        <w:tc>
          <w:tcPr>
            <w:tcW w:w="1418" w:type="dxa"/>
            <w:hideMark/>
          </w:tcPr>
          <w:p w14:paraId="4A920A49" w14:textId="3416A8E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Cues in Computer-Mediated Communication: A Corpus Analysis</w:t>
            </w:r>
          </w:p>
        </w:tc>
        <w:tc>
          <w:tcPr>
            <w:tcW w:w="585" w:type="dxa"/>
            <w:noWrap/>
            <w:hideMark/>
          </w:tcPr>
          <w:p w14:paraId="5FA17F8A" w14:textId="6A0C559A"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{"citationItems":[{"id":"ITEM-1","itemData":{"DOI":"10.1016/j.chb.2010.07.008","ISSN":"07475632","abstract":"An analysis of five contemporary corpora examines the use of several different cues in four channels of computer-mediated communication. With an in-depth corpus analysis, we show that a wealth of cues is available in online communication, and that these cues are often matched with words that have particular functions and/or semantic meanings. Using the Linguistic Inquiry and Word Count text analysis software (Pennebaker et al., 2007), we found the two largest categories represented by cue-laden words involved affect and cognitive mechanisms, suggesting that cues are largely used to indicate emotion or to disambiguate a message. We argue that learning the meaning of these cues is central to learning how people communicate nonverbally while online. © 2010 Elsevier Ltd. All rights reserved.","author":[{"dropping-particle":"","family":"Riordan","given":"Monica A.","non-dropping-particle":"","parse-names":false,"suffix":""},{"dropping-particle":"","family":"Kreuz","given":"Roger J.","non-dropping-particle":"","parse-names":false,"suffix":""}],"container-title":"Computers in Human Behavior","id":"ITEM-1","issue":"6","issued":{"date-parts":[["2010"]]},"page":"1806-1817","publisher":"Elsevier Ltd","title":"Cues in Computer-Mediated Communication: A Corpus Analysis","type":"article-journal","volume":"26"},"suppress-author":1,"uris":["http://www.mendeley.com/documents/?uuid=7eb092b7-dc0e-4744-b699-ec7888af6e6f"]}],"mendeley":{"formattedCitation":"(2010)","manualFormatting":"2010","plainTextFormattedCitation":"(2010)","previouslyFormattedCitation":"(2010)"},"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2010</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51A6B5FC" w14:textId="4DEF1DF4"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Computers in Human Behavior</w:t>
            </w:r>
          </w:p>
        </w:tc>
        <w:tc>
          <w:tcPr>
            <w:tcW w:w="2268" w:type="dxa"/>
            <w:hideMark/>
          </w:tcPr>
          <w:p w14:paraId="03A0711F" w14:textId="78D726D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iCs/>
                <w:color w:val="000000" w:themeColor="text1"/>
                <w:kern w:val="0"/>
                <w:sz w:val="16"/>
                <w:szCs w:val="16"/>
                <w:lang w:val="en-US"/>
                <w14:ligatures w14:val="none"/>
              </w:rPr>
              <w:t>“RQ1: What are the base rates of certain cues in CMC? RQ2: Are cues used differentially among different CMC channels? RQ3: Are cues used in conjunction with words that have specific functions? RQ4: Are cues used in conjunction with specific semantic categories?” (p. 1807)</w:t>
            </w:r>
          </w:p>
        </w:tc>
        <w:tc>
          <w:tcPr>
            <w:tcW w:w="2693" w:type="dxa"/>
            <w:hideMark/>
          </w:tcPr>
          <w:p w14:paraId="0BE911F2" w14:textId="3029A16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RQ1: “The average amount of cues per channel type was also low, and did not differ markedly from each other” (p. 1814).</w:t>
            </w:r>
          </w:p>
          <w:p w14:paraId="7F190BBE" w14:textId="5E38C4F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RQ2: “No significant differences were found in the use of any cues between corpora types” (p. 1815).</w:t>
            </w:r>
          </w:p>
          <w:p w14:paraId="45AAF3C9" w14:textId="4D719D92"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RQ3: “Cues do not appear to be associated with words that have certain functions. Though the sample in this study is not large enough for a more comprehensive and in-depth analysis” (p. 1816).</w:t>
            </w:r>
          </w:p>
          <w:p w14:paraId="3D206D4E" w14:textId="7675F5C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RQ4: “We did find that certain cues are associated with certain semantic content as seen in the LIWC analysis” (p. 1816).</w:t>
            </w:r>
          </w:p>
        </w:tc>
        <w:tc>
          <w:tcPr>
            <w:tcW w:w="1276" w:type="dxa"/>
            <w:hideMark/>
          </w:tcPr>
          <w:p w14:paraId="5A2BBE39" w14:textId="43895B1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Five corpora: AIR-L corpus (5,770 emails; 2,001,256 words), British Columbia conversation corpus (40 email threads; 43,374 words), Chalkhills corpus (391 emails; 83,037 words), Loyola College corpus (blogs: 54,594 words; online chat: 177,556 words; emails: 50,860 words), and Luckytown corpus (1,562 emails; 498,907 words)</w:t>
            </w:r>
          </w:p>
        </w:tc>
        <w:tc>
          <w:tcPr>
            <w:tcW w:w="1276" w:type="dxa"/>
          </w:tcPr>
          <w:p w14:paraId="45D29060" w14:textId="40CF283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(LIWC)</w:t>
            </w:r>
          </w:p>
        </w:tc>
        <w:tc>
          <w:tcPr>
            <w:tcW w:w="995" w:type="dxa"/>
            <w:hideMark/>
          </w:tcPr>
          <w:p w14:paraId="72DF5686" w14:textId="7072600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Blog posts, emails, and chats</w:t>
            </w:r>
          </w:p>
        </w:tc>
      </w:tr>
      <w:tr w:rsidR="004B3FDE" w:rsidRPr="002E6D00" w14:paraId="1C51ADE1" w14:textId="77777777" w:rsidTr="45483B6E">
        <w:trPr>
          <w:trHeight w:val="1134"/>
          <w:jc w:val="center"/>
        </w:trPr>
        <w:tc>
          <w:tcPr>
            <w:tcW w:w="1129" w:type="dxa"/>
            <w:noWrap/>
            <w:hideMark/>
          </w:tcPr>
          <w:p w14:paraId="1DAFF217" w14:textId="6F33FBC0" w:rsidR="003A2397" w:rsidRPr="002E6D00" w:rsidRDefault="003A2397" w:rsidP="00576827">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kern w:val="0"/>
                <w:sz w:val="16"/>
                <w:szCs w:val="16"/>
                <w14:ligatures w14:val="none"/>
              </w:rPr>
              <w:t>Sonnier, G.P., Mcalister, L., &amp; Rutz, O.J.</w:t>
            </w:r>
          </w:p>
        </w:tc>
        <w:tc>
          <w:tcPr>
            <w:tcW w:w="1418" w:type="dxa"/>
            <w:hideMark/>
          </w:tcPr>
          <w:p w14:paraId="01E72BB5" w14:textId="102A767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 Dynamic Model of the Effect of Online Communications on Firm Sales</w:t>
            </w:r>
          </w:p>
        </w:tc>
        <w:tc>
          <w:tcPr>
            <w:tcW w:w="585" w:type="dxa"/>
            <w:noWrap/>
            <w:hideMark/>
          </w:tcPr>
          <w:p w14:paraId="1C847FF2" w14:textId="7D3549D6"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{"citationItems":[{"id":"ITEM-1","itemData":{"DOI":"10.1287/mksc.1110.0642","ISBN":"1111300410","ISSN":"07322399","abstract":"Interpersonal communications have long been recognized as an influential source of information for consumers. Internet-based media have facilitated information exchange among firms and consumers, as well as observability and measurement of such exchanges. However, much of the research addressing online communication focuses on ratings collected from online forums. In this paper, we look beyond ratings to a more comprehensive view of online communications. We consider the sales effect of the volume of positive, negative, and neutral online communications captured by Web crawler technology and classified by automated sentiment analysis. Our modeling approach captures two key features of our data, dynamics and endogeneity. In terms of dynamics, we model daily measures of online communications about a firm and its products as contributing to a latent demand-generating stock variable. To account for the endogeneity, we extend the latent instrumental variable technique to account for dynamic endogenous regressors. Our results demonstrate a significant effect of positive, negative, and neutral online communications on daily sales performance. Failure to account for endogeneity results in a severe attenuation of the estimated effects. From a managerial perspective, we demonstrate the importance of accounting for communication valence as well as the impact of shocks to positive, negative, and neutral online communications. © 2011 INFORMS.","author":[{"dropping-particle":"","family":"Sonnier","given":"Garrett P.","non-dropping-particle":"","parse-names":false,"suffix":""},{"dropping-particle":"","family":"Mcalister","given":"Leigh","non-dropping-particle":"","parse-names":false,"suffix":""},{"dropping-particle":"","family":"Rutz","given":"Oliver J.","non-dropping-particle":"","parse-names":false,"suffix":""}],"container-title":"Marketing Science","id":"ITEM-1","issue":"4","issued":{"date-parts":[["2011"]]},"page":"702-716","title":"A Dynamic Model of the Effect of Online Communications on Firm Sales","type":"article-journal","volume":"30"},"suppress-author":1,"uris":["http://www.mendeley.com/documents/?uuid=1b4657cf-22dd-47fe-a918-867104f8b4a4"]}],"mendeley":{"formattedCitation":"(2011)","manualFormatting":"2011","plainTextFormattedCitation":"(2011)","previouslyFormattedCitation":"(2011)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222D1B71" w14:textId="4A047F90"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Marketing Science</w:t>
            </w:r>
          </w:p>
        </w:tc>
        <w:tc>
          <w:tcPr>
            <w:tcW w:w="2268" w:type="dxa"/>
            <w:hideMark/>
          </w:tcPr>
          <w:p w14:paraId="37829531" w14:textId="042D00D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develop a dynamic model of the effect of online communications on firm sales by considering “the sales effect of the volume of positive, negative and neutral online communications” (p. 702).</w:t>
            </w:r>
          </w:p>
        </w:tc>
        <w:tc>
          <w:tcPr>
            <w:tcW w:w="2693" w:type="dxa"/>
            <w:hideMark/>
          </w:tcPr>
          <w:p w14:paraId="27A25C28" w14:textId="0CA9599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authors “find significant correlations in the residual terms of the stock and online communications equations, and […] demonstrate that ignoring this endogeneity leads to severely biased estimates of the effects of online communications” (p. 704). Results “suggest that firms </w:t>
            </w:r>
            <w:r w:rsidRPr="002E6D00">
              <w:rPr>
                <w:rFonts w:ascii="Times New Roman" w:eastAsia="Times New Roman" w:hAnsi="Times New Roman" w:cs="Times New Roman"/>
                <w:color w:val="000000" w:themeColor="text1"/>
                <w:kern w:val="0"/>
                <w:sz w:val="16"/>
                <w:szCs w:val="16"/>
                <w:lang w:val="en-US"/>
                <w14:ligatures w14:val="none"/>
              </w:rPr>
              <w:lastRenderedPageBreak/>
              <w:t>seeking to initiate positive and neutral communications as part of marketing campaign may be justified in doing so [… and] that firms should proactively manage situations leading to negative comments, as such comments can result in a substantial negative impact on sales” (p. 704).</w:t>
            </w:r>
          </w:p>
        </w:tc>
        <w:tc>
          <w:tcPr>
            <w:tcW w:w="1276" w:type="dxa"/>
            <w:hideMark/>
          </w:tcPr>
          <w:p w14:paraId="5C950BC1" w14:textId="486C7AB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2,912 comments daily on average between April 1, 2007 to December 7, 2007</w:t>
            </w:r>
          </w:p>
        </w:tc>
        <w:tc>
          <w:tcPr>
            <w:tcW w:w="1276" w:type="dxa"/>
          </w:tcPr>
          <w:p w14:paraId="00487C0B" w14:textId="60A4C04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case study: Automated content analysis, sentiment analysis</w:t>
            </w:r>
          </w:p>
        </w:tc>
        <w:tc>
          <w:tcPr>
            <w:tcW w:w="995" w:type="dxa"/>
            <w:hideMark/>
          </w:tcPr>
          <w:p w14:paraId="7D8617F3" w14:textId="041A4EA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media data</w:t>
            </w:r>
          </w:p>
        </w:tc>
      </w:tr>
      <w:tr w:rsidR="004B3FDE" w:rsidRPr="002E6D00" w14:paraId="001ED1AC" w14:textId="77777777" w:rsidTr="00F711FA">
        <w:trPr>
          <w:trHeight w:val="2330"/>
          <w:jc w:val="center"/>
        </w:trPr>
        <w:tc>
          <w:tcPr>
            <w:tcW w:w="1129" w:type="dxa"/>
            <w:noWrap/>
            <w:hideMark/>
          </w:tcPr>
          <w:p w14:paraId="04885A19" w14:textId="32CF8D1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Wasiak</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J., Hicks</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B., Newnes</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L., Loftus</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C., Dong</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A., &amp; Burrow</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L.</w:t>
            </w:r>
          </w:p>
        </w:tc>
        <w:tc>
          <w:tcPr>
            <w:tcW w:w="1418" w:type="dxa"/>
            <w:hideMark/>
          </w:tcPr>
          <w:p w14:paraId="7DF51DE3" w14:textId="481425C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Managing by E-Mail: What E-Mail can do for Engineering Project Management</w:t>
            </w:r>
          </w:p>
        </w:tc>
        <w:tc>
          <w:tcPr>
            <w:tcW w:w="585" w:type="dxa"/>
            <w:noWrap/>
            <w:hideMark/>
          </w:tcPr>
          <w:p w14:paraId="3F887F22" w14:textId="40DD7242"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{"citationItems":[{"id":"ITEM-1","itemData":{"DOI":"10.1109/TEM.2010.2090160","ISSN":"00189391","abstract":"E-mails are, rightly or wrongly, a staple of the information and communication technology for managing work and collaborative activities. This paper examines the value of the content of e-mail at a project level rather than at the often-studied level of the individual user. The dataset consists of e-mails authored by an engineering team associated with a large, complex, long term, systems integration project, typical of the aerospace, marine, and defense sectors. The research applied a qualitative content analysis methodology to classify the content (what the e-mail contains) and purpose (why the e-mail was sent) of the e-mail in the dataset. The results of the content analysis were compared and contrasted with secondary evidence from interviews and project documentation to enable a time-phased analysis. The findings show that classifying e-mail content by the categories of management, information, and problem-solving transactions revealed signatures that align with project phases and, more importantly, problems encountered. Finally, we found that the purpose of e-mail is not necessarily consistent with the designated job role or responsibility of the sender or recipient. This paper contributes to empirical data on the relation between communication and project performance and the changing nature of e-mail communication throughout the lifecycle of a project. The findings point to a new way to leverage e-mail content to manage by e-mail. © 2011 IEEE.","author":[{"dropping-particle":"","family":"Wasiak","given":"James","non-dropping-particle":"","parse-names":false,"suffix":""},{"dropping-particle":"","family":"Hicks","given":"Ben","non-dropping-particle":"","parse-names":false,"suffix":""},{"dropping-particle":"","family":"Newnes","given":"Linda","non-dropping-particle":"","parse-names":false,"suffix":""},{"dropping-particle":"","family":"Loftus","given":"Craig","non-dropping-particle":"","parse-names":false,"suffix":""},{"dropping-particle":"","family":"Dong","given":"Andy","non-dropping-particle":"","parse-names":false,"suffix":""},{"dropping-particle":"","family":"Burrow","given":"Laurie","non-dropping-particle":"","parse-names":false,"suffix":""}],"container-title":"IEEE Transactions on Engineering Management","id":"ITEM-1","issue":"3","issued":{"date-parts":[["2011"]]},"page":"445-456","publisher":"IEEE","title":"Managing by E-mail: What E-Mail can do for Engineering Project Management","type":"article-journal","volume":"58"},"suppress-author":1,"uris":["http://www.mendeley.com/documents/?uuid=316bd7f6-61d0-4f8d-aeb3-6c4c4da1e765"]}],"mendeley":{"formattedCitation":"(2011)","manualFormatting":"2011","plainTextFormattedCitation":"(2011)","previouslyFormattedCitation":"(2011)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28203F4" w14:textId="3714F169"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IEEE Transactions on Engineering Management</w:t>
            </w:r>
          </w:p>
        </w:tc>
        <w:tc>
          <w:tcPr>
            <w:tcW w:w="2268" w:type="dxa"/>
            <w:hideMark/>
          </w:tcPr>
          <w:p w14:paraId="00DEA839" w14:textId="35CF284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“the value of the content of e-mail at a project level rather than at the often-studied level of the individual user” (p. 445). In doing so, they “study […] the content of e-mail to identify what topics e-mail discuss and why they are sent […] to examine lifecycle engineering activity” (p. 446).</w:t>
            </w:r>
          </w:p>
        </w:tc>
        <w:tc>
          <w:tcPr>
            <w:tcW w:w="2693" w:type="dxa"/>
            <w:hideMark/>
          </w:tcPr>
          <w:p w14:paraId="78E83A7E" w14:textId="6A24195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classifying e-mail content by the categories of management, information, and problem-solving transactions revealed signatures that align with project phases and, more importantly, problems encountered [… and] that the purpose of e-mail is not necessarily consistent with the designated job role or responsibility of the sender or recipient” (p. 445).</w:t>
            </w:r>
          </w:p>
        </w:tc>
        <w:tc>
          <w:tcPr>
            <w:tcW w:w="1276" w:type="dxa"/>
            <w:hideMark/>
          </w:tcPr>
          <w:p w14:paraId="552CDF5F" w14:textId="7425D1F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800 emails of between 19 to 937 words (total email corpus consisted of 16,000 emails between 650 senders and 1080 recipients, but sample was reduced intransparently) </w:t>
            </w:r>
          </w:p>
        </w:tc>
        <w:tc>
          <w:tcPr>
            <w:tcW w:w="1276" w:type="dxa"/>
          </w:tcPr>
          <w:p w14:paraId="33AE9A4D" w14:textId="46E730A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628414CC" w14:textId="3BF4A6C5"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w:t>
            </w:r>
          </w:p>
        </w:tc>
      </w:tr>
      <w:tr w:rsidR="004B3FDE" w:rsidRPr="00F711FA" w14:paraId="65CC4E24" w14:textId="77777777" w:rsidTr="45483B6E">
        <w:trPr>
          <w:trHeight w:val="1134"/>
          <w:jc w:val="center"/>
        </w:trPr>
        <w:tc>
          <w:tcPr>
            <w:tcW w:w="1129" w:type="dxa"/>
            <w:noWrap/>
            <w:hideMark/>
          </w:tcPr>
          <w:p w14:paraId="395E54C1" w14:textId="170E3E0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Dewall</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C.N., Buffardi</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L.E., Bonser</w:t>
            </w:r>
            <w:r w:rsidR="00387CB2">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I., &amp; Campbell, W.K.</w:t>
            </w:r>
          </w:p>
        </w:tc>
        <w:tc>
          <w:tcPr>
            <w:tcW w:w="1418" w:type="dxa"/>
            <w:hideMark/>
          </w:tcPr>
          <w:p w14:paraId="72E63C77" w14:textId="3AEAD1E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Narcissism and Implicit Attention Seeking: Evidence from Linguistic Analyses of Social Networking and Online Presentation</w:t>
            </w:r>
          </w:p>
        </w:tc>
        <w:tc>
          <w:tcPr>
            <w:tcW w:w="585" w:type="dxa"/>
            <w:noWrap/>
            <w:hideMark/>
          </w:tcPr>
          <w:p w14:paraId="05AA8CFB" w14:textId="22D01335"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{"citationItems":[{"id":"ITEM-1","itemData":{"DOI":"10.1016/j.paid.2011.03.011","ISSN":"01918869","abstract":"Two studies examined how narcissism, a personality trait marked by self-promotion, vanity, and grandiosity, related to how people communicate information about themselves online. We predicted that narcissists communicate in ways that draw attention to themselves. Specifically, we predicted that narcissistic people who used relatively few first-person singular pronouns (e.g., \"I,\" and \"me\") would display more self-promoting and sexy images of themselves on their Facebook.com profile pages (Study 1) and would use more profane and aggressive words in an online self-descriptive task (Study 2). Both studies supported this hypothesis. Implications for narcissism and online communication research are discussed. © 2011 Elsevier Ltd.","author":[{"dropping-particle":"","family":"DeWall","given":"C. Nathan","non-dropping-particle":"","parse-names":false,"suffix":""},{"dropping-particle":"","family":"Buffardi","given":"Laura E.","non-dropping-particle":"","parse-names":false,"suffix":""},{"dropping-particle":"","family":"Bonser","given":"Ian","non-dropping-particle":"","parse-names":false,"suffix":""},{"dropping-particle":"","family":"Campbell","given":"W. Keith","non-dropping-particle":"","parse-names":false,"suffix":""}],"container-title":"Personality and Individual Differences","id":"ITEM-1","issue":"1","issued":{"date-parts":[["2011"]]},"page":"57-62","publisher":"Elsevier Ltd","title":"Narcissism and Implicit Attention Seeking: Evidence from Linguistic Analyses of Social Networking and Online Presentation","type":"article-journal","volume":"51"},"suppress-author":1,"uris":["http://www.mendeley.com/documents/?uuid=91c41b99-a5d9-4235-b07d-e7951e89f7ba"]}],"mendeley":{"formattedCitation":"(2011)","manualFormatting":"2011","plainTextFormattedCitation":"(2011)","previouslyFormattedCitation":"(2011)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AEF3473" w14:textId="78F0F626"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Personality and Individual Differences</w:t>
            </w:r>
          </w:p>
        </w:tc>
        <w:tc>
          <w:tcPr>
            <w:tcW w:w="2268" w:type="dxa"/>
            <w:hideMark/>
          </w:tcPr>
          <w:p w14:paraId="45BC139E" w14:textId="5698C70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“how narcissism, a personality trait marked by self-pro- motion, vanity, and grandiosity, relates to how people communicate information about themselves online” (p. 57).</w:t>
            </w:r>
          </w:p>
        </w:tc>
        <w:tc>
          <w:tcPr>
            <w:tcW w:w="2693" w:type="dxa"/>
            <w:hideMark/>
          </w:tcPr>
          <w:p w14:paraId="5B496758" w14:textId="31356934" w:rsidR="003A2397" w:rsidRPr="002E6D00" w:rsidRDefault="003A2397" w:rsidP="00714F3D">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narcissists shift their linguistic style according to the amount of first- person singular pronouns they use in an online self-description activity. When narcissists used a low number of first-person singular pronouns, they drew attention to themselves by using higher numbers of profane and aggressive words in narratives about themselves. When narcissists had already drawn attention to themselves by using a high number of first-person singular pro- nouns, however, they did not use higher numbers of profane and aggressive words in their narratives. Thus, narcissistic participants displayed signs of implicit compensation as a means of drawing possible attention to the self when attention was not forthcoming” (p. 60).</w:t>
            </w:r>
          </w:p>
        </w:tc>
        <w:tc>
          <w:tcPr>
            <w:tcW w:w="1276" w:type="dxa"/>
            <w:hideMark/>
          </w:tcPr>
          <w:p w14:paraId="081415D5" w14:textId="3873518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‘About me’ sections from 80 (4,854 words) undergraduate Facebook.com users (including one user’s photo per page)</w:t>
            </w:r>
          </w:p>
        </w:tc>
        <w:tc>
          <w:tcPr>
            <w:tcW w:w="1276" w:type="dxa"/>
          </w:tcPr>
          <w:p w14:paraId="207E3196" w14:textId="0457542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Automated content analysis (LIWC), manual image analysis, </w:t>
            </w:r>
          </w:p>
        </w:tc>
        <w:tc>
          <w:tcPr>
            <w:tcW w:w="995" w:type="dxa"/>
            <w:hideMark/>
          </w:tcPr>
          <w:p w14:paraId="3301C416" w14:textId="7DC5753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media data: ‘About me’ section on Facebook page; profile pictures</w:t>
            </w:r>
          </w:p>
        </w:tc>
      </w:tr>
      <w:tr w:rsidR="004B3FDE" w:rsidRPr="002E6D00" w14:paraId="2CC8E787" w14:textId="77777777" w:rsidTr="45483B6E">
        <w:trPr>
          <w:trHeight w:val="1134"/>
          <w:jc w:val="center"/>
        </w:trPr>
        <w:tc>
          <w:tcPr>
            <w:tcW w:w="1129" w:type="dxa"/>
            <w:noWrap/>
            <w:hideMark/>
          </w:tcPr>
          <w:p w14:paraId="69DEA639" w14:textId="51A6AA1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Oates, S.</w:t>
            </w:r>
          </w:p>
        </w:tc>
        <w:tc>
          <w:tcPr>
            <w:tcW w:w="1418" w:type="dxa"/>
            <w:hideMark/>
          </w:tcPr>
          <w:p w14:paraId="1D9BCF2C" w14:textId="6EED2E5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Political Challengers or Political Outcasts?: Comparing Online Communication </w:t>
            </w:r>
            <w:r w:rsidRPr="002E6D00">
              <w:rPr>
                <w:rFonts w:ascii="Times New Roman" w:eastAsia="Times New Roman" w:hAnsi="Times New Roman" w:cs="Times New Roman"/>
                <w:color w:val="000000" w:themeColor="text1"/>
                <w:kern w:val="0"/>
                <w:sz w:val="16"/>
                <w:szCs w:val="16"/>
                <w:lang w:val="en-US"/>
                <w14:ligatures w14:val="none"/>
              </w:rPr>
              <w:lastRenderedPageBreak/>
              <w:t>for the Communist Party of the Russian Federation and the British Liberal Democrats</w:t>
            </w:r>
          </w:p>
        </w:tc>
        <w:tc>
          <w:tcPr>
            <w:tcW w:w="585" w:type="dxa"/>
            <w:noWrap/>
            <w:hideMark/>
          </w:tcPr>
          <w:p w14:paraId="7D678520" w14:textId="292690A7"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lastRenderedPageBreak/>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{"citationItems":[{"id":"ITEM-1","itemData":{"DOI":"10.1080/09668136.2012.712277","ISSN":"0966-8136","abstract":"This article compares the web presence of the Communist Party of the Russian Federation and the British Liberal Democrats in order both to analyse the ability of the internet to strengthen parties as political institutions as well as to reflect upon the relative democratic value of parties online in different types of regimes. The article compares the party websites in early 2010 through an analysis of online audience, web links, content posted by parties and user-generated material linked to the two parties. The research found that the online potential of party communication, despite the universal availability of powerful tools of information distribution and social networking opportunities, was far more closely tied to national political culture than to cyber-culture in general. The Communist Party web activity tended to parallel the party activity offline, failing to craft the appearance of a more modern or inclusive party. At the same time, supporters of the British Liberal Democrats made greater use of external social networking and were apparently more connected with the broader political sphere, although perhaps at the expense of party branding and control. The findings demonstrate the need to understand how national political organisations and attitudes can play a much stronger role than technological potential in shaping the democratising forces of the online sphere.The author gratefully acknowledges the support of grants from the British Academy (International Potential, National Limits: Investigating the Role of the Russian Internet in Constraining the Social Agenda), the Carnegie Trust for the Universities of Scotland (Decoding the Online Sphere in the Post-Soviet Region), and the UK Economic and Social Research Council (RES-000-22-4159, The Internet and Everyday Rights in Russia) in research for this article. © 2012 Copyright Taylor and Francis Group, LLC.","author":[{"dropping-particle":"","family":"Oates","given":"Sarah","non-dropping-particle":"","parse-names":false,"suffix":""}],"container-title":"Europe-Asia Studies","id":"ITEM-1","issue":"8","issued":{"date-parts":[["2012","10"]]},"page":"1460-1485","title":"Political Challengers or Political Outcasts?: Comparing Online Communication for the Communist Party of the Russian Federation and the British Liberal Democrats","type":"article-journal","volume":"64"},"suppress-author":1,"uris":["http://www.mendeley.com/documents/?uuid=612e2a39-8fea-49cc-9e59-74aaeb2912fa"]}],"mendeley":{"formattedCitation":"(2012)","manualFormatting":"2012","plainTextFormattedCitation":"(2012)","previouslyFormattedCitation":"(2012)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76B1B08" w14:textId="79874517"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Europe-Asia Studies</w:t>
            </w:r>
          </w:p>
        </w:tc>
        <w:tc>
          <w:tcPr>
            <w:tcW w:w="2268" w:type="dxa"/>
            <w:hideMark/>
          </w:tcPr>
          <w:p w14:paraId="32F8C5DE" w14:textId="7FD5FAC3"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 “compares the web presence of the Communist Party of the Russian Federation and the British Liberal Democrats in order both to analyse the ability of the </w:t>
            </w:r>
            <w:r w:rsidRPr="002E6D00">
              <w:rPr>
                <w:rFonts w:ascii="Times New Roman" w:eastAsia="Times New Roman" w:hAnsi="Times New Roman" w:cs="Times New Roman"/>
                <w:color w:val="000000" w:themeColor="text1"/>
                <w:kern w:val="0"/>
                <w:sz w:val="16"/>
                <w:szCs w:val="16"/>
                <w:lang w:val="en-US"/>
                <w14:ligatures w14:val="none"/>
              </w:rPr>
              <w:lastRenderedPageBreak/>
              <w:t>internet to strengthen parties as political institutions as well as to reflect upon the relative democratic value of parties online in different types of regimes” (p. 1460).</w:t>
            </w:r>
          </w:p>
        </w:tc>
        <w:tc>
          <w:tcPr>
            <w:tcW w:w="2693" w:type="dxa"/>
            <w:hideMark/>
          </w:tcPr>
          <w:p w14:paraId="0CCBA5D3" w14:textId="03F8858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The author shows “that the online potential of party communication, despite the universal availability of powerful tools of information distribution and social networking opportunities, was far more closely </w:t>
            </w:r>
            <w:r w:rsidRPr="002E6D00">
              <w:rPr>
                <w:rFonts w:ascii="Times New Roman" w:eastAsia="Times New Roman" w:hAnsi="Times New Roman" w:cs="Times New Roman"/>
                <w:color w:val="000000" w:themeColor="text1"/>
                <w:kern w:val="0"/>
                <w:sz w:val="16"/>
                <w:szCs w:val="16"/>
                <w:lang w:val="en-US"/>
                <w14:ligatures w14:val="none"/>
              </w:rPr>
              <w:lastRenderedPageBreak/>
              <w:t>tied to national political culture than to cyber-culture in general” (p. 1460).</w:t>
            </w:r>
          </w:p>
        </w:tc>
        <w:tc>
          <w:tcPr>
            <w:tcW w:w="1276" w:type="dxa"/>
            <w:hideMark/>
          </w:tcPr>
          <w:p w14:paraId="10184320" w14:textId="1025143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Two websites: The Liberal Democrat web forum and the Communist Party web </w:t>
            </w:r>
            <w:r w:rsidRPr="002E6D00">
              <w:rPr>
                <w:rFonts w:ascii="Times New Roman" w:eastAsia="Times New Roman" w:hAnsi="Times New Roman" w:cs="Times New Roman"/>
                <w:color w:val="000000" w:themeColor="text1"/>
                <w:kern w:val="0"/>
                <w:sz w:val="16"/>
                <w:szCs w:val="16"/>
                <w:lang w:val="en-US"/>
                <w14:ligatures w14:val="none"/>
              </w:rPr>
              <w:lastRenderedPageBreak/>
              <w:t>forum (193,884 forum posts)</w:t>
            </w:r>
          </w:p>
        </w:tc>
        <w:tc>
          <w:tcPr>
            <w:tcW w:w="1276" w:type="dxa"/>
          </w:tcPr>
          <w:p w14:paraId="747583E6" w14:textId="018347A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Manual content analysis, automated web link analysis (networks) </w:t>
            </w:r>
          </w:p>
        </w:tc>
        <w:tc>
          <w:tcPr>
            <w:tcW w:w="995" w:type="dxa"/>
            <w:hideMark/>
          </w:tcPr>
          <w:p w14:paraId="533B80CC" w14:textId="19768FC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Websites</w:t>
            </w:r>
          </w:p>
        </w:tc>
      </w:tr>
      <w:tr w:rsidR="004B3FDE" w:rsidRPr="002E6D00" w14:paraId="71F04E53" w14:textId="77777777" w:rsidTr="45483B6E">
        <w:trPr>
          <w:trHeight w:val="1134"/>
          <w:jc w:val="center"/>
        </w:trPr>
        <w:tc>
          <w:tcPr>
            <w:tcW w:w="1129" w:type="dxa"/>
            <w:noWrap/>
            <w:hideMark/>
          </w:tcPr>
          <w:p w14:paraId="32670295" w14:textId="58D8916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Cheshin, A., Kim, Y., Bos, N.D., Ning, N., &amp; Olson, J.S.</w:t>
            </w:r>
          </w:p>
        </w:tc>
        <w:tc>
          <w:tcPr>
            <w:tcW w:w="1418" w:type="dxa"/>
            <w:hideMark/>
          </w:tcPr>
          <w:p w14:paraId="34DACE1E" w14:textId="0B167DB1"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Emergence of Differing Electronic Communication Norms Within Partially Distributed Teams</w:t>
            </w:r>
          </w:p>
        </w:tc>
        <w:tc>
          <w:tcPr>
            <w:tcW w:w="585" w:type="dxa"/>
            <w:noWrap/>
            <w:hideMark/>
          </w:tcPr>
          <w:p w14:paraId="49223362" w14:textId="7B693F98"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{"citationItems":[{"id":"ITEM-1","itemData":{"DOI":"10.1027/1866-5888/a000076","ISSN":"1866-5888","abstract":"Modern organizations often consist of teams in which some people are collocated and some are remote. These teams are in-between being entirely virtual to entirely face-to-face and are referred to as partially distributed teams. Partially distributed teams function and operate in two different media environments, varying in availability of communication channels. These media environments may encourage different communication patterns, widening a gap produced by distance. In two laboratory studies we demonstrate that different electronic communication norms (ECNs) emerge among members of the same team based on their media environments. Most of the norms regarding use of electronic communication persisted even when media environment was changed. This difference in ECNs might serve as an additional faultline, causing an additional rift within distributed teams.","author":[{"dropping-particle":"","family":"Cheshin","given":"Arik","non-dropping-particle":"","parse-names":false,"suffix":""},{"dropping-particle":"","family":"Kim","given":"Yongsuk","non-dropping-particle":"","parse-names":false,"suffix":""},{"dropping-particle":"","family":"Bos","given":"Nathan D.","non-dropping-particle":"","parse-names":false,"suffix":""},{"dropping-particle":"","family":"Ning","given":"Nan","non-dropping-particle":"","parse-names":false,"suffix":""},{"dropping-particle":"","family":"Olson","given":"Judith S.","non-dropping-particle":"","parse-names":false,"suffix":""}],"container-title":"Journal of Personnel Psychology","id":"ITEM-1","issue":"1","issued":{"date-parts":[["2013","1"]]},"page":"7-21","title":"Emergence of Differing Electronic Communication Norms Within Partially Distributed Teams","type":"article-journal","volume":"12"},"suppress-author":1,"uris":["http://www.mendeley.com/documents/?uuid=8fa188f7-1d61-4ded-a80d-702450daaf0c"]}],"mendeley":{"formattedCitation":"(2013)","manualFormatting":"2013","plainTextFormattedCitation":"(2013)","previouslyFormattedCitation":"(2013)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01A1250" w14:textId="3E7749F2"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Personnel Psychology</w:t>
            </w:r>
          </w:p>
        </w:tc>
        <w:tc>
          <w:tcPr>
            <w:tcW w:w="2268" w:type="dxa"/>
            <w:hideMark/>
          </w:tcPr>
          <w:p w14:paraId="433D6D7D" w14:textId="7C65DEBE"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“goal is to demonstrate that different ECNs emerge in a single team because they are using different electronic communication media. This in turn may have consequences on trust, cooperation, subgroup divisions, and, ultimately, on team performance” (p. 8).</w:t>
            </w:r>
          </w:p>
        </w:tc>
        <w:tc>
          <w:tcPr>
            <w:tcW w:w="2693" w:type="dxa"/>
            <w:hideMark/>
          </w:tcPr>
          <w:p w14:paraId="269E39DD" w14:textId="603A157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“demonstrate that different electronic communication norms (ECNs) emerge among members of the same team based on their media environments. Most of the norms regarding use of electronic communication persisted even when media environment was changed. This difference in ECNs might serve as an additional faultline, causing an additional rift within distributed teams” (p. 7).</w:t>
            </w:r>
          </w:p>
        </w:tc>
        <w:tc>
          <w:tcPr>
            <w:tcW w:w="1276" w:type="dxa"/>
            <w:hideMark/>
          </w:tcPr>
          <w:p w14:paraId="768E3A2C" w14:textId="19BB5437"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260 participants in 2 studies (1 study: 13,257 messages exchanged of which 5,096 contained text; 2 study: not specified)</w:t>
            </w:r>
          </w:p>
        </w:tc>
        <w:tc>
          <w:tcPr>
            <w:tcW w:w="1276" w:type="dxa"/>
          </w:tcPr>
          <w:p w14:paraId="1213AC96" w14:textId="3CD4D56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automated descriptive/regression analysis</w:t>
            </w:r>
          </w:p>
        </w:tc>
        <w:tc>
          <w:tcPr>
            <w:tcW w:w="995" w:type="dxa"/>
            <w:hideMark/>
          </w:tcPr>
          <w:p w14:paraId="4D3128A0" w14:textId="570C688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w:t>
            </w:r>
          </w:p>
        </w:tc>
      </w:tr>
      <w:tr w:rsidR="004B3FDE" w:rsidRPr="00F711FA" w14:paraId="63E28846" w14:textId="77777777" w:rsidTr="45483B6E">
        <w:trPr>
          <w:trHeight w:val="1134"/>
          <w:jc w:val="center"/>
        </w:trPr>
        <w:tc>
          <w:tcPr>
            <w:tcW w:w="1129" w:type="dxa"/>
            <w:noWrap/>
            <w:hideMark/>
          </w:tcPr>
          <w:p w14:paraId="2AF9BBF1" w14:textId="676D49E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Yoo, W., Namkoong, K., Choi, M.N., Shah, D.V., Tsang, S., Hong, Y.S., Aguilar, M., &amp; Gustafson, D.H.</w:t>
            </w:r>
          </w:p>
        </w:tc>
        <w:tc>
          <w:tcPr>
            <w:tcW w:w="1418" w:type="dxa"/>
            <w:hideMark/>
          </w:tcPr>
          <w:p w14:paraId="49ABD4B5" w14:textId="1012B0A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Giving and Receiving Emotional Support Online: Communication Competence as a Moderator of Psychosocial Benefits for Women with Breast Cancer</w:t>
            </w:r>
          </w:p>
        </w:tc>
        <w:tc>
          <w:tcPr>
            <w:tcW w:w="585" w:type="dxa"/>
            <w:noWrap/>
            <w:hideMark/>
          </w:tcPr>
          <w:p w14:paraId="600BFA85" w14:textId="0B64D98B"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{"citationItems":[{"id":"ITEM-1","itemData":{"DOI":"10.1016/j.chb.2013.07.024","ISSN":"07475632","abstract":"This study examines the moderating role of emotional communication competence in the relationship between Computer-Mediated Social Support (CMSS) group participation, specifically giving and receiving emotional support, and psychological health outcomes. Data were collected as part of randomized clinical trials for women diagnosed with breast cancer within the last two months. Expression and reception of emotional support was assessed by tracking and coding the 18,064 messages that 236 patients posted and read in CMSS groups. The final data used in the analysis was created by merging (a) computer-aided content analysis of discussion posts, (b) action log data analysis of system usage, and (c) baseline and 6-month surveys collected to assess change. Results of this study demonstrate that emotional communication competence moderates the effects of expression and reception of emotional support on psychological quality of life and breast cancer-related concerns in both desired and undesired ways. Giving and receiving emotional support in CMSS groups has positive effects on emotional well-being for breast cancer patients with higher emotional communication, while the same exchanges have detrimental impacts on emotional well-being for those with lower emotional communication competence. The theoretical and practical implications for future research are discussed. © 2013 Elsevier Ltd. All rights reserved.","author":[{"dropping-particle":"","family":"Yoo","given":"Woohyun","non-dropping-particle":"","parse-names":false,"suffix":""},{"dropping-particle":"","family":"Namkoong","given":"Kang","non-dropping-particle":"","parse-names":false,"suffix":""},{"dropping-particle":"","family":"Choi","given":"Mina","non-dropping-particle":"","parse-names":false,"suffix":""},{"dropping-particle":"V.","family":"Shah","given":"Dhavan","non-dropping-particle":"","parse-names":false,"suffix":""},{"dropping-particle":"","family":"Tsang","given":"Stephanie","non-dropping-particle":"","parse-names":false,"suffix":""},{"dropping-particle":"","family":"Hong","given":"Yangsun","non-dropping-particle":"","parse-names":false,"suffix":""},{"dropping-particle":"","family":"Aguilar","given":"Michael","non-dropping-particle":"","parse-names":false,"suffix":""},{"dropping-particle":"","family":"Gustafson","given":"David H.","non-dropping-particle":"","parse-names":false,"suffix":""}],"container-title":"Computers in Human Behavior","id":"ITEM-1","issued":{"date-parts":[["2014","1"]]},"page":"13-22","publisher":"Elsevier Ltd","title":"Giving and Receiving Emotional Support Online: Communication Competence as a Moderator of Psychosocial Benefits for Women with Breast Cancer","type":"article-journal","volume":"30"},"suppress-author":1,"uris":["http://www.mendeley.com/documents/?uuid=e4b5e77a-b369-4310-9758-a5c0bcbb71b7"]}],"mendeley":{"formattedCitation":"(2014)","manualFormatting":"2014","plainTextFormattedCitation":"(2014)","previouslyFormattedCitation":"(2014)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696A731" w14:textId="0534C92D"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Computers in Human Behavior</w:t>
            </w:r>
          </w:p>
        </w:tc>
        <w:tc>
          <w:tcPr>
            <w:tcW w:w="2268" w:type="dxa"/>
            <w:hideMark/>
          </w:tcPr>
          <w:p w14:paraId="1C98EBB4" w14:textId="1E93837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“the moderating role of emotional communication competence in the relationship between Computer-Mediated Social Support (CMSS) group participation, specifically giving and receiving emotional support, and psychological health outcomes” (p. 13).</w:t>
            </w:r>
          </w:p>
        </w:tc>
        <w:tc>
          <w:tcPr>
            <w:tcW w:w="2693" w:type="dxa"/>
            <w:hideMark/>
          </w:tcPr>
          <w:p w14:paraId="31971742" w14:textId="6DAB2EF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“demonstrate that emotional communication competence moderates the effects of expression and reception of emotional support on psychological quality of life and breast cancer-related concerns in both desired and undesired ways. Giving and receiving emotional support in CMSS groups has positive effects on emotional well-being for breast cancer patients with higher emotional communication, while the same exchanges have detrimental impacts on emotional well-being for those with lower emotional communication competence” (p. 13).</w:t>
            </w:r>
          </w:p>
        </w:tc>
        <w:tc>
          <w:tcPr>
            <w:tcW w:w="1276" w:type="dxa"/>
            <w:hideMark/>
          </w:tcPr>
          <w:p w14:paraId="73A0A38E" w14:textId="25BC934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18,064 group messages from the ‘Comprehensive Health Enhancement Support System’ (CHESS) by 236 patients </w:t>
            </w:r>
          </w:p>
        </w:tc>
        <w:tc>
          <w:tcPr>
            <w:tcW w:w="1276" w:type="dxa"/>
          </w:tcPr>
          <w:p w14:paraId="7B759C0F" w14:textId="7EBF3459"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action log data analysis</w:t>
            </w:r>
          </w:p>
        </w:tc>
        <w:tc>
          <w:tcPr>
            <w:tcW w:w="995" w:type="dxa"/>
            <w:hideMark/>
          </w:tcPr>
          <w:p w14:paraId="1E84B362" w14:textId="366825F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Group messages </w:t>
            </w:r>
          </w:p>
        </w:tc>
      </w:tr>
      <w:tr w:rsidR="004B3FDE" w:rsidRPr="002E6D00" w14:paraId="1DFD4950" w14:textId="77777777" w:rsidTr="00F711FA">
        <w:trPr>
          <w:trHeight w:val="693"/>
          <w:jc w:val="center"/>
        </w:trPr>
        <w:tc>
          <w:tcPr>
            <w:tcW w:w="1129" w:type="dxa"/>
            <w:noWrap/>
            <w:hideMark/>
          </w:tcPr>
          <w:p w14:paraId="0492BED3" w14:textId="77B4E00F" w:rsidR="003A2397" w:rsidRPr="00F711FA" w:rsidRDefault="003A2397" w:rsidP="00576827">
            <w:pPr>
              <w:rPr>
                <w:rFonts w:ascii="Times New Roman" w:eastAsia="Times New Roman" w:hAnsi="Times New Roman" w:cs="Times New Roman"/>
                <w:color w:val="000000" w:themeColor="text1"/>
                <w:kern w:val="0"/>
                <w:sz w:val="16"/>
                <w:szCs w:val="16"/>
                <w14:ligatures w14:val="none"/>
              </w:rPr>
            </w:pPr>
            <w:r w:rsidRPr="00F711FA">
              <w:rPr>
                <w:rFonts w:ascii="Times New Roman" w:eastAsia="Times New Roman" w:hAnsi="Times New Roman" w:cs="Times New Roman"/>
                <w:color w:val="000000" w:themeColor="text1"/>
                <w:kern w:val="0"/>
                <w:sz w:val="16"/>
                <w:szCs w:val="16"/>
                <w14:ligatures w14:val="none"/>
              </w:rPr>
              <w:t>Skovholt, K., Grønning, A., &amp; Kankaanranta, A.</w:t>
            </w:r>
          </w:p>
        </w:tc>
        <w:tc>
          <w:tcPr>
            <w:tcW w:w="1418" w:type="dxa"/>
            <w:hideMark/>
          </w:tcPr>
          <w:p w14:paraId="0CAF4C85" w14:textId="053793F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Communicative Functions of Emoticons in Workplace E-Mails: :-)</w:t>
            </w:r>
          </w:p>
        </w:tc>
        <w:tc>
          <w:tcPr>
            <w:tcW w:w="585" w:type="dxa"/>
            <w:noWrap/>
            <w:hideMark/>
          </w:tcPr>
          <w:p w14:paraId="3C172FB5" w14:textId="1F64718B"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{"citationItems":[{"id":"ITEM-1","itemData":{"DOI":"10.1111/jcc4.12063","ISSN":"10836101","abstract":"CMC research presents emoticons as visual representations of writers' emotions. We argue that the emoticons in authentic workplace e-mails do not primarily indicate writers' emotions. Rather, they provide information about how an utterance is supposed to be interpreted. We show that emoticons function as contextualization cues, which serve to organize interpersonal relations in written interaction. They serve 3 communicative functions. First, when following signatures, emoticons function as markers of a positive attitude. Second, when following utterances that are intended to be interpreted as humorous, they are joke/irony markers. Third, they are hedges: when following expressive speech acts (such as thanks, greetings, etc.) they function as strengtheners and when following directives (such as requests, corrections, etc.) they function as softeners. © 2014 International Communication Association.","author":[{"dropping-particle":"","family":"Skovholt","given":"Karianne","non-dropping-particle":"","parse-names":false,"suffix":""},{"dropping-particle":"","family":"Grønning","given":"Anette","non-dropping-particle":"","parse-names":false,"suffix":""},{"dropping-particle":"","family":"Kankaanranta","given":"Anne","non-dropping-particle":"","parse-names":false,"suffix":""}],"container-title":"Journal of Computer-Mediated Communication","id":"ITEM-1","issue":"4","issued":{"date-parts":[["2014"]]},"page":"780-797","title":"The Communicative Functions of Emoticons in Workplace E-Mails::-)","type":"article-journal","volume":"19"},"suppress-author":1,"uris":["http://www.mendeley.com/documents/?uuid=b10cdece-c449-4667-926a-bcd87241878f"]}],"mendeley":{"formattedCitation":"(2014)","manualFormatting":"2014","plainTextFormattedCitation":"(2014)","previouslyFormattedCitation":"(2014)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08DFEBB" w14:textId="276635C6"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Computer-Mediated Communication</w:t>
            </w:r>
          </w:p>
        </w:tc>
        <w:tc>
          <w:tcPr>
            <w:tcW w:w="2268" w:type="dxa"/>
            <w:hideMark/>
          </w:tcPr>
          <w:p w14:paraId="42722CD1" w14:textId="129AC9D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authors “examine emoticons as they appear in authentic workplace e-mails. More specifically, [they] identify the communicative functions of emoticons in three different Nordic companies where employees use email as their primary tool for communication. [They] ask in which situations emoticons are used, what type of utterances are followed by emoticons, and what type of communicative </w:t>
            </w:r>
            <w:r w:rsidRPr="002E6D00">
              <w:rPr>
                <w:rFonts w:ascii="Times New Roman" w:eastAsia="Times New Roman" w:hAnsi="Times New Roman" w:cs="Times New Roman"/>
                <w:color w:val="000000" w:themeColor="text1"/>
                <w:kern w:val="0"/>
                <w:sz w:val="16"/>
                <w:szCs w:val="16"/>
                <w:lang w:val="en-US"/>
                <w14:ligatures w14:val="none"/>
              </w:rPr>
              <w:lastRenderedPageBreak/>
              <w:t>functions emoticons serve” (p. 780).</w:t>
            </w:r>
          </w:p>
        </w:tc>
        <w:tc>
          <w:tcPr>
            <w:tcW w:w="2693" w:type="dxa"/>
            <w:hideMark/>
          </w:tcPr>
          <w:p w14:paraId="312E2272" w14:textId="3F434B42"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The authors “show that emoticons function as contextualization cues, which serve to organize interpersonal relations in written interaction. They serve 3 communicative functions. First, when following signatures, emoticons function as markers of a positive attitude. Second, when following utterances that are intended to be interpreted as humorous, they are joke/irony markers. Third, they are hedges: when following expressive speech acts (such as thanks, greetings, etc.) they function as strengtheners </w:t>
            </w:r>
            <w:r w:rsidRPr="002E6D00">
              <w:rPr>
                <w:rFonts w:ascii="Times New Roman" w:eastAsia="Times New Roman" w:hAnsi="Times New Roman" w:cs="Times New Roman"/>
                <w:color w:val="000000" w:themeColor="text1"/>
                <w:kern w:val="0"/>
                <w:sz w:val="16"/>
                <w:szCs w:val="16"/>
                <w:lang w:val="en-US"/>
                <w14:ligatures w14:val="none"/>
              </w:rPr>
              <w:lastRenderedPageBreak/>
              <w:t>and when following directives (such as requests, corrections, etc.) they function as softeners” (p. 780).</w:t>
            </w:r>
          </w:p>
        </w:tc>
        <w:tc>
          <w:tcPr>
            <w:tcW w:w="1276" w:type="dxa"/>
            <w:hideMark/>
          </w:tcPr>
          <w:p w14:paraId="70221B86" w14:textId="10B010C6"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1,606 emails from three Nordic companies (491 emails from ‘Telecom’; 504 emails from ‘Codan’ and their clients; 611 internal emails from ‘Paper Group’)</w:t>
            </w:r>
          </w:p>
        </w:tc>
        <w:tc>
          <w:tcPr>
            <w:tcW w:w="1276" w:type="dxa"/>
          </w:tcPr>
          <w:p w14:paraId="094D79EC" w14:textId="178AF18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Manual content analysis (discourse analysis) </w:t>
            </w:r>
          </w:p>
        </w:tc>
        <w:tc>
          <w:tcPr>
            <w:tcW w:w="995" w:type="dxa"/>
            <w:hideMark/>
          </w:tcPr>
          <w:p w14:paraId="012906FA" w14:textId="081D8CA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(internal &amp; external)</w:t>
            </w:r>
          </w:p>
        </w:tc>
      </w:tr>
      <w:tr w:rsidR="004B3FDE" w:rsidRPr="002E6D00" w14:paraId="2BEE4E68" w14:textId="77777777" w:rsidTr="45483B6E">
        <w:trPr>
          <w:trHeight w:val="1134"/>
          <w:jc w:val="center"/>
        </w:trPr>
        <w:tc>
          <w:tcPr>
            <w:tcW w:w="1129" w:type="dxa"/>
            <w:noWrap/>
            <w:hideMark/>
          </w:tcPr>
          <w:p w14:paraId="18F24726" w14:textId="583E173B" w:rsidR="003A2397" w:rsidRPr="002E6D00" w:rsidRDefault="003A2397" w:rsidP="00576827">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Kaufmann</w:t>
            </w:r>
            <w:r w:rsidR="00903B55">
              <w:rPr>
                <w:rFonts w:ascii="Times New Roman" w:eastAsia="Times New Roman" w:hAnsi="Times New Roman" w:cs="Times New Roman"/>
                <w:color w:val="000000" w:themeColor="text1"/>
                <w:kern w:val="0"/>
                <w:sz w:val="16"/>
                <w:szCs w:val="16"/>
                <w14:ligatures w14:val="none"/>
              </w:rPr>
              <w:t>,</w:t>
            </w:r>
            <w:r w:rsidRPr="002E6D00">
              <w:rPr>
                <w:rFonts w:ascii="Times New Roman" w:eastAsia="Times New Roman" w:hAnsi="Times New Roman" w:cs="Times New Roman"/>
                <w:color w:val="000000" w:themeColor="text1"/>
                <w:kern w:val="0"/>
                <w:sz w:val="16"/>
                <w:szCs w:val="16"/>
                <w14:ligatures w14:val="none"/>
              </w:rPr>
              <w:t xml:space="preserve"> R. &amp; Buckner</w:t>
            </w:r>
            <w:r w:rsidR="00903B55">
              <w:rPr>
                <w:rFonts w:ascii="Times New Roman" w:eastAsia="Times New Roman" w:hAnsi="Times New Roman" w:cs="Times New Roman"/>
                <w:color w:val="000000" w:themeColor="text1"/>
                <w:kern w:val="0"/>
                <w:sz w:val="16"/>
                <w:szCs w:val="16"/>
                <w14:ligatures w14:val="none"/>
              </w:rPr>
              <w:t>,</w:t>
            </w:r>
            <w:r w:rsidRPr="002E6D00">
              <w:rPr>
                <w:rFonts w:ascii="Times New Roman" w:eastAsia="Times New Roman" w:hAnsi="Times New Roman" w:cs="Times New Roman"/>
                <w:color w:val="000000" w:themeColor="text1"/>
                <w:kern w:val="0"/>
                <w:sz w:val="16"/>
                <w:szCs w:val="16"/>
                <w14:ligatures w14:val="none"/>
              </w:rPr>
              <w:t xml:space="preserve"> M.M.</w:t>
            </w:r>
          </w:p>
        </w:tc>
        <w:tc>
          <w:tcPr>
            <w:tcW w:w="1418" w:type="dxa"/>
            <w:hideMark/>
          </w:tcPr>
          <w:p w14:paraId="21A04DEB" w14:textId="26F6364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To Connect or Promote?: An Exploratory Examination of Facebook Pages Dedicated to Moms</w:t>
            </w:r>
          </w:p>
        </w:tc>
        <w:tc>
          <w:tcPr>
            <w:tcW w:w="585" w:type="dxa"/>
            <w:noWrap/>
            <w:hideMark/>
          </w:tcPr>
          <w:p w14:paraId="1DD9E8AF" w14:textId="35882B2C"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{"citationItems":[{"id":"ITEM-1","itemData":{"DOI":"10.1016/j.chb.2014.02.030","ISSN":"07475632","abstract":"Mothers are increasingly using Facebook for a variety of communication functions. As an initial step toward understanding how mothers use Facebook, this exploratory study examines the types of messages mothers receive from Facebook pages solely designated for them. Using a content analysis, twelve Facebook pages and 526 administrators' posts were analyzed. The majority of pages identified purpose as conversational/ discussion starter, while the majority of administrators' posts were coded as informational/promotional. The discrepancies between the pages' and posts' purpose are considered. Directions for extending the research examining mothers and social networking sites are also suggested.","author":[{"dropping-particle":"","family":"Kaufmann","given":"Renee","non-dropping-particle":"","parse-names":false,"suffix":""},{"dropping-particle":"","family":"Buckner","given":"Marjorie M.","non-dropping-particle":"","parse-names":false,"suffix":""}],"container-title":"Computers in Human Behavior","id":"ITEM-1","issued":{"date-parts":[["2014","6"]]},"page":"479-482","publisher":"Elsevier Ltd","title":"To Connect or Promote?: An Exploratory Examination of Facebook Pages Dedicated to Moms","type":"article-journal","volume":"35"},"suppress-author":1,"uris":["http://www.mendeley.com/documents/?uuid=5ef75911-5819-49a6-a6e7-7b4e90cfdc51"]}],"mendeley":{"formattedCitation":"(2014)","manualFormatting":"2014","plainTextFormattedCitation":"(2014)","previouslyFormattedCitation":"(2014)"},"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2014</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BC03529" w14:textId="644EACD4"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Computers in Human Behavior</w:t>
            </w:r>
          </w:p>
        </w:tc>
        <w:tc>
          <w:tcPr>
            <w:tcW w:w="2268" w:type="dxa"/>
            <w:hideMark/>
          </w:tcPr>
          <w:p w14:paraId="7480A7AC" w14:textId="77777777" w:rsidR="003A2397" w:rsidRPr="002E6D00" w:rsidRDefault="003A2397" w:rsidP="0003271D">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the</w:t>
            </w:r>
          </w:p>
          <w:p w14:paraId="27C45534" w14:textId="4E31E96E" w:rsidR="003A2397" w:rsidRPr="002E6D00" w:rsidRDefault="003A2397" w:rsidP="0003271D">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nature of Facebook pages using pages dedicated to mothers as the sample as well as explore the stated purpose of those pages along with the accompanied posts by page administrators” (p. 479).</w:t>
            </w:r>
          </w:p>
        </w:tc>
        <w:tc>
          <w:tcPr>
            <w:tcW w:w="2693" w:type="dxa"/>
            <w:hideMark/>
          </w:tcPr>
          <w:p w14:paraId="32056BE1" w14:textId="77DA772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“[t]he majority of pages identified purpose as conversational/ discussion starter, while the majority of administrators’ posts were coded as informational/promotional” (p. 479).</w:t>
            </w:r>
          </w:p>
        </w:tc>
        <w:tc>
          <w:tcPr>
            <w:tcW w:w="1276" w:type="dxa"/>
            <w:hideMark/>
          </w:tcPr>
          <w:p w14:paraId="0085E76C" w14:textId="5F07AA4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12 Facebook.com pages with more than 100,000 ‘likes’ (526 posts in total)</w:t>
            </w:r>
          </w:p>
        </w:tc>
        <w:tc>
          <w:tcPr>
            <w:tcW w:w="1276" w:type="dxa"/>
          </w:tcPr>
          <w:p w14:paraId="7E82D1D9" w14:textId="330B21DC"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p w14:paraId="1DEE6349" w14:textId="77777777" w:rsidR="003A2397" w:rsidRPr="002E6D00" w:rsidRDefault="003A2397" w:rsidP="007D6D4A">
            <w:pPr>
              <w:rPr>
                <w:rFonts w:ascii="Times New Roman" w:eastAsia="Times New Roman" w:hAnsi="Times New Roman" w:cs="Times New Roman"/>
                <w:sz w:val="16"/>
                <w:szCs w:val="16"/>
                <w:lang w:val="en-US"/>
              </w:rPr>
            </w:pPr>
          </w:p>
        </w:tc>
        <w:tc>
          <w:tcPr>
            <w:tcW w:w="995" w:type="dxa"/>
            <w:hideMark/>
          </w:tcPr>
          <w:p w14:paraId="08F7F7E9" w14:textId="15E56F6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w:t>
            </w:r>
          </w:p>
        </w:tc>
      </w:tr>
      <w:tr w:rsidR="004B3FDE" w:rsidRPr="002E6D00" w14:paraId="5F8D3A8E" w14:textId="77777777" w:rsidTr="45483B6E">
        <w:trPr>
          <w:trHeight w:val="1134"/>
          <w:jc w:val="center"/>
        </w:trPr>
        <w:tc>
          <w:tcPr>
            <w:tcW w:w="1129" w:type="dxa"/>
            <w:noWrap/>
            <w:hideMark/>
          </w:tcPr>
          <w:p w14:paraId="7042BE6D" w14:textId="610E1078"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Francis</w:t>
            </w:r>
            <w:r w:rsidR="00903B55">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L., Holmvall, C.M., &amp; O’Brien, L.E.</w:t>
            </w:r>
          </w:p>
        </w:tc>
        <w:tc>
          <w:tcPr>
            <w:tcW w:w="1418" w:type="dxa"/>
            <w:hideMark/>
          </w:tcPr>
          <w:p w14:paraId="4B9042D9" w14:textId="2633B33D"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Influence of Workload and Civility of Treatment on the Perpetration of Email Incivility</w:t>
            </w:r>
          </w:p>
        </w:tc>
        <w:tc>
          <w:tcPr>
            <w:tcW w:w="585" w:type="dxa"/>
            <w:noWrap/>
            <w:hideMark/>
          </w:tcPr>
          <w:p w14:paraId="7861645B" w14:textId="4E80C64A"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{"citationItems":[{"id":"ITEM-1","itemData":{"DOI":"10.1016/j.chb.2014.12.044","ISSN":"07475632","abstract":"The consequences of experienced incivility at work are well documented. However, less is known about causal factors of incivility. Using an experimental design, we investigated the causal effects of workload (high vs. low) and civility of initial treatment (civil vs. uncivil) on the perpetration of incivility in emails. Given the prevalence of e-mail as a form of communication in office environments, and the high possibility of misattributions of sender intent through this medium, it is important to understand how incivility might manifest and be perpetrated through email. Our outcome measure of interest was independently-rated civility of response emails. We expected participants to respond with more incivility to uncivil (vs. civil) stimuli; that those with high (vs. low) workloads would perpetrate more incivility; and that high workload would exacerbate the effect of received civility on the incivility of email responses. All of our hypotheses were supported. Limitations and future research directions are discussed.","author":[{"dropping-particle":"","family":"Francis","given":"Lori","non-dropping-particle":"","parse-names":false,"suffix":""},{"dropping-particle":"","family":"Holmvall","given":"Camilla M.","non-dropping-particle":"","parse-names":false,"suffix":""},{"dropping-particle":"","family":"O'Brien","given":"Laura E.","non-dropping-particle":"","parse-names":false,"suffix":""}],"container-title":"Computers in Human Behavior","id":"ITEM-1","issued":{"date-parts":[["2015"]]},"page":"191-201","publisher":"Elsevier Ltd","title":"The influence of workload and civility of treatment on the perpetration of email incivility","type":"article-journal","volume":"46"},"suppress-author":1,"uris":["http://www.mendeley.com/documents/?uuid=2d2c5806-10af-48bd-8c35-8cd423ccff5e"]}],"mendeley":{"formattedCitation":"(2015)","manualFormatting":"2015","plainTextFormattedCitation":"(2015)","previouslyFormattedCitation":"(2015)"},"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2015</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B53FBFB" w14:textId="60D2F061" w:rsidR="003A2397" w:rsidRPr="004B3FDE" w:rsidRDefault="003A2397" w:rsidP="00576827">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Computers in Human Behavior</w:t>
            </w:r>
          </w:p>
        </w:tc>
        <w:tc>
          <w:tcPr>
            <w:tcW w:w="2268" w:type="dxa"/>
            <w:hideMark/>
          </w:tcPr>
          <w:p w14:paraId="6FF6AF03" w14:textId="14F1B6A4"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“the causal effects of workload (high vs. low) and civility of initial treatment (civil vs. uncivil) on the perpetration of incivility in emails” (p. 191).</w:t>
            </w:r>
          </w:p>
        </w:tc>
        <w:tc>
          <w:tcPr>
            <w:tcW w:w="2693" w:type="dxa"/>
            <w:hideMark/>
          </w:tcPr>
          <w:p w14:paraId="65A4F655" w14:textId="44E3E16A"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“incivility of initial treatment influences the civility of one’s response, thus demonstrating the potential for incivility exchange and escalation […]. Finally, the current findings point to workload as a situational variable that influences incivility perpetration” (p. 199).</w:t>
            </w:r>
          </w:p>
        </w:tc>
        <w:tc>
          <w:tcPr>
            <w:tcW w:w="1276" w:type="dxa"/>
            <w:hideMark/>
          </w:tcPr>
          <w:p w14:paraId="627081CA" w14:textId="563726DB"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154 emails by 77 participants “enrolled in psychology courses at a small Canadian university” (p. 194)</w:t>
            </w:r>
          </w:p>
        </w:tc>
        <w:tc>
          <w:tcPr>
            <w:tcW w:w="1276" w:type="dxa"/>
          </w:tcPr>
          <w:p w14:paraId="2BB7624A" w14:textId="209579D0"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automated correlation analysis</w:t>
            </w:r>
          </w:p>
        </w:tc>
        <w:tc>
          <w:tcPr>
            <w:tcW w:w="995" w:type="dxa"/>
            <w:hideMark/>
          </w:tcPr>
          <w:p w14:paraId="49E7E01B" w14:textId="302C39EF" w:rsidR="003A2397" w:rsidRPr="002E6D00" w:rsidRDefault="003A2397" w:rsidP="00576827">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w:t>
            </w:r>
          </w:p>
        </w:tc>
      </w:tr>
      <w:tr w:rsidR="004B3FDE" w:rsidRPr="002E6D00" w14:paraId="0EE92EC9" w14:textId="77777777" w:rsidTr="45483B6E">
        <w:trPr>
          <w:trHeight w:val="990"/>
          <w:jc w:val="center"/>
        </w:trPr>
        <w:tc>
          <w:tcPr>
            <w:tcW w:w="1129" w:type="dxa"/>
            <w:noWrap/>
            <w:hideMark/>
          </w:tcPr>
          <w:p w14:paraId="480C561E" w14:textId="2D12AC4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Al-Garadi, M.A., Varathan, K.D., &amp; Ravana, S.D.</w:t>
            </w:r>
          </w:p>
        </w:tc>
        <w:tc>
          <w:tcPr>
            <w:tcW w:w="1418" w:type="dxa"/>
            <w:hideMark/>
          </w:tcPr>
          <w:p w14:paraId="1C509265" w14:textId="7806902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Cybercrime Detection in Online Communications: The Experimental Case of Cyberbullying Detection in the Twitter Network</w:t>
            </w:r>
          </w:p>
        </w:tc>
        <w:tc>
          <w:tcPr>
            <w:tcW w:w="585" w:type="dxa"/>
            <w:noWrap/>
            <w:hideMark/>
          </w:tcPr>
          <w:p w14:paraId="5A0CE9D5" w14:textId="6797E33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{"citationItems":[{"id":"ITEM-1","itemData":{"DOI":"10.1016/j.chb.2016.05.051","ISSN":"07475632","abstract":"The popularity of online social networks has created massive social communication among their users and this leads to a huge amount of user-generated communication data. In recent years, Cyberbullying has grown into a major problem with the growth of online communication and social media. Cyberbullying has been recognized recently as a serious national health issue among online social network users and developing an efficient detection model holds tremendous practical significance. In this paper, we have proposed set of unique features derived from Twitter; network, activity, user, and tweet content, based on these feature, we developed a supervised machine learning solution for detecting cyberbullying in the Twitter. An evaluation demonstrates that our developed detection model based on our proposed features, achieved results with an area under the receiver-operating characteristic curve of 0.943 and an f-measure of 0.936. These results indicate that the proposed model based on these features provides a feasible solution to detecting Cyberbullying in online communication environments. Finally, we compare result obtained using our proposed features with the result obtained from two baseline features. The comparison outcomes show the significance of the proposed features.","author":[{"dropping-particle":"","family":"Al-Garadi","given":"Mohammed Ali","non-dropping-particle":"","parse-names":false,"suffix":""},{"dropping-particle":"","family":"Varathan","given":"Kasturi Dewi","non-dropping-particle":"","parse-names":false,"suffix":""},{"dropping-particle":"","family":"Ravana","given":"Sri Devi","non-dropping-particle":"","parse-names":false,"suffix":""}],"container-title":"Computers in Human Behavior","id":"ITEM-1","issued":{"date-parts":[["2016","10"]]},"page":"433-443","publisher":"Elsevier Ltd","title":"Cybercrime Detection in Online Communications: The Experimental Case of Cyberbullying Detection in the Twitter Network","type":"article-journal","volume":"63"},"suppress-author":1,"uris":["http://www.mendeley.com/documents/?uuid=59074719-e772-4a09-84b6-9beefdc0235e"]}],"mendeley":{"formattedCitation":"(2016)","manualFormatting":"2016","plainTextFormattedCitation":"(2016)","previouslyFormattedCitation":"(2016)"},"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2016</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C73729C" w14:textId="5338E3B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Computers in Human Behavior</w:t>
            </w:r>
          </w:p>
        </w:tc>
        <w:tc>
          <w:tcPr>
            <w:tcW w:w="2268" w:type="dxa"/>
            <w:hideMark/>
          </w:tcPr>
          <w:p w14:paraId="3400A988" w14:textId="25ADCA4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propose a “set of unique features derived from Twitter; network, activity, user, and tweet content, based on these feature, [they] developed a supervised machine learning solution for detecting cyberbullying in the Twitter” (p. 433).</w:t>
            </w:r>
          </w:p>
        </w:tc>
        <w:tc>
          <w:tcPr>
            <w:tcW w:w="2693" w:type="dxa"/>
            <w:hideMark/>
          </w:tcPr>
          <w:p w14:paraId="18749E99" w14:textId="55FFC9C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evaluated and “proposed model based on these features provides a feasible solution to detecting Cyberbullying in online communication environments” (p. 433).</w:t>
            </w:r>
          </w:p>
        </w:tc>
        <w:tc>
          <w:tcPr>
            <w:tcW w:w="1276" w:type="dxa"/>
            <w:hideMark/>
          </w:tcPr>
          <w:p w14:paraId="73A8C7BE" w14:textId="791894A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2,500,000 geo-tagged tweets of the state of California</w:t>
            </w:r>
          </w:p>
        </w:tc>
        <w:tc>
          <w:tcPr>
            <w:tcW w:w="1276" w:type="dxa"/>
          </w:tcPr>
          <w:p w14:paraId="3AC44067" w14:textId="217D59D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Both, manual (10,606 tweets) and automated content/regression analysis</w:t>
            </w:r>
          </w:p>
        </w:tc>
        <w:tc>
          <w:tcPr>
            <w:tcW w:w="995" w:type="dxa"/>
            <w:hideMark/>
          </w:tcPr>
          <w:p w14:paraId="58109321" w14:textId="380BE10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F711FA" w14:paraId="2660A5C3" w14:textId="77777777" w:rsidTr="45483B6E">
        <w:trPr>
          <w:trHeight w:val="1134"/>
          <w:jc w:val="center"/>
        </w:trPr>
        <w:tc>
          <w:tcPr>
            <w:tcW w:w="1129" w:type="dxa"/>
            <w:noWrap/>
            <w:hideMark/>
          </w:tcPr>
          <w:p w14:paraId="22B49323" w14:textId="536DB46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Floreddu,</w:t>
            </w:r>
            <w:r w:rsidR="00903B55">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P.B. &amp; Cabiddu, F.</w:t>
            </w:r>
          </w:p>
        </w:tc>
        <w:tc>
          <w:tcPr>
            <w:tcW w:w="1418" w:type="dxa"/>
            <w:hideMark/>
          </w:tcPr>
          <w:p w14:paraId="047D6F73" w14:textId="5EFB67B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Media Communication Strategies</w:t>
            </w:r>
          </w:p>
        </w:tc>
        <w:tc>
          <w:tcPr>
            <w:tcW w:w="585" w:type="dxa"/>
            <w:noWrap/>
            <w:hideMark/>
          </w:tcPr>
          <w:p w14:paraId="5B293810" w14:textId="2705C783"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{"citationItems":[{"id":"ITEM-1","itemData":{"DOI":"10.1108/JSM-01-2015-0036","ISSN":"08876045","abstract":"Purpose: While a great amount of literature has focused on the relationship between communication strategies and corporate reputation, there is no systematic research on the different kinds of social media communication strategies. Based on the corporate reputation and social media literature, this paper aims to contribute to this gap in the research in two main ways. First identifying which social media communication strategy is more effective with contrasting levels of reputations; second, analyzing the differences between high- and low-reputation companies with respect to their ability to use corporate communication. Design/methodology/approach: This paper uses a longitudinal explorative multiple-case study and theoretical sampling. The research setting is the Italian insurance context. The focus of this analysis on one medium, Facebook, because it is the most exploited in the context of the Italian insurance sector. Findings: Six complementary social media communication strategies were identified: egocentric, conversational, selective, openness, secretive and supportive. The results also reveal distinct ways in which high-, medium- and low-reputation companies’ utilize the six complementary strategies of communications. Research limitations/implications: The study is based on a single industry and on one single geographical market, and care should thus be taken in generalizing the findings to other contexts. Therefore emerges the opportunity to broaden this research to other similar service sector, such as banking, to assess and generalize the results obtained. In addition, a possible direction of research, especially from a methodological standpoint, should investigate companies from different countries. Such a comparative study would examine in depth whether and to what extent the institutional framework may impact on communication strategies implemented by companies. This study only analyzed one social media (Facebook); hence, we cannot draw firm conclusions about what may constitute a successful social media communication strategy. Practical implications: From this study, managers can learn how to combine the six communication strategies to have an effective impact on the corporate reputation. They can also learn how the number of interactions and the time taken to respond to questions from customers improve the corporate reputation and provide communication that is more effective. Originality/value: This research extends the previous literature…","author":[{"dropping-particle":"","family":"Floreddu","given":"Paola Barbara","non-dropping-particle":"","parse-names":false,"suffix":""},{"dropping-particle":"","family":"Cabiddu","given":"Francesca","non-dropping-particle":"","parse-names":false,"suffix":""}],"container-title":"Journal of Services Marketing","id":"ITEM-1","issue":"5","issued":{"date-parts":[["2016"]]},"page":"490-503","title":"Social Media Communication Strategies","type":"article-journal","volume":"30"},"suppress-author":1,"uris":["http://www.mendeley.com/documents/?uuid=c011e658-97d2-4a12-82cd-031e64a36ff7"]}],"mendeley":{"formattedCitation":"(2016)","manualFormatting":"2016","plainTextFormattedCitation":"(2016)","previouslyFormattedCitation":"(2016)"},"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2016</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57589ADF" w14:textId="784A572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Services Marketing</w:t>
            </w:r>
          </w:p>
        </w:tc>
        <w:tc>
          <w:tcPr>
            <w:tcW w:w="2268" w:type="dxa"/>
            <w:hideMark/>
          </w:tcPr>
          <w:p w14:paraId="7D3A4DC6" w14:textId="5E648E2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First, the authors identify “which social media communication strategy is more effective with contrasting levels of reputations; second, [they analyze] the differences between high- and low-reputation companies with respect to their ability to use corporate communication” (p. 490).</w:t>
            </w:r>
          </w:p>
        </w:tc>
        <w:tc>
          <w:tcPr>
            <w:tcW w:w="2693" w:type="dxa"/>
            <w:hideMark/>
          </w:tcPr>
          <w:p w14:paraId="40C6B34B" w14:textId="4BE130D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identify “[s]ix complementary social media communication strategies […]: egocentric, conversational, selective, openness, secretive and supportive. [Their] results also reveal distinct ways in which high-, medium- and low-reputation companies’ utilize the six complementary strategies of communications” (p. 490).</w:t>
            </w:r>
          </w:p>
        </w:tc>
        <w:tc>
          <w:tcPr>
            <w:tcW w:w="1276" w:type="dxa"/>
            <w:hideMark/>
          </w:tcPr>
          <w:p w14:paraId="22107BE8" w14:textId="411A658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Multiple case study: 25,000 posts/comments from 7 Italian insurance companies (Alleanza Toro: 47, Direct Line: 4,965, Genialloyd: 17,540, Genertel: 218, Linear: 157, Sara Assicurazioni: 898, Tua Assicurazioni: 723)</w:t>
            </w:r>
          </w:p>
        </w:tc>
        <w:tc>
          <w:tcPr>
            <w:tcW w:w="1276" w:type="dxa"/>
          </w:tcPr>
          <w:p w14:paraId="51E2C956" w14:textId="65AB405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automated descriptive analysis</w:t>
            </w:r>
          </w:p>
        </w:tc>
        <w:tc>
          <w:tcPr>
            <w:tcW w:w="995" w:type="dxa"/>
            <w:hideMark/>
          </w:tcPr>
          <w:p w14:paraId="092332CD" w14:textId="183A1EA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and comments </w:t>
            </w:r>
          </w:p>
        </w:tc>
      </w:tr>
      <w:tr w:rsidR="004B3FDE" w:rsidRPr="002E6D00" w14:paraId="0DE6AF76" w14:textId="77777777" w:rsidTr="45483B6E">
        <w:trPr>
          <w:trHeight w:val="1134"/>
          <w:jc w:val="center"/>
        </w:trPr>
        <w:tc>
          <w:tcPr>
            <w:tcW w:w="1129" w:type="dxa"/>
            <w:noWrap/>
            <w:hideMark/>
          </w:tcPr>
          <w:p w14:paraId="64C3E1A9" w14:textId="581DBA6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Hatzithomas, L., Fotiadis, T.A., &amp; Coudounaris, D.N.</w:t>
            </w:r>
          </w:p>
        </w:tc>
        <w:tc>
          <w:tcPr>
            <w:tcW w:w="1418" w:type="dxa"/>
            <w:hideMark/>
          </w:tcPr>
          <w:p w14:paraId="49B4F699" w14:textId="726C5E6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Standardization, Adaptation, and Personalization of International Corporate Social Media Communications</w:t>
            </w:r>
          </w:p>
        </w:tc>
        <w:tc>
          <w:tcPr>
            <w:tcW w:w="585" w:type="dxa"/>
            <w:noWrap/>
            <w:hideMark/>
          </w:tcPr>
          <w:p w14:paraId="3E651C21" w14:textId="36B4C34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{"citationItems":[{"id":"ITEM-1","itemData":{"DOI":"10.1002/mar.20944","ISBN":"0148-2963","ISSN":"0742-6046","PMID":"28443810","abstract":"This research examines both the standardization versus adaptation of Vodafone's international corporate social media communications strategy in Study 1 and consumers’ attitudes toward this strategy in Study 2. Study 1 investigates Vodafone's strategy in Facebook through a content analysis and Study 2 focuses on consumers’ attitudes through a qualitative approach of 12 Facebook fans: 6 in the UK and 6 in Greece. The findings reveal that Vodafone implements a local strategy in corporate Facebook campaigns, taking into account the cultural differences between these countries. The results also indicate that the debate on the international corporate Facebook communications strategy should extend beyond the standardization/adaptation dichotomy, pointing out the pivotal role of personalization.","author":[{"dropping-particle":"","family":"Hatzithomas","given":"Leonidas","non-dropping-particle":"","parse-names":false,"suffix":""},{"dropping-particle":"","family":"Fotiadis","given":"Thomas A.","non-dropping-particle":"","parse-names":false,"suffix":""},{"dropping-particle":"","family":"Coudounaris","given":"Dafnis N.","non-dropping-particle":"","parse-names":false,"suffix":""}],"container-title":"Psychology &amp; Marketing","id":"ITEM-1","issue":"12","issued":{"date-parts":[["2016","12","11"]]},"page":"1098-1105","title":"Standardization, Adaptation, and Personalization of International Corporate Social Media Communications","type":"article-journal","volume":"33"},"suppress-author":1,"uris":["http://www.mendeley.com/documents/?uuid=0cb83789-bf81-49a8-8237-5a1cc534f248"]}],"mendeley":{"formattedCitation":"(2016)","manualFormatting":"2016","plainTextFormattedCitation":"(2016)","previouslyFormattedCitation":"(2016)"},"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2016</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7F501F1" w14:textId="79A75A01"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Psychology &amp; Marketing</w:t>
            </w:r>
          </w:p>
        </w:tc>
        <w:tc>
          <w:tcPr>
            <w:tcW w:w="2268" w:type="dxa"/>
            <w:hideMark/>
          </w:tcPr>
          <w:p w14:paraId="1D58603B" w14:textId="3809DF6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“RQ1: What is the degree of standardization of creative strategies and executional elements in Vodafone’s corporate Facebook posts in the United Kingdom and Greece?” (p. 1100).</w:t>
            </w:r>
            <w:r w:rsidRPr="002E6D00">
              <w:rPr>
                <w:rFonts w:ascii="Times New Roman" w:eastAsia="Times New Roman" w:hAnsi="Times New Roman" w:cs="Times New Roman"/>
                <w:color w:val="000000" w:themeColor="text1"/>
                <w:kern w:val="0"/>
                <w:sz w:val="16"/>
                <w:szCs w:val="16"/>
                <w:lang w:val="en-US"/>
                <w14:ligatures w14:val="none"/>
              </w:rPr>
              <w:br/>
              <w:t>“RQ2: How do standardized (vs. adapted) creative strategies and executions of Vodafone’s corporate Facebook posts affect consumers’ attitudes, perceptions, and beliefs in the United Kingdom and Greece?” (p. 1102).</w:t>
            </w:r>
          </w:p>
        </w:tc>
        <w:tc>
          <w:tcPr>
            <w:tcW w:w="2693" w:type="dxa"/>
            <w:hideMark/>
          </w:tcPr>
          <w:p w14:paraId="62707D91" w14:textId="3666BA9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Vodafone implements a local strategy in corporate Facebook campaigns, taking into account the cultural differences between these countries. The results also indicate that the debate on the international corporate Facebook communications strategy should extend beyond the standardization/adaptation dichotomy, pointing out the pivotal role of personalization” (p. 1098).</w:t>
            </w:r>
          </w:p>
        </w:tc>
        <w:tc>
          <w:tcPr>
            <w:tcW w:w="1276" w:type="dxa"/>
            <w:hideMark/>
          </w:tcPr>
          <w:p w14:paraId="325A8197" w14:textId="4F196D2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Single case study: 600 Facebook.com posts (and comments) from Vodafone’s official corporate Facebook pages (UK and Greece) </w:t>
            </w:r>
          </w:p>
        </w:tc>
        <w:tc>
          <w:tcPr>
            <w:tcW w:w="1276" w:type="dxa"/>
          </w:tcPr>
          <w:p w14:paraId="47E5417F" w14:textId="1319FB2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4CC71E6A" w14:textId="58BCA16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and comments </w:t>
            </w:r>
          </w:p>
        </w:tc>
      </w:tr>
      <w:tr w:rsidR="004B3FDE" w:rsidRPr="00F711FA" w14:paraId="393C3459" w14:textId="77777777" w:rsidTr="45483B6E">
        <w:trPr>
          <w:trHeight w:val="1134"/>
          <w:jc w:val="center"/>
        </w:trPr>
        <w:tc>
          <w:tcPr>
            <w:tcW w:w="1129" w:type="dxa"/>
            <w:noWrap/>
            <w:hideMark/>
          </w:tcPr>
          <w:p w14:paraId="65E60B5F" w14:textId="47667D5E" w:rsidR="003A2397" w:rsidRPr="002E6D00" w:rsidRDefault="003A2397" w:rsidP="00071683">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Duvanova, D., Nikolaev, A., Nikolsko-Rzhevskyy, A., &amp; Semenov, A.</w:t>
            </w:r>
          </w:p>
        </w:tc>
        <w:tc>
          <w:tcPr>
            <w:tcW w:w="1418" w:type="dxa"/>
            <w:hideMark/>
          </w:tcPr>
          <w:p w14:paraId="454F1C9E" w14:textId="1DFCA5B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Violent Conflict and Online Segregation: An Analysis Of Social Network Communication Across Ukraine’s Regions</w:t>
            </w:r>
          </w:p>
        </w:tc>
        <w:tc>
          <w:tcPr>
            <w:tcW w:w="585" w:type="dxa"/>
            <w:noWrap/>
            <w:hideMark/>
          </w:tcPr>
          <w:p w14:paraId="0709C2D4" w14:textId="1B038125"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{"citationItems":[{"id":"ITEM-1","itemData":{"DOI":"10.1016/j.jce.2015.10.003","ISSN":"10957227","abstract":"Does the intensity of a social conflict affect political division? Traditionally, social cleavages are seen as the underlying cause of political conflicts. It is clear, however, that a violent conflict itself can shape partisan, social, and national identities. In this paper, we ask whether social conflicts unite or divide the society by studying the effects of Ukraine's military conflict with Russia on online social ties between Ukrainian provinces (oblasts). In order to do that, we collected original data on the cross-regional structure of politically relevant online communication among users of VKontakte social networking site. We analyze the panel of provinces spanning the most active phases of domestic protests and military conflict and isolate the effects of province-specific war casualties on the nature of inter-provincial online communication. The results show that war casualties entice strong emotional response in the corresponding provinces, but do not necessarily increase the level of social cohesion in inter-provincial online communication. We find that the intensity of military conflict entices online activism, but activates regional rather than nation-wide network connections. We also find that military conflict tends to polarize some regions of Ukraine, especially in the East. Our research brings attention to the underexplored areas in the study of civil conflict and political identities by documenting the ways the former may affect the latter.","author":[{"dropping-particle":"","family":"Duvanova","given":"Dinissa","non-dropping-particle":"","parse-names":false,"suffix":""},{"dropping-particle":"","family":"Nikolaev","given":"Alexander","non-dropping-particle":"","parse-names":false,"suffix":""},{"dropping-particle":"","family":"Nikolsko-Rzhevskyy","given":"Alex","non-dropping-particle":"","parse-names":false,"suffix":""},{"dropping-particle":"","family":"Semenov","given":"Alexander","non-dropping-particle":"","parse-names":false,"suffix":""}],"container-title":"Journal of Comparative Economics","id":"ITEM-1","issue":"1","issued":{"date-parts":[["2016"]]},"page":"163-181","publisher":"Elsevier Inc.","title":"Violent Conflict and Online Segregation: An Analysis of Social Network Communication Across Ukraine's Regions","type":"article-journal","volume":"44"},"suppress-author":1,"uris":["http://www.mendeley.com/documents/?uuid=68c215f0-3faf-4fda-8c7e-0a909ac1fde1"]}],"mendeley":{"formattedCitation":"(2016)","manualFormatting":"2016","plainTextFormattedCitation":"(2016)","previouslyFormattedCitation":"(2016)"},"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2016</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C83E1EF" w14:textId="37819C3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Comparative Economics</w:t>
            </w:r>
          </w:p>
        </w:tc>
        <w:tc>
          <w:tcPr>
            <w:tcW w:w="2268" w:type="dxa"/>
            <w:hideMark/>
          </w:tcPr>
          <w:p w14:paraId="0A7F5A08" w14:textId="238FCEB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“analyze the panel of provinces spanning the most active phases of domestic protests and military conflict and isolate the effects of province-specific war casualties on the nature of inter-provincial online communication” (p. 163)</w:t>
            </w:r>
          </w:p>
        </w:tc>
        <w:tc>
          <w:tcPr>
            <w:tcW w:w="2693" w:type="dxa"/>
            <w:hideMark/>
          </w:tcPr>
          <w:p w14:paraId="52AD8DF7" w14:textId="3CBE8D1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“war casualties entice strong emotional response in the corresponding provinces, but do not necessarily increase the level of social cohesion in inter-provincial online communication. [They] find that the intensity of military conflict entices online activism, but activates regional rather than nation-wide network connections. [They] also find that military conflict tends to polarize some regions of Ukraine, especially in the East” (p. 163).</w:t>
            </w:r>
          </w:p>
        </w:tc>
        <w:tc>
          <w:tcPr>
            <w:tcW w:w="1276" w:type="dxa"/>
            <w:hideMark/>
          </w:tcPr>
          <w:p w14:paraId="24840D05" w14:textId="78E21D7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14,777 communities from VKontakte (19,430,445 wall posts; 62,193,711 comments)</w:t>
            </w:r>
          </w:p>
        </w:tc>
        <w:tc>
          <w:tcPr>
            <w:tcW w:w="1276" w:type="dxa"/>
          </w:tcPr>
          <w:p w14:paraId="792219DF" w14:textId="3C966EC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descriptive analysis, regression analysis</w:t>
            </w:r>
          </w:p>
        </w:tc>
        <w:tc>
          <w:tcPr>
            <w:tcW w:w="995" w:type="dxa"/>
            <w:hideMark/>
          </w:tcPr>
          <w:p w14:paraId="090FABBD" w14:textId="0C50AFB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media posts from VKontakte (vk.com)</w:t>
            </w:r>
          </w:p>
        </w:tc>
      </w:tr>
      <w:tr w:rsidR="004B3FDE" w:rsidRPr="002E6D00" w14:paraId="654E7C81" w14:textId="77777777" w:rsidTr="45483B6E">
        <w:trPr>
          <w:trHeight w:val="1134"/>
          <w:jc w:val="center"/>
        </w:trPr>
        <w:tc>
          <w:tcPr>
            <w:tcW w:w="1129" w:type="dxa"/>
            <w:noWrap/>
            <w:hideMark/>
          </w:tcPr>
          <w:p w14:paraId="55B10722" w14:textId="1020AC8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Wagner, T.F., Baccarella, C.V., &amp; Voigt, K.-I.</w:t>
            </w:r>
          </w:p>
        </w:tc>
        <w:tc>
          <w:tcPr>
            <w:tcW w:w="1418" w:type="dxa"/>
            <w:hideMark/>
          </w:tcPr>
          <w:p w14:paraId="036B842A" w14:textId="7ADC0F7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Framing Social Media Communication: Investigating the Effects of Brand Post Appeals on User Interaction</w:t>
            </w:r>
          </w:p>
        </w:tc>
        <w:tc>
          <w:tcPr>
            <w:tcW w:w="585" w:type="dxa"/>
            <w:noWrap/>
            <w:hideMark/>
          </w:tcPr>
          <w:p w14:paraId="4EB9E672" w14:textId="300BFF9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{"citationItems":[{"id":"ITEM-1","itemData":{"DOI":"10.1016/j.emj.2017.05.002","ISSN":"02632373","abstract":"Social networking sites (SNS) play an increasingly important role in the mix of brands’ marketing communication. A key question for marketing departments, therefore, is how brand posts can be best framed to provoke positive user reactions and interactions. In order to better understand the determinants of communication success on SNS, we propose a theoretical framework of how users process posts on SNS. Its logic suggests that the overall theme of a post (“post appeal”) is a main antecedent of communication success. Thus, we empirically examine the effects of post appeals on user interaction by profoundly analysing a sample of 1948 Facebook posts. Results show that some post appeals have positive and others have negative impact on user interaction. Interestingly, some of the appeals with positive impact are rarely used by brands, while some of the appeals with negative impact are used quite frequently, indicating that brands currently do not grasp the full potential of post appeal strategy. This article concludes by discussing theoretical and managerial implications.","author":[{"dropping-particle":"","family":"Wagner","given":"Timm F.","non-dropping-particle":"","parse-names":false,"suffix":""},{"dropping-particle":"V.","family":"Baccarella","given":"Christian","non-dropping-particle":"","parse-names":false,"suffix":""},{"dropping-particle":"","family":"Voigt","given":"Kai Ingo","non-dropping-particle":"","parse-names":false,"suffix":""}],"container-title":"European Management Journal","id":"ITEM-1","issue":"5","issued":{"date-parts":[["2017"]]},"page":"606-616","publisher":"Elsevier Ltd","title":"Framing Social Media Communication: Investigating the Effects of Brand Post Appeals on User Interaction","type":"article-journal","volume":"35"},"suppress-author":1,"uris":["http://www.mendeley.com/documents/?uuid=6804b80b-470e-482a-a5e8-8d221dbada90"]}],"mendeley":{"formattedCitation":"(2017)","manualFormatting":"2017","plainTextFormattedCitation":"(2017)","previouslyFormattedCitation":"(2017)"},"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2017</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CCA7D2D" w14:textId="08D38D0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European Management Journal</w:t>
            </w:r>
          </w:p>
        </w:tc>
        <w:tc>
          <w:tcPr>
            <w:tcW w:w="2268" w:type="dxa"/>
            <w:hideMark/>
          </w:tcPr>
          <w:p w14:paraId="183647E7" w14:textId="7777777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“Which brand post appeals have a positive effect on user interaction? Which brand post appeals have a negative effect on user interaction?” (p. 609) </w:t>
            </w:r>
          </w:p>
          <w:p w14:paraId="0F31186B" w14:textId="63AA52C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“Are brand post appeals that positively influence user interaction those that are most commonly used? Are brand post appeals that negatively influence user interaction those that are least used?” (p. 610)</w:t>
            </w:r>
          </w:p>
        </w:tc>
        <w:tc>
          <w:tcPr>
            <w:tcW w:w="2693" w:type="dxa"/>
            <w:hideMark/>
          </w:tcPr>
          <w:p w14:paraId="69827804" w14:textId="218E61D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some post appeals have positive and others have negative impact on user interaction. Interestingly, some of the appeals with positive impact are rarely used by brands, while some of the appeals with negative impact are used quite frequently, indicating that brands currently do not grasp the full potential of post appeal strategy” (p. 606).</w:t>
            </w:r>
          </w:p>
        </w:tc>
        <w:tc>
          <w:tcPr>
            <w:tcW w:w="1276" w:type="dxa"/>
            <w:hideMark/>
          </w:tcPr>
          <w:p w14:paraId="2408E066" w14:textId="4AB6052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US Facebook.com brand pages of the ten most valuable brands in the automotive industry (1,984 posts)</w:t>
            </w:r>
          </w:p>
        </w:tc>
        <w:tc>
          <w:tcPr>
            <w:tcW w:w="1276" w:type="dxa"/>
          </w:tcPr>
          <w:p w14:paraId="1D1D8CB9" w14:textId="711D02B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regression analysis</w:t>
            </w:r>
          </w:p>
        </w:tc>
        <w:tc>
          <w:tcPr>
            <w:tcW w:w="995" w:type="dxa"/>
            <w:hideMark/>
          </w:tcPr>
          <w:p w14:paraId="61A3D5D0" w14:textId="37784C8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Facebook posts</w:t>
            </w:r>
          </w:p>
        </w:tc>
      </w:tr>
      <w:tr w:rsidR="004B3FDE" w:rsidRPr="002E6D00" w14:paraId="31AAAF8A" w14:textId="77777777" w:rsidTr="00F711FA">
        <w:trPr>
          <w:trHeight w:val="410"/>
          <w:jc w:val="center"/>
        </w:trPr>
        <w:tc>
          <w:tcPr>
            <w:tcW w:w="1129" w:type="dxa"/>
            <w:noWrap/>
            <w:hideMark/>
          </w:tcPr>
          <w:p w14:paraId="0F0B48F1" w14:textId="00FD531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Leggett, A.</w:t>
            </w:r>
          </w:p>
        </w:tc>
        <w:tc>
          <w:tcPr>
            <w:tcW w:w="1418" w:type="dxa"/>
            <w:hideMark/>
          </w:tcPr>
          <w:p w14:paraId="3EFA047E" w14:textId="151492A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Online Civic Engagement and The Anti-Domestic Violence Movement in China: Shifting </w:t>
            </w:r>
            <w:r w:rsidRPr="002E6D00">
              <w:rPr>
                <w:rFonts w:ascii="Times New Roman" w:eastAsia="Times New Roman" w:hAnsi="Times New Roman" w:cs="Times New Roman"/>
                <w:color w:val="000000" w:themeColor="text1"/>
                <w:kern w:val="0"/>
                <w:sz w:val="16"/>
                <w:szCs w:val="16"/>
                <w:lang w:val="en-US"/>
                <w14:ligatures w14:val="none"/>
              </w:rPr>
              <w:lastRenderedPageBreak/>
              <w:t>Norms and Influencing Law</w:t>
            </w:r>
          </w:p>
        </w:tc>
        <w:tc>
          <w:tcPr>
            <w:tcW w:w="585" w:type="dxa"/>
            <w:noWrap/>
            <w:hideMark/>
          </w:tcPr>
          <w:p w14:paraId="188B1F6E" w14:textId="6E2D0F98"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lastRenderedPageBreak/>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{"citationItems":[{"id":"ITEM-1","itemData":{"DOI":"10.1007/s11266-016-9680-9","ISSN":"09578765","abstract":"In the context of China’s new law against domestic violence, proposed by the State Council in November 2014 and passed in July 2015, this article examines online engagement by Chinese citizens leading up to the legislative revision, and examines the Sina Weibo microblog activities of one influential organisation, nǚquán zhī shēng (Feminist Voice). I ask how a Chinese Civil Society Organisation (CSO) uses online media to open public discourse on, and in some cases challenge, formal and informal institutions around a normatively marginalised issue, the case of domestic violence. Drawing on and synthesising literature on domestic violence, civil society and online communications in China, this study provides a timely contribution given the relative limitedness of up-to-date data, after the huge wave of publications following the 1995 Beijing conference. Findings are based on content analysis of the Feminist Voice microblog during 2012. While Chinese CSOs are often dismissed as non-confrontational and therefore ineffective change agents, Feminist Voice does challenge status quo marginalisation of domestic violence in the public sphere and facilitate discussion around formal and informal institutional reform, thereby influencing social attitudes and potentially also policy and law making.","author":[{"dropping-particle":"","family":"Leggett","given":"Angela","non-dropping-particle":"","parse-names":false,"suffix":""}],"container-title":"Voluntas","id":"ITEM-1","issue":"5","issued":{"date-parts":[["2017"]]},"page":"2251-2277","publisher":"Springer US","title":"Online Civic Engagement and the Anti-domestic Violence Movement in China: Shifting Norms and Influencing Law","type":"article-journal","volume":"28"},"suppress-author":1,"uris":["http://www.mendeley.com/documents/?uuid=6bb7739f-6828-445e-a8dd-9ea5a7ae7236"]}],"mendeley":{"formattedCitation":"(2017)","manualFormatting":"2017","plainTextFormattedCitation":"(2017)","previouslyFormattedCitation":"(2017)"},"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2017</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2C4187A5" w14:textId="7777777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Voluntas</w:t>
            </w:r>
          </w:p>
        </w:tc>
        <w:tc>
          <w:tcPr>
            <w:tcW w:w="2268" w:type="dxa"/>
            <w:hideMark/>
          </w:tcPr>
          <w:p w14:paraId="68FD7FC2" w14:textId="461FD82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author investigates “how a Chinese [Civil society organization (CSO)] has used online communications to break the domestic violence ‘spiral of silence’, promoting the ‘capability’ to discuss and exercise rights as a crucial </w:t>
            </w:r>
            <w:r w:rsidRPr="002E6D00">
              <w:rPr>
                <w:rFonts w:ascii="Times New Roman" w:eastAsia="Times New Roman" w:hAnsi="Times New Roman" w:cs="Times New Roman"/>
                <w:color w:val="000000" w:themeColor="text1"/>
                <w:kern w:val="0"/>
                <w:sz w:val="16"/>
                <w:szCs w:val="16"/>
                <w:lang w:val="en-US"/>
                <w14:ligatures w14:val="none"/>
              </w:rPr>
              <w:lastRenderedPageBreak/>
              <w:t>accompaniment to law” (p. 2263).</w:t>
            </w:r>
          </w:p>
        </w:tc>
        <w:tc>
          <w:tcPr>
            <w:tcW w:w="2693" w:type="dxa"/>
            <w:hideMark/>
          </w:tcPr>
          <w:p w14:paraId="601B25DE" w14:textId="45AF231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The author provides “insight into constructs of domestic violence mobilised in contemporary China, covering definitions of domestic violence, representations of victims and perpetrators, perceived causal elements and deterrents or </w:t>
            </w:r>
            <w:r w:rsidRPr="002E6D00">
              <w:rPr>
                <w:rFonts w:ascii="Times New Roman" w:eastAsia="Times New Roman" w:hAnsi="Times New Roman" w:cs="Times New Roman"/>
                <w:color w:val="000000" w:themeColor="text1"/>
                <w:kern w:val="0"/>
                <w:sz w:val="16"/>
                <w:szCs w:val="16"/>
                <w:lang w:val="en-US"/>
                <w14:ligatures w14:val="none"/>
              </w:rPr>
              <w:lastRenderedPageBreak/>
              <w:t>motivations for reporting abuse” (p. 2273).</w:t>
            </w:r>
          </w:p>
        </w:tc>
        <w:tc>
          <w:tcPr>
            <w:tcW w:w="1276" w:type="dxa"/>
            <w:hideMark/>
          </w:tcPr>
          <w:p w14:paraId="709BE18F" w14:textId="2C4F342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 xml:space="preserve">212 posts from the Feminist Voice Weibo microblog “containing any of the domestic violence </w:t>
            </w:r>
            <w:r w:rsidRPr="002E6D00">
              <w:rPr>
                <w:rFonts w:ascii="Times New Roman" w:eastAsia="Times New Roman" w:hAnsi="Times New Roman" w:cs="Times New Roman"/>
                <w:color w:val="000000" w:themeColor="text1"/>
                <w:kern w:val="0"/>
                <w:sz w:val="16"/>
                <w:szCs w:val="16"/>
                <w:lang w:val="en-US"/>
                <w14:ligatures w14:val="none"/>
              </w:rPr>
              <w:lastRenderedPageBreak/>
              <w:t>keywords” (p. 2263).</w:t>
            </w:r>
          </w:p>
        </w:tc>
        <w:tc>
          <w:tcPr>
            <w:tcW w:w="1276" w:type="dxa"/>
          </w:tcPr>
          <w:p w14:paraId="248FF9D7" w14:textId="5A5ED2B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lastRenderedPageBreak/>
              <w:t>Manual content analysis</w:t>
            </w:r>
          </w:p>
        </w:tc>
        <w:tc>
          <w:tcPr>
            <w:tcW w:w="995" w:type="dxa"/>
            <w:hideMark/>
          </w:tcPr>
          <w:p w14:paraId="4FF629B4" w14:textId="00D272E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Sina Weibo posts</w:t>
            </w:r>
          </w:p>
        </w:tc>
      </w:tr>
      <w:tr w:rsidR="004B3FDE" w:rsidRPr="002E6D00" w14:paraId="4F97D168" w14:textId="77777777" w:rsidTr="45483B6E">
        <w:trPr>
          <w:trHeight w:val="1134"/>
          <w:jc w:val="center"/>
        </w:trPr>
        <w:tc>
          <w:tcPr>
            <w:tcW w:w="1129" w:type="dxa"/>
            <w:noWrap/>
            <w:hideMark/>
          </w:tcPr>
          <w:p w14:paraId="7C1D101B" w14:textId="4CF99671" w:rsidR="003A2397" w:rsidRPr="002E6D00" w:rsidRDefault="003A2397" w:rsidP="00071683">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Brinkley, D.Y., Ackerman, R.A., Ehrenreich, S.E., &amp; Underwood, M.K.</w:t>
            </w:r>
          </w:p>
        </w:tc>
        <w:tc>
          <w:tcPr>
            <w:tcW w:w="1418" w:type="dxa"/>
            <w:hideMark/>
          </w:tcPr>
          <w:p w14:paraId="01FFC6E3" w14:textId="5F03C85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Sending and Receiving Text Messages with Sexual Content: Relations with Early Sexual Activity and Borderline Personality Features in Late Adolescence</w:t>
            </w:r>
          </w:p>
        </w:tc>
        <w:tc>
          <w:tcPr>
            <w:tcW w:w="585" w:type="dxa"/>
            <w:noWrap/>
            <w:hideMark/>
          </w:tcPr>
          <w:p w14:paraId="4C7D954E" w14:textId="21CB46EE"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{"citationItems":[{"id":"ITEM-1","itemData":{"DOI":"10.1016/j.chb.2016.12.082","ISSN":"07475632","abstract":"This research examined adolescents' written text messages with sexual content to investigate how sexting relates to sexual activity and borderline personality features. Participants (N = 181, 85 girls) completed a measure of borderline personality features prior to 10th grade and were subsequently given smartphones configured to capture the content of their text messages. Four days of text messaging were micro-coded for content related to sex. Following 12th grade, participants reported on their sexual activity and again completed a measure of borderline personality features. Results showed that engaging in sexting at age 16 was associated with reporting an early sexual debut, having sexual intercourse experience, having multiple sex partners, and engaging in drug use in combination with sexual activity two years later. Girls engaging in sex talk were more likely to have had sexual intercourse by age 18. Text messaging about hypothetical sex in grade 10 also predicted borderline personality features at age 18. These findings suggest that sending text messages with sexual content poses risks for adolescents. Programs to prevent risky sexual activity and to promote psychological health could be enhanced by teaching adolescents to use digital communication responsibly.","author":[{"dropping-particle":"","family":"Brinkley","given":"Dawn Y.","non-dropping-particle":"","parse-names":false,"suffix":""},{"dropping-particle":"","family":"Ackerman","given":"Robert A.","non-dropping-particle":"","parse-names":false,"suffix":""},{"dropping-particle":"","family":"Ehrenreich","given":"Samuel E.","non-dropping-particle":"","parse-names":false,"suffix":""},{"dropping-particle":"","family":"Underwood","given":"Marion K.","non-dropping-particle":"","parse-names":false,"suffix":""}],"container-title":"Computers in Human Behavior","id":"ITEM-1","issued":{"date-parts":[["2017"]]},"page":"119-130","publisher":"Elsevier Ltd","title":"Sending and Receiving Text Messages with Sexual Content: Relations with Early Sexual Activity and Borderline Personality Features in Late Adolescence","type":"article-journal","volume":"70"},"suppress-author":1,"uris":["http://www.mendeley.com/documents/?uuid=7a49e4aa-8c0f-4291-8ab0-636eaa9f4e50"]}],"mendeley":{"formattedCitation":"(2017)","manualFormatting":"2017","plainTextFormattedCitation":"(2017)","previouslyFormattedCitation":"(2017)"},"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2017</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8D5BCF0" w14:textId="04682550"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Computers in Human Behavior</w:t>
            </w:r>
          </w:p>
        </w:tc>
        <w:tc>
          <w:tcPr>
            <w:tcW w:w="2268" w:type="dxa"/>
            <w:hideMark/>
          </w:tcPr>
          <w:p w14:paraId="0ABE0760" w14:textId="2F72F3C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“adolescents’ written text messages with sexual content to investigate how sexting relates to sexual activity and borderline personality features” (p. 119)</w:t>
            </w:r>
          </w:p>
        </w:tc>
        <w:tc>
          <w:tcPr>
            <w:tcW w:w="2693" w:type="dxa"/>
            <w:hideMark/>
          </w:tcPr>
          <w:p w14:paraId="372DAC97" w14:textId="5A01514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engaging in sexting at age 16 was associated with reporting an early sexual debut, having sexual intercourse experience, having multiple sex partners, and engaging in drug use in combination with sexual activity two years later. Girls engaging in sex talk were more likely to have had sexual intercourse by age 18. Text messaging about hypothetical sex in grade 10 also predicted borderline personality features at age 18” (p. 119).</w:t>
            </w:r>
          </w:p>
        </w:tc>
        <w:tc>
          <w:tcPr>
            <w:tcW w:w="1276" w:type="dxa"/>
            <w:hideMark/>
          </w:tcPr>
          <w:p w14:paraId="1A2FBA24" w14:textId="3F797AA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Approximately 500,000 text messages per month from 181 10</w:t>
            </w:r>
            <w:r w:rsidRPr="002E6D00">
              <w:rPr>
                <w:rFonts w:ascii="Times New Roman" w:eastAsia="Times New Roman" w:hAnsi="Times New Roman" w:cs="Times New Roman"/>
                <w:color w:val="000000" w:themeColor="text1"/>
                <w:kern w:val="0"/>
                <w:sz w:val="16"/>
                <w:szCs w:val="16"/>
                <w:vertAlign w:val="superscript"/>
                <w:lang w:val="en-US"/>
                <w14:ligatures w14:val="none"/>
              </w:rPr>
              <w:t>th</w:t>
            </w:r>
            <w:r w:rsidRPr="002E6D00">
              <w:rPr>
                <w:rFonts w:ascii="Times New Roman" w:eastAsia="Times New Roman" w:hAnsi="Times New Roman" w:cs="Times New Roman"/>
                <w:color w:val="000000" w:themeColor="text1"/>
                <w:kern w:val="0"/>
                <w:sz w:val="16"/>
                <w:szCs w:val="16"/>
                <w:lang w:val="en-US"/>
                <w14:ligatures w14:val="none"/>
              </w:rPr>
              <w:t xml:space="preserve"> grade adolescents</w:t>
            </w:r>
          </w:p>
        </w:tc>
        <w:tc>
          <w:tcPr>
            <w:tcW w:w="1276" w:type="dxa"/>
          </w:tcPr>
          <w:p w14:paraId="26D253B1" w14:textId="07C8A35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regression analysis</w:t>
            </w:r>
          </w:p>
        </w:tc>
        <w:tc>
          <w:tcPr>
            <w:tcW w:w="995" w:type="dxa"/>
            <w:hideMark/>
          </w:tcPr>
          <w:p w14:paraId="54760B2E" w14:textId="0241868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Text messages (phone)</w:t>
            </w:r>
          </w:p>
        </w:tc>
      </w:tr>
      <w:tr w:rsidR="004B3FDE" w:rsidRPr="002E6D00" w14:paraId="30BE15E2" w14:textId="77777777" w:rsidTr="45483B6E">
        <w:trPr>
          <w:trHeight w:val="1134"/>
          <w:jc w:val="center"/>
        </w:trPr>
        <w:tc>
          <w:tcPr>
            <w:tcW w:w="1129" w:type="dxa"/>
            <w:noWrap/>
            <w:hideMark/>
          </w:tcPr>
          <w:p w14:paraId="0E4959A0" w14:textId="07C05E2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Swani, K., Milne, G.R., Brown, B.P., Assaf, A.G., &amp; Donthu, N.</w:t>
            </w:r>
          </w:p>
        </w:tc>
        <w:tc>
          <w:tcPr>
            <w:tcW w:w="1418" w:type="dxa"/>
            <w:hideMark/>
          </w:tcPr>
          <w:p w14:paraId="2F00169C" w14:textId="3F54141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What Messages to Post? Evaluating the Popularity of Social Media Communications in Business Versus Consumer Markets</w:t>
            </w:r>
          </w:p>
        </w:tc>
        <w:tc>
          <w:tcPr>
            <w:tcW w:w="585" w:type="dxa"/>
            <w:noWrap/>
            <w:hideMark/>
          </w:tcPr>
          <w:p w14:paraId="31701D17" w14:textId="4B25744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{"citationItems":[{"id":"ITEM-1","itemData":{"DOI":"10.1016/j.indmarman.2016.07.006","ISSN":"00198501","abstract":"Although social media usage in business markets continues to grow, managers still struggle with designing popular brand message posts. This research investigates the key factors that contribute to Facebook brand content popularity metrics (i.e., number of likes and comments) for Fortune 500 companies’ brand posts in business-to-business (B2B) versus business-to-consumer (B2C) markets. Building on psychological motivation theory, the authors examine key differences in B2B and B2C social media message strategies in terms of branding, message appeals, selling, and information search. Using Bayesian models, they find noteworthy differences in the propensity of viewers to popularize brand posts. Specifically, the results indicate that the inclusion of corporate brand names, functional and emotional appeals, and information search cues increases the popularity of B2B messages compared with B2C messages. Moreover, viewers of B2B content demonstrate a higher message liking rate but a lower message commenting rate than viewers of B2C content.","author":[{"dropping-particle":"","family":"Swani","given":"Kunal","non-dropping-particle":"","parse-names":false,"suffix":""},{"dropping-particle":"","family":"Milne","given":"George R.","non-dropping-particle":"","parse-names":false,"suffix":""},{"dropping-particle":"","family":"Brown","given":"Brian P.","non-dropping-particle":"","parse-names":false,"suffix":""},{"dropping-particle":"","family":"Assaf","given":"A. George","non-dropping-particle":"","parse-names":false,"suffix":""},{"dropping-particle":"","family":"Donthu","given":"Naveen","non-dropping-particle":"","parse-names":false,"suffix":""}],"container-title":"Industrial Marketing Management","id":"ITEM-1","issued":{"date-parts":[["2017","4"]]},"page":"77-87","publisher":"Elsevier Inc.","title":"What messages to post? Evaluating the popularity of social media communications in business versus consumer markets","type":"article-journal","volume":"62"},"suppress-author":1,"uris":["http://www.mendeley.com/documents/?uuid=15f99ef1-5280-4d80-91dd-e396ee97aac6"]}],"mendeley":{"formattedCitation":"(2017)","manualFormatting":"2017","plainTextFormattedCitation":"(2017)","previouslyFormattedCitation":"(2017)"},"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2017</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518BA99" w14:textId="152CF5D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Industrial Marketing Management</w:t>
            </w:r>
          </w:p>
        </w:tc>
        <w:tc>
          <w:tcPr>
            <w:tcW w:w="2268" w:type="dxa"/>
            <w:hideMark/>
          </w:tcPr>
          <w:p w14:paraId="10BB3EC0" w14:textId="509C2D9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“the key factors that contribute to Facebook brand content popularity metrics (i.e., number of likes and comments) for Fortune 500 companies’ brand posts in business- to-business (B2B) versus business-to-consumer (B2C) markets” (p. 77). In doing so, they “examine key differences in B2B and B2C social media message strategies in terms of branding, message appeals, selling, and information search” (p. 77).</w:t>
            </w:r>
          </w:p>
        </w:tc>
        <w:tc>
          <w:tcPr>
            <w:tcW w:w="2693" w:type="dxa"/>
            <w:hideMark/>
          </w:tcPr>
          <w:p w14:paraId="7A6303F1" w14:textId="554482C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They show “noteworthy differences in the propensity of viewers to popularize brand posts. Specifically, the results indicate that the inclusion of corporate brand names, functional and emotional appeals, and information search cues increases the popularity of B2B messages compared with B2Cmessages. Moreover, viewers ofB2B content demonstrate a higher message liking rate but a lower message commenting rate than viewers of B2C content” (p. 77).</w:t>
            </w:r>
          </w:p>
        </w:tc>
        <w:tc>
          <w:tcPr>
            <w:tcW w:w="1276" w:type="dxa"/>
            <w:hideMark/>
          </w:tcPr>
          <w:p w14:paraId="3596D29A" w14:textId="59E31B0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214 brand pages from Fortune 500 companies (1,498 unique posts)</w:t>
            </w:r>
          </w:p>
        </w:tc>
        <w:tc>
          <w:tcPr>
            <w:tcW w:w="1276" w:type="dxa"/>
          </w:tcPr>
          <w:p w14:paraId="6E1EDC1F" w14:textId="0D2D282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regression analysis</w:t>
            </w:r>
          </w:p>
        </w:tc>
        <w:tc>
          <w:tcPr>
            <w:tcW w:w="995" w:type="dxa"/>
            <w:hideMark/>
          </w:tcPr>
          <w:p w14:paraId="66539D15" w14:textId="5DE3256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w:t>
            </w:r>
          </w:p>
        </w:tc>
      </w:tr>
      <w:tr w:rsidR="004B3FDE" w:rsidRPr="002E6D00" w14:paraId="1680DB11" w14:textId="77777777" w:rsidTr="45483B6E">
        <w:trPr>
          <w:trHeight w:val="540"/>
          <w:jc w:val="center"/>
        </w:trPr>
        <w:tc>
          <w:tcPr>
            <w:tcW w:w="1129" w:type="dxa"/>
            <w:noWrap/>
            <w:hideMark/>
          </w:tcPr>
          <w:p w14:paraId="075A3E1F" w14:textId="3BE7D5A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Capriotti, P. &amp; Ruesja, L.</w:t>
            </w:r>
          </w:p>
        </w:tc>
        <w:tc>
          <w:tcPr>
            <w:tcW w:w="1418" w:type="dxa"/>
            <w:hideMark/>
          </w:tcPr>
          <w:p w14:paraId="2C0DD586" w14:textId="3AD5269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How CEOs Use Twitter: A Comparative Analysis of Global and Latin American Companies</w:t>
            </w:r>
          </w:p>
        </w:tc>
        <w:tc>
          <w:tcPr>
            <w:tcW w:w="585" w:type="dxa"/>
            <w:noWrap/>
            <w:hideMark/>
          </w:tcPr>
          <w:p w14:paraId="29C53A3E" w14:textId="27E992F5"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{"citationItems":[{"id":"ITEM-1","itemData":{"DOI":"10.1016/j.ijinfomgt.2018.01.003","ISSN":"02684012","abstract":"Social networks are becoming a key communication tool for organizations, but also for top managers like CEOs. Among the different available platforms, Twitter is one of the greatest and it is considered one of the most suitable to share information and engage in dialogue with stakeholders. In this way, this paper analyzes the presence of CEOs on the most active social network sites, and assess the activity and interaction of these top managers on Twitter. CEOs from Global and Latin American companies were selected, to compare their performance. The results of the study show that the presence of CEOs in social networks is very low, and the majority of those that are present on them are not adequately using their Twitter accounts. Although the general presence and performance on are low, LatAm CEOs have a better presence on social networks and they are more active on Twitter, but Global CEOs have better interaction results on their accounts. So, this area of strategic communication should be improved by communication practitioners, since the CEO communication is nowadays a key communication issue for any organization.","author":[{"dropping-particle":"","family":"Capriotti","given":"Paul","non-dropping-particle":"","parse-names":false,"suffix":""},{"dropping-particle":"","family":"Ruesja","given":"Laura","non-dropping-particle":"","parse-names":false,"suffix":""}],"container-title":"International Journal of Information Management","id":"ITEM-1","issued":{"date-parts":[["2018","4"]]},"page":"242-248","publisher":"Elsevier","title":"How CEOs use Twitter: A Comparative Analysis of Global and Latin American Companies","type":"article-journal","volume":"39"},"suppress-author":1,"uris":["http://www.mendeley.com/documents/?uuid=80bbadfd-db56-42f7-9bc3-43d39bd1f7fd"]}],"mendeley":{"formattedCitation":"(2018)","manualFormatting":"2018","plainTextFormattedCitation":"(2018)","previouslyFormattedCitation":"(2018)"},"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2018</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E5817B8" w14:textId="1C722F1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International Journal of Information Management</w:t>
            </w:r>
          </w:p>
        </w:tc>
        <w:tc>
          <w:tcPr>
            <w:tcW w:w="2268" w:type="dxa"/>
            <w:hideMark/>
          </w:tcPr>
          <w:p w14:paraId="6492B459" w14:textId="662112C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“Do CEOs of companies have a presence in SNS? (Presence) Do they have a presence on Twitter? What activity do CEOs develop on Twitter? (Activity) What kind of interaction is developed on CEOs Twitter accounts? (Interaction)” (p. 244).</w:t>
            </w:r>
          </w:p>
        </w:tc>
        <w:tc>
          <w:tcPr>
            <w:tcW w:w="2693" w:type="dxa"/>
            <w:hideMark/>
          </w:tcPr>
          <w:p w14:paraId="6B1DB79C" w14:textId="05E0D38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the presence of CEOs in social networks is very low, and the majority of those that are present on them are not adequately using their Twitter accounts. Although the general presence and performance on are low, LatAm CEOs have a better presence on social networks and they are more active on Twitter, but Global CEOs have better interaction results on their accounts” (p. 242).</w:t>
            </w:r>
          </w:p>
        </w:tc>
        <w:tc>
          <w:tcPr>
            <w:tcW w:w="1276" w:type="dxa"/>
            <w:hideMark/>
          </w:tcPr>
          <w:p w14:paraId="6F6005C7" w14:textId="1408023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14,153 tweets by 938 CEOs (Fortune 500 &amp; América Economía 500) </w:t>
            </w:r>
          </w:p>
        </w:tc>
        <w:tc>
          <w:tcPr>
            <w:tcW w:w="1276" w:type="dxa"/>
          </w:tcPr>
          <w:p w14:paraId="0E24034D" w14:textId="60D7035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descriptive analysis</w:t>
            </w:r>
          </w:p>
        </w:tc>
        <w:tc>
          <w:tcPr>
            <w:tcW w:w="995" w:type="dxa"/>
            <w:hideMark/>
          </w:tcPr>
          <w:p w14:paraId="58FDAA73" w14:textId="6D73CA4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Tweets </w:t>
            </w:r>
          </w:p>
        </w:tc>
      </w:tr>
      <w:tr w:rsidR="004B3FDE" w:rsidRPr="002E6D00" w14:paraId="3597598E" w14:textId="77777777" w:rsidTr="00F711FA">
        <w:trPr>
          <w:trHeight w:val="835"/>
          <w:jc w:val="center"/>
        </w:trPr>
        <w:tc>
          <w:tcPr>
            <w:tcW w:w="1129" w:type="dxa"/>
            <w:noWrap/>
            <w:hideMark/>
          </w:tcPr>
          <w:p w14:paraId="6860D41F" w14:textId="2A8CBCE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Chamberlin, L. &amp; Boks, C.</w:t>
            </w:r>
          </w:p>
        </w:tc>
        <w:tc>
          <w:tcPr>
            <w:tcW w:w="1418" w:type="dxa"/>
            <w:hideMark/>
          </w:tcPr>
          <w:p w14:paraId="65B684E6" w14:textId="0E365FE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Marketing Approaches for a Circular Economy: Using Design Frameworks to Interpret Online Communications</w:t>
            </w:r>
          </w:p>
        </w:tc>
        <w:tc>
          <w:tcPr>
            <w:tcW w:w="585" w:type="dxa"/>
            <w:noWrap/>
            <w:hideMark/>
          </w:tcPr>
          <w:p w14:paraId="26154B04" w14:textId="6C6A2DB8"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{"citationItems":[{"id":"ITEM-1","itemData":{"DOI":"10.3390/su10062070","ISSN":"20711050","abstract":"The Circular Economy has been posited as a solution to the rise of environmental decimation with growing global economic prosperity, by introducing new systems of production, consumption, and disposal. Current literature has explored circular economy business models, such as product service systems (PSSs), and has identified some issues that represent both behavioral barriers and motivating factors when it comes to consumer acceptance of these new models. However, there are few studies that incorporate a marketing and communications perspective on the circular economy or which focus on the ways in which businesses providing circular products or services currently use communications to market their offerings and influence consumer behavior. This paper represents an initial, exploratory study that identifies ten groups of concerns or 'factors' from the literature that affect consumer acceptance of circular value propositions. It then uses two models from the field of design (Dimensions of Behavior Change and Design with Intent) to interpret examples of web communications from four retailers of circular products and services, and to suggest future marketing and communications strategies for use in business and research. It finds that design frameworks can provide a relevant and comprehensive means to analyze marketing strategies and suggest less binary approaches than for instance green marketing.","author":[{"dropping-particle":"","family":"Chamberlin","given":"Lucy","non-dropping-particle":"","parse-names":false,"suffix":""},{"dropping-particle":"","family":"Boks","given":"Casper","non-dropping-particle":"","parse-names":false,"suffix":""}],"container-title":"Sustainability (Switzerland)","id":"ITEM-1","issue":"6","issued":{"date-parts":[["2018"]]},"title":"Marketing Approaches for a Circular Economy: Using Design Frameworks to Interpret Online Communications","type":"article-journal","volume":"10"},"suppress-author":1,"uris":["http://www.mendeley.com/documents/?uuid=ff541b99-2f8e-4a22-8d58-3e443558cc1a"]}],"mendeley":{"formattedCitation":"(2018)","manualFormatting":"2018","plainTextFormattedCitation":"(2018)","previouslyFormattedCitation":"(2018)"},"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2018</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9EB9BAB" w14:textId="6C03B42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Sustainability (Switzerland)</w:t>
            </w:r>
          </w:p>
        </w:tc>
        <w:tc>
          <w:tcPr>
            <w:tcW w:w="2268" w:type="dxa"/>
            <w:hideMark/>
          </w:tcPr>
          <w:p w14:paraId="7EBF9FF9" w14:textId="5EC78A5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“[W]hat strategies for influencing consumer behavior towards more sustainable patterns are proposed in the design and marketing literature, and to what extent are these relevant and useful in analyzing the marketing communications of companies that promote circular consumption activities through their websites?” (p. 2)</w:t>
            </w:r>
          </w:p>
        </w:tc>
        <w:tc>
          <w:tcPr>
            <w:tcW w:w="2693" w:type="dxa"/>
          </w:tcPr>
          <w:p w14:paraId="1868FDC8" w14:textId="0E385BD7" w:rsidR="003A2397" w:rsidRPr="002E6D00" w:rsidRDefault="003A2397" w:rsidP="00891BAA">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“design frameworks can provide a relevant and comprehensive means to analyze marketing strategies and suggest less binary approaches than for instance green marketing” (p. 2).</w:t>
            </w:r>
          </w:p>
        </w:tc>
        <w:tc>
          <w:tcPr>
            <w:tcW w:w="1276" w:type="dxa"/>
            <w:hideMark/>
          </w:tcPr>
          <w:p w14:paraId="43A1D95D" w14:textId="6C7A435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Company websites (4) from four fashion retail companies</w:t>
            </w:r>
          </w:p>
        </w:tc>
        <w:tc>
          <w:tcPr>
            <w:tcW w:w="1276" w:type="dxa"/>
          </w:tcPr>
          <w:p w14:paraId="6634D3E0" w14:textId="1BE7D82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58EDCB26" w14:textId="1E48B42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Website</w:t>
            </w:r>
          </w:p>
        </w:tc>
      </w:tr>
      <w:tr w:rsidR="004B3FDE" w:rsidRPr="002E6D00" w14:paraId="684AEB51" w14:textId="77777777" w:rsidTr="45483B6E">
        <w:trPr>
          <w:trHeight w:val="1134"/>
          <w:jc w:val="center"/>
        </w:trPr>
        <w:tc>
          <w:tcPr>
            <w:tcW w:w="1129" w:type="dxa"/>
            <w:noWrap/>
            <w:hideMark/>
          </w:tcPr>
          <w:p w14:paraId="0A5373E2" w14:textId="67781E93" w:rsidR="003A2397" w:rsidRPr="002E6D00" w:rsidRDefault="003A2397" w:rsidP="00071683">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Huang, L.V. &amp; Yeo, T.E.D.</w:t>
            </w:r>
          </w:p>
        </w:tc>
        <w:tc>
          <w:tcPr>
            <w:tcW w:w="1418" w:type="dxa"/>
            <w:hideMark/>
          </w:tcPr>
          <w:p w14:paraId="3E9149AB" w14:textId="6DA0684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Tweeting #Leaders: Social Media Communication and Retweetability of Fortune 1000 Chief Executive Officers on Twitter</w:t>
            </w:r>
          </w:p>
        </w:tc>
        <w:tc>
          <w:tcPr>
            <w:tcW w:w="585" w:type="dxa"/>
            <w:noWrap/>
            <w:hideMark/>
          </w:tcPr>
          <w:p w14:paraId="66C3F12C" w14:textId="026E7C39"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{"citationItems":[{"id":"ITEM-1","itemData":{"DOI":"10.1108/IntR-08-2016-0248","ISSN":"10662243","abstract":"Purpose: To better understand executive communication on social media, the purpose of this paper is to examine the pattern of messages posted by chief executive officers (CEOs) on Twitter and their retweetability (rate of reposting by other users). Design/methodology/approach: The study data comprises 1,068 original tweets randomly selected from all Fortune 1000 CEOs’ tweets in 2014. The impact of the contextual factors (industry background, activeness, and Twitter age) and content factors (content types, supplementary information, and linguistic features) on retweetability was examined through regression analyses. Findings: CEOs tweet to share information and insights, to promote their companies or products, to update work or life status, and to interact with the public. Original insights, promotional messages, and seasonal greetings were most likely to be retweeted. CEOs’ backgrounds, usage of hashtags, and certainty of language were also positively associated with retweetability. Practical implications: CEOs may enhance their online social influence through demonstrating leadership by sharing insights about their organization or industry and posting topical messages (e.g. season’s greetings). Furthermore, CEOs could use hashtags strategically to initiate or participate in discussions and promote their personal visibility. Originality/value: This study is one of the first to evaluate how leaders of the largest companies in the USA communicate on Twitter. It contributes to a theoretical understanding of the factors underlying online influence – the influence of the status of the online communicator vs the message content on information forwarding.","author":[{"dropping-particle":"","family":"Huang","given":"Lei Vincent","non-dropping-particle":"","parse-names":false,"suffix":""},{"dropping-particle":"","family":"Yeo","given":"Tien Ee Dominic","non-dropping-particle":"","parse-names":false,"suffix":""}],"container-title":"Internet Research","id":"ITEM-1","issue":"1","issued":{"date-parts":[["2018"]]},"page":"123-142","title":"Tweeting #Leaders: Social Media Communication and Retweetability of Fortune 1000 Chief Executive Officers on Twitter","type":"article-journal","volume":"28"},"suppress-author":1,"uris":["http://www.mendeley.com/documents/?uuid=2f40b9fe-9eaf-4ccf-9232-76a4e2792e48"]}],"mendeley":{"formattedCitation":"(2018)","manualFormatting":"2018","plainTextFormattedCitation":"(2018)","previouslyFormattedCitation":"(2018)"},"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2018</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6080CD7" w14:textId="30FBF920"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Internet Research</w:t>
            </w:r>
          </w:p>
        </w:tc>
        <w:tc>
          <w:tcPr>
            <w:tcW w:w="2268" w:type="dxa"/>
            <w:hideMark/>
          </w:tcPr>
          <w:p w14:paraId="7DE13E23" w14:textId="7F22568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“How does Fortune 1000 CEOs’ industry background influence their messages’ retweetability?” (p. 126) “What types of content do Fortune 1000 CEOs post on Twitter? What types of content posted by Fortune 1000 CEOs are more likely to be retweeted?” (p. 127)</w:t>
            </w:r>
          </w:p>
        </w:tc>
        <w:tc>
          <w:tcPr>
            <w:tcW w:w="2693" w:type="dxa"/>
            <w:hideMark/>
          </w:tcPr>
          <w:p w14:paraId="4519C119" w14:textId="5B76DBB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“CEOs tweet to share information and insights, to promote their companies or products, to update work or life status, and to interact with the public. Original insights, promotional messages, and seasonal greetings were most likely to be retweeted. CEOs’ backgrounds, usage of hashtags, and certainty of language were also positively associated with retweetability” (p. 123).</w:t>
            </w:r>
          </w:p>
        </w:tc>
        <w:tc>
          <w:tcPr>
            <w:tcW w:w="1276" w:type="dxa"/>
            <w:hideMark/>
          </w:tcPr>
          <w:p w14:paraId="27BF8FF7" w14:textId="44DC620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1,068 tweets posted by 34 CEOs (Fortune 1000)</w:t>
            </w:r>
          </w:p>
        </w:tc>
        <w:tc>
          <w:tcPr>
            <w:tcW w:w="1276" w:type="dxa"/>
          </w:tcPr>
          <w:p w14:paraId="1308E55E" w14:textId="55D1259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regression analysis, correlation analysis</w:t>
            </w:r>
          </w:p>
        </w:tc>
        <w:tc>
          <w:tcPr>
            <w:tcW w:w="995" w:type="dxa"/>
            <w:hideMark/>
          </w:tcPr>
          <w:p w14:paraId="592E8255" w14:textId="676B1B7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Tweets </w:t>
            </w:r>
          </w:p>
        </w:tc>
      </w:tr>
      <w:tr w:rsidR="004B3FDE" w:rsidRPr="00F711FA" w14:paraId="1D8F4B0A" w14:textId="77777777" w:rsidTr="45483B6E">
        <w:trPr>
          <w:trHeight w:val="1134"/>
          <w:jc w:val="center"/>
        </w:trPr>
        <w:tc>
          <w:tcPr>
            <w:tcW w:w="1129" w:type="dxa"/>
            <w:noWrap/>
            <w:hideMark/>
          </w:tcPr>
          <w:p w14:paraId="1D32669B" w14:textId="66FDCF6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Li, M., Chng, E., Chong, A.Y.L., &amp; See, S.</w:t>
            </w:r>
          </w:p>
        </w:tc>
        <w:tc>
          <w:tcPr>
            <w:tcW w:w="1418" w:type="dxa"/>
            <w:hideMark/>
          </w:tcPr>
          <w:p w14:paraId="31971C87" w14:textId="10FFCEF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An Empirical Analysis of Emoji Usage on Twitter</w:t>
            </w:r>
          </w:p>
        </w:tc>
        <w:tc>
          <w:tcPr>
            <w:tcW w:w="585" w:type="dxa"/>
            <w:noWrap/>
            <w:hideMark/>
          </w:tcPr>
          <w:p w14:paraId="0D2E472E" w14:textId="37E49180"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{"citationItems":[{"id":"ITEM-1","itemData":{"DOI":"10.1108/IMDS-01-2019-0001","ISBN":"0120190001","ISSN":"02635577","abstract":"Purpose: Emoji has become an essential component of any digital communication and its importance can be attested to by its sustained popularity and widespread use. However, research in Emojis is rarely to be seen due to the lack of data at a greater scale. The purpose of this paper is to systematically analyse and compare the usage of Emojis in a cross-cultural manner. Design/methodology/approach: This research conducted an empirical analysis using a large-scale, cross-regional emoji usage data set from Twitter, a platform where the limited 140 characters allowance has made it essential for the inclusion of emojis within tweets. The extremely large textual data set covers a period of only two months, but the 673m tweets authored by more than 2,081,542 unique users is a sufficiently large sample for the authors to yield significant results. Findings: This research discovered that the categories and frequencies of Emojis communicated by users can provide a rich source of data to understand cultural differences between Twitter users from a large range of demographics. This research subsequently demonstrated the preferential use of Emojis complies with Hofstede’s Cultural Dimensions Model, in which different representations of demographics and culture within countries present significantly different use of Emojis to communicate emotions. Originality/value: This study provides a robust example of how to strategically conduct research using large-scale emoji data to pursue research questions previously difficult. To the best of authors’ knowledge, the present study pioneers the first systematic analysis and comparison of the usage of emojis on Twitter across different cultures; it is the largest, in terms of the scale study of emoji usage to-date.","author":[{"dropping-particle":"","family":"Li","given":"Mengdi","non-dropping-particle":"","parse-names":false,"suffix":""},{"dropping-particle":"","family":"Chng","given":"Eugene","non-dropping-particle":"","parse-names":false,"suffix":""},{"dropping-particle":"","family":"Chong","given":"Alain Yee Loong","non-dropping-particle":"","parse-names":false,"suffix":""},{"dropping-particle":"","family":"See","given":"Simon","non-dropping-particle":"","parse-names":false,"suffix":""}],"container-title":"Industrial Management and Data Systems","id":"ITEM-1","issue":"8","issued":{"date-parts":[["2019"]]},"page":"1748-1763","title":"An Empirical Analysis of Emoji Usage on Twitter","type":"article-journal","volume":"119"},"suppress-author":1,"uris":["http://www.mendeley.com/documents/?uuid=f81a46c7-2721-4fc3-9786-041e7a6afd4f"]}],"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36D64E9" w14:textId="3BD85E82"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Industrial Management and Data Systems</w:t>
            </w:r>
          </w:p>
        </w:tc>
        <w:tc>
          <w:tcPr>
            <w:tcW w:w="2268" w:type="dxa"/>
            <w:hideMark/>
          </w:tcPr>
          <w:p w14:paraId="56C51722" w14:textId="06D86BB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“systematically analyse and compare the usage of Emojis in a cross-cultural manner” (p. 1748).</w:t>
            </w:r>
          </w:p>
        </w:tc>
        <w:tc>
          <w:tcPr>
            <w:tcW w:w="2693" w:type="dxa"/>
            <w:hideMark/>
          </w:tcPr>
          <w:p w14:paraId="6215610B" w14:textId="533E64F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They show “that the categories and frequencies of Emojis communicated by users can provide a rich source of data to understand cultural differences between Twitter users from a large range of demographics. This research subsequently demonstrated the preferential use of Emojis complies with Hofstede’s Cultural Dimensions Model, in which different representations of demographics and culture within countries present significantly different use of Emojis to communicate emotions” (p. 1748).</w:t>
            </w:r>
          </w:p>
        </w:tc>
        <w:tc>
          <w:tcPr>
            <w:tcW w:w="1276" w:type="dxa"/>
            <w:hideMark/>
          </w:tcPr>
          <w:p w14:paraId="45FDF25F" w14:textId="6293D21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2,081,542 users and approximately 673,000,000 tweets, from which 8,880,000 tweets were processed (original data set; sample reduced to only emojis: not specified)</w:t>
            </w:r>
          </w:p>
        </w:tc>
        <w:tc>
          <w:tcPr>
            <w:tcW w:w="1276" w:type="dxa"/>
          </w:tcPr>
          <w:p w14:paraId="339AEF62" w14:textId="135103B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descriptive analysis, correlation analysis</w:t>
            </w:r>
          </w:p>
        </w:tc>
        <w:tc>
          <w:tcPr>
            <w:tcW w:w="995" w:type="dxa"/>
            <w:hideMark/>
          </w:tcPr>
          <w:p w14:paraId="29EDA994" w14:textId="1F2A44B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Tweets </w:t>
            </w:r>
          </w:p>
        </w:tc>
      </w:tr>
      <w:tr w:rsidR="004B3FDE" w:rsidRPr="00F711FA" w14:paraId="02BACABD" w14:textId="77777777" w:rsidTr="45483B6E">
        <w:trPr>
          <w:trHeight w:val="1134"/>
          <w:jc w:val="center"/>
        </w:trPr>
        <w:tc>
          <w:tcPr>
            <w:tcW w:w="1129" w:type="dxa"/>
            <w:noWrap/>
            <w:hideMark/>
          </w:tcPr>
          <w:p w14:paraId="1D3E81EC" w14:textId="7331082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Sheng, J.</w:t>
            </w:r>
          </w:p>
        </w:tc>
        <w:tc>
          <w:tcPr>
            <w:tcW w:w="1418" w:type="dxa"/>
            <w:hideMark/>
          </w:tcPr>
          <w:p w14:paraId="020AF28F" w14:textId="69C0701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Being Active in Online Communications: Firm Responsiveness and Customer Engagement Behaviour</w:t>
            </w:r>
          </w:p>
        </w:tc>
        <w:tc>
          <w:tcPr>
            <w:tcW w:w="585" w:type="dxa"/>
            <w:noWrap/>
            <w:hideMark/>
          </w:tcPr>
          <w:p w14:paraId="790817C9" w14:textId="41EFB6E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{"citationItems":[{"id":"ITEM-1","itemData":{"DOI":"10.1016/j.intmar.2018.11.004","ISSN":"10949968","abstract":"This research investigates the behavioral effects of firms' online activeness in influencing customer engagement in word-of-mouth communications. Using a large-scale field dataset of hotel reviews and managerial responses, this study empirically examines firm responsiveness in relationship to community members' participation in the online review posting. Novel findings are reported that response volume and speed are important for effecting firm–customer interactions. This highlights a firm-leading influence on customers' word-of-mouth behaviour by identifying firm engagement as a motivational driver of customer engagement. It offers implications for researchers and practitioners with regard to social media marketing, in particular firm engaging in the online communication network by acting in an active and prompt manner.","author":[{"dropping-particle":"","family":"Sheng","given":"Jie","non-dropping-particle":"","parse-names":false,"suffix":""}],"container-title":"Journal of Interactive Marketing","id":"ITEM-1","issued":{"date-parts":[["2019","5"]]},"page":"40-51","title":"Being Active in Online Communications: Firm Responsiveness and Customer Engagement Behaviour","type":"article-journal","volume":"46"},"suppress-author":1,"uris":["http://www.mendeley.com/documents/?uuid=d873dbcc-48f6-4e7d-9e35-e787e357667f"]}],"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68570EF" w14:textId="044C962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Interactive Marketing</w:t>
            </w:r>
          </w:p>
        </w:tc>
        <w:tc>
          <w:tcPr>
            <w:tcW w:w="2268" w:type="dxa"/>
            <w:hideMark/>
          </w:tcPr>
          <w:p w14:paraId="084A556C" w14:textId="4E783E1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 examines “behavioral effects of firms’ online activeness in influencing customer engagement in word-of-mouth communications” (p. 40).</w:t>
            </w:r>
          </w:p>
        </w:tc>
        <w:tc>
          <w:tcPr>
            <w:tcW w:w="2693" w:type="dxa"/>
            <w:hideMark/>
          </w:tcPr>
          <w:p w14:paraId="26BBC67C" w14:textId="2E33519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 shows “that response volume and speed are important for effecting firm–customer interactions. This highlights a firm-leading influence on customers' word-of-mouth behaviour by identifying firm engagement as a motivational driver of customer engagement” (p. 40).</w:t>
            </w:r>
          </w:p>
        </w:tc>
        <w:tc>
          <w:tcPr>
            <w:tcW w:w="1276" w:type="dxa"/>
            <w:hideMark/>
          </w:tcPr>
          <w:p w14:paraId="61B5E2BA" w14:textId="61A52DF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Not specified number of reviews and responses of/to 1,024 hotels from a review website</w:t>
            </w:r>
          </w:p>
        </w:tc>
        <w:tc>
          <w:tcPr>
            <w:tcW w:w="1276" w:type="dxa"/>
          </w:tcPr>
          <w:p w14:paraId="7816D5C4" w14:textId="64C1FBE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descriptive analysis</w:t>
            </w:r>
          </w:p>
        </w:tc>
        <w:tc>
          <w:tcPr>
            <w:tcW w:w="995" w:type="dxa"/>
            <w:hideMark/>
          </w:tcPr>
          <w:p w14:paraId="4F657809" w14:textId="7FC30FF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Hotel reviews and hotel’s responses</w:t>
            </w:r>
          </w:p>
        </w:tc>
      </w:tr>
      <w:tr w:rsidR="004B3FDE" w:rsidRPr="00F711FA" w14:paraId="2329BAC5" w14:textId="77777777" w:rsidTr="45483B6E">
        <w:trPr>
          <w:trHeight w:val="1134"/>
          <w:jc w:val="center"/>
        </w:trPr>
        <w:tc>
          <w:tcPr>
            <w:tcW w:w="1129" w:type="dxa"/>
            <w:noWrap/>
            <w:hideMark/>
          </w:tcPr>
          <w:p w14:paraId="5300637D" w14:textId="1999A9D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Xu, J.J., Fedorowicz, J., &amp; Williams, C.B.</w:t>
            </w:r>
          </w:p>
        </w:tc>
        <w:tc>
          <w:tcPr>
            <w:tcW w:w="1418" w:type="dxa"/>
            <w:hideMark/>
          </w:tcPr>
          <w:p w14:paraId="50F5A068" w14:textId="113466B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Effects of Symbol Sets and Needs Gratifications on Audience Engagement: Contextualizing Police Social Media Communication</w:t>
            </w:r>
          </w:p>
        </w:tc>
        <w:tc>
          <w:tcPr>
            <w:tcW w:w="585" w:type="dxa"/>
            <w:noWrap/>
            <w:hideMark/>
          </w:tcPr>
          <w:p w14:paraId="7A179922" w14:textId="6044FF89"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{"citationItems":[{"id":"ITEM-1","itemData":{"DOI":"10.17705/1jais.00543","ISSN":"15583457","abstract":"We propose a research model based on media synchronicity theory (MST) and examine how the use of different symbol sets (e.g., images and text) is related to audience engagement on social media. We include uses and gratifications theory (UGT) in the model to identify task characteristics that are relevant to message recipients in the specific context of community policing. Based on our analyses of Facebook posts by five police departments, we find first that, consistent with MST, posts conveying information garner more responses when accompanied by more natural symbol sets, and more textual content is preferred to less, but responses differ depending on the type of engagement: intimacy (likes), interaction (comments), or influence (shares). Second, posts intended for meaning convergence gratify the audience’s socialization and assistance needs and are positively related to intimacy and interaction. Finally, the fit between symbol sets and task characteristics impacts different dimensions of audience engagement. These findings provide empirical support for relying on MST when studying social media and for integrating with UGT to capture contextual task characteristics. We conclude the paper with a discussion of the implications of its findings for theory and offer recommendations for practice.","author":[{"dropping-particle":"","family":"Xu","given":"Jennifer J.","non-dropping-particle":"","parse-names":false,"suffix":""},{"dropping-particle":"","family":"Fedorowicz","given":"Jane","non-dropping-particle":"","parse-names":false,"suffix":""},{"dropping-particle":"","family":"Williams","given":"Christine B.","non-dropping-particle":"","parse-names":false,"suffix":""}],"container-title":"Journal of the Association for Information Systems","id":"ITEM-1","issue":"5","issued":{"date-parts":[["2019"]]},"page":"536-569","title":"Effects of symbol sets and needs gratifications on audience engagement: Contextualizing police social media communication","type":"article-journal","volume":"20"},"suppress-author":1,"uris":["http://www.mendeley.com/documents/?uuid=9a21df7a-98ac-46bc-aefe-8290e8f6272a"]}],"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65AA802" w14:textId="3976AA7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the Association for Information Systems</w:t>
            </w:r>
          </w:p>
        </w:tc>
        <w:tc>
          <w:tcPr>
            <w:tcW w:w="2268" w:type="dxa"/>
            <w:hideMark/>
          </w:tcPr>
          <w:p w14:paraId="0EEC3BE8" w14:textId="29E89EF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“propose a research model based on Media Synchronicity Theory (MST) and examine how the use of different symbol sets (e.g., images and text) is related to audience engagement on social media. [They] include uses and gratifications theory (UGT) in the model to identify task characteristics that are relevant to message recipients in the specific context of community policing” (p. 536).</w:t>
            </w:r>
          </w:p>
        </w:tc>
        <w:tc>
          <w:tcPr>
            <w:tcW w:w="2693" w:type="dxa"/>
            <w:hideMark/>
          </w:tcPr>
          <w:p w14:paraId="17C2EB68" w14:textId="39BC817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First, the authors find “that, consistent with MST, posts conveying information garner more responses when accompanied by more natural symbol sets, and more textual content is preferred to less, but responses differ depending on the type of engagement: intimacy (likes), interaction (comments), or influence (shares). Second, posts intended for meaning convergence gratify the audience’s socialization and assistance needs and are positively related to intimacy and interaction. Finally, the fit between symbol sets and task characteristics impacts different dimensions of audience engagement” (p. 536).</w:t>
            </w:r>
          </w:p>
        </w:tc>
        <w:tc>
          <w:tcPr>
            <w:tcW w:w="1276" w:type="dxa"/>
            <w:hideMark/>
          </w:tcPr>
          <w:p w14:paraId="0C049A6B" w14:textId="0A60F37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1,224 Facebook.com wall posts (224 were reposts from Twitter) from 5 US police departments (Massachusetts)</w:t>
            </w:r>
          </w:p>
        </w:tc>
        <w:tc>
          <w:tcPr>
            <w:tcW w:w="1276" w:type="dxa"/>
          </w:tcPr>
          <w:p w14:paraId="353E5383" w14:textId="6B5F659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regression analysis, correlation analysis</w:t>
            </w:r>
          </w:p>
        </w:tc>
        <w:tc>
          <w:tcPr>
            <w:tcW w:w="995" w:type="dxa"/>
            <w:hideMark/>
          </w:tcPr>
          <w:p w14:paraId="20E242CF" w14:textId="64F5655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Facebook posts (some were reposts from Twitter)</w:t>
            </w:r>
          </w:p>
        </w:tc>
      </w:tr>
      <w:tr w:rsidR="004B3FDE" w:rsidRPr="00F711FA" w14:paraId="77941085" w14:textId="77777777" w:rsidTr="45483B6E">
        <w:trPr>
          <w:trHeight w:val="945"/>
          <w:jc w:val="center"/>
        </w:trPr>
        <w:tc>
          <w:tcPr>
            <w:tcW w:w="1129" w:type="dxa"/>
            <w:noWrap/>
            <w:hideMark/>
          </w:tcPr>
          <w:p w14:paraId="12EEDA8E" w14:textId="4F37380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Palazzo, M., Vollero, A., Foroudi, P., &amp; Siano, A.</w:t>
            </w:r>
          </w:p>
        </w:tc>
        <w:tc>
          <w:tcPr>
            <w:tcW w:w="1418" w:type="dxa"/>
            <w:hideMark/>
          </w:tcPr>
          <w:p w14:paraId="70433BE5" w14:textId="0B250BF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Evaluating Constitutive Dimensions of CSR E-Communication: A Comparison Between 'Business-To-Business' and 'Close-To-Market' Companies</w:t>
            </w:r>
          </w:p>
        </w:tc>
        <w:tc>
          <w:tcPr>
            <w:tcW w:w="585" w:type="dxa"/>
            <w:noWrap/>
            <w:hideMark/>
          </w:tcPr>
          <w:p w14:paraId="5E5DB6E0" w14:textId="33DBF0B2"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{"citationItems":[{"id":"ITEM-1","itemData":{"DOI":"10.1080/1051712X.2019.1611087","ISSN":"15470628","abstract":"Purpose–The aim of the paper is to analyze if the proximity to market influences the extent of disclosure of Corporate Social Responsibility (CSR) on corporate websites of companies included in the Dow Jones Sustainability World Index (DJSWI). Methodology/Approach–Starting from an examination of the extant literature on CSR e-communication, the paper identified several key dimensions of the selected topic. Then, through a content analysis research design, the study explores how companies communicate on corporate websites their CSR efforts, applying a four-dimensional model. Findings–Different from assumptions (not demonstrated) in the previous research, the paper highlights that Business-to-Business (B-to-B) companies are more prone than Close-to-Market (C2M) organizations to be engaged in the disclosure both of CSR orientation (i.e. how their value statements reflect their commitment to sustainability) and structure (i.e. how they communicate their governance structure and certifications of CSR and how they engage with stakeholders). Moreover, the paper shows similarities in how C2M and B-to-B companies communicate their efforts in using interactive tools and presenting CSR content on their corporate websites. Research Implications–From a conceptual point of view, both institutional and political theories can explain why disclosure of CSR values, governance structures, and engagement mechanisms is becoming more and more frequent in B-to-B companies. These kinds of organizations are, in fact, potentially more problematic in terms of environmental issues. Hence, the paper demonstrates that the increased public scrutiny pushes B-to-B companies to play the parts of ‘political actors’, thus making them more likely to invest in processes that engage different stakeholders in CSR decision-making. Practical Implications–The research has the merit of tracing back the main differences between C2M and B-to-B companies in terms of CSR e-communication to the inherent nature of the industry to which organizations belong. This involves the view that managers of B-to-B companies can benefit from suggestions on how to use CSR e-communication to sustain specific corporate strategies. B-to-B companies are becoming more aware that mechanisms for approaching CSR communication can help them to prevent greenwashing accusations, which are very common and risky for industrial companies and their partners. Originality/Value/Contribution of the paper–The paper adds several insig…","author":[{"dropping-particle":"","family":"Palazzo","given":"Maria","non-dropping-particle":"","parse-names":false,"suffix":""},{"dropping-particle":"","family":"Vollero","given":"Agostino","non-dropping-particle":"","parse-names":false,"suffix":""},{"dropping-particle":"","family":"Foroudi","given":"Pantea","non-dropping-particle":"","parse-names":false,"suffix":""},{"dropping-particle":"","family":"Siano","given":"Alfonso","non-dropping-particle":"","parse-names":false,"suffix":""}],"container-title":"Journal of Business-to-Business Marketing","id":"ITEM-1","issue":"3-4","issued":{"date-parts":[["2019"]]},"page":"341-355","publisher":"Routledge","title":"Evaluating Constitutive Dimensions of CSR E-Communication: A Comparison between ‘Business-To-Business’ and ‘Close-To-Market’ Companies","type":"article-journal","volume":"26"},"suppress-author":1,"uris":["http://www.mendeley.com/documents/?uuid=d5368f34-ebc8-45b2-8c22-ada956043c6c"]}],"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C3DA4CA" w14:textId="726D67E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Business-to-Business Marketing</w:t>
            </w:r>
          </w:p>
        </w:tc>
        <w:tc>
          <w:tcPr>
            <w:tcW w:w="2268" w:type="dxa"/>
            <w:hideMark/>
          </w:tcPr>
          <w:p w14:paraId="73E7A50F" w14:textId="7B50496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aim “is to analyze if the proximity to market influences the extent of disclosure of Corporate Social Responsibility (CSR) on corporate websites of companies included in the Dow Jones Sustainability World Index (DJSWI)” (p. 341).</w:t>
            </w:r>
          </w:p>
        </w:tc>
        <w:tc>
          <w:tcPr>
            <w:tcW w:w="2693" w:type="dxa"/>
            <w:hideMark/>
          </w:tcPr>
          <w:p w14:paraId="18B41BD3" w14:textId="52E174B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They show that “Business-to-Business (B-to-B) companies are more prone than Close-to-Market (C2M) organizations to be engaged in the disclosure both of CSR orientation (i.e. how their value statements reflect their commitment to sustainability) and structure (i.e. how they communicate their governance structure and certifications of CSR and how they engage with stake- holders). Moreover, the paper shows similarities in how C2M and B-to-B companies communicate their efforts in using interactive tools and presenting CSR content on their corporate websites” (p. 341).</w:t>
            </w:r>
          </w:p>
        </w:tc>
        <w:tc>
          <w:tcPr>
            <w:tcW w:w="1276" w:type="dxa"/>
            <w:hideMark/>
          </w:tcPr>
          <w:p w14:paraId="125EED44" w14:textId="7AE2893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138 corporate websites of companies (indexed in the Dow Jones Sustainability Index)</w:t>
            </w:r>
          </w:p>
        </w:tc>
        <w:tc>
          <w:tcPr>
            <w:tcW w:w="1276" w:type="dxa"/>
          </w:tcPr>
          <w:p w14:paraId="5BB5A4B5" w14:textId="499D5E3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regression analysis</w:t>
            </w:r>
          </w:p>
        </w:tc>
        <w:tc>
          <w:tcPr>
            <w:tcW w:w="995" w:type="dxa"/>
            <w:hideMark/>
          </w:tcPr>
          <w:p w14:paraId="6FFDD2FC" w14:textId="0BBDF79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Website</w:t>
            </w:r>
          </w:p>
        </w:tc>
      </w:tr>
      <w:tr w:rsidR="004B3FDE" w:rsidRPr="00F711FA" w14:paraId="2CD0043A" w14:textId="77777777" w:rsidTr="45483B6E">
        <w:trPr>
          <w:trHeight w:val="1134"/>
          <w:jc w:val="center"/>
        </w:trPr>
        <w:tc>
          <w:tcPr>
            <w:tcW w:w="1129" w:type="dxa"/>
            <w:noWrap/>
            <w:hideMark/>
          </w:tcPr>
          <w:p w14:paraId="064AABA4" w14:textId="372B962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Samoggia, A., Bertazzoli, A., &amp; Ruggeri, A.</w:t>
            </w:r>
          </w:p>
        </w:tc>
        <w:tc>
          <w:tcPr>
            <w:tcW w:w="1418" w:type="dxa"/>
            <w:hideMark/>
          </w:tcPr>
          <w:p w14:paraId="79A766A6" w14:textId="2714C7E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Food Retailing Marketing Management: Social Media Communication for Healthy Food.</w:t>
            </w:r>
          </w:p>
        </w:tc>
        <w:tc>
          <w:tcPr>
            <w:tcW w:w="585" w:type="dxa"/>
            <w:noWrap/>
            <w:hideMark/>
          </w:tcPr>
          <w:p w14:paraId="2619F7BA" w14:textId="09558C8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{"citationItems":[{"id":"ITEM-1","itemData":{"DOI":"10.1108/IJRDM-08-2018-0178","ISSN":"09590552","abstract":"Purpose: Healthy food sales have increased in recent decades. Retailers are widening their marketing management approach, including the use of social media to communicate with consumers and to promote healthy food. The purpose of this paper is to investigate European retailers’ social media communication content used to promote healthy food products, by analysing retailers’ Twitter messages and accounts characteristics, retailers’ Twitter messages content on healthy food and retailers’ Twitter accounts orientation on healthy food. Design/methodology/approach: Data include approximately 74,000 tweets sent in 2016 from 90 corporate and brand accounts. The tweets were sent by the top 36 European retailers. Data elaboration includes quantitative content analysis of Twitter messages, which is used to identify healthy food categories’ occurrences and co-occurrences. Then, multiple multivariate-linear regression analyses explore the relation between retailers’ characteristics and healthy food messaging and between the overall content of retailer accounts and a healthy food focus. Findings: The vast majority of retailers’ tweets on healthy food issues mainly address general health and sustainability issues. Tweets about food health and nutrition refer to food types, meals or consumer segments. Tweets about food sustainability refer to general issues. Analysis of retailer accounts shows that the larger the retailer is, the lower the relevance of healthy food. Retailers with high numbers of tweets and followers tend to decrease their attention to healthy food promotion. Compared to retailers with lower revenues, retailers with higher revenues tend to send a higher number of tweets that focus on healthy food but the incidence is lower compared to the overall accounts’ messaging. Research limitations/implications: As the study focuses on a single category of food products, further research into other categories of retail products may contribute to a wider perspective. Future research may include graphical content/emoticons and extend the analysis to other social media platforms. Finally, social media data allow studies to cover a wide geographical area. However, in order to also value non-English written messaging, this research introduces some approximations in language interpretation. Practical implications: The research provides insights into how retailers use social media and provides an overview of how retailers manage their social media communication in one o…","author":[{"dropping-particle":"","family":"Samoggia","given":"Antonella","non-dropping-particle":"","parse-names":false,"suffix":""},{"dropping-particle":"","family":"Bertazzoli","given":"Aldo","non-dropping-particle":"","parse-names":false,"suffix":""},{"dropping-particle":"","family":"Ruggeri","given":"Arianna","non-dropping-particle":"","parse-names":false,"suffix":""}],"container-title":"International Journal of Retail and Distribution Management","id":"ITEM-1","issue":"9","issued":{"date-parts":[["2019"]]},"page":"928-956","title":"Food Retailing Marketing Management: Social Media Communication for Healthy Food","type":"article-journal","volume":"47"},"suppress-author":1,"uris":["http://www.mendeley.com/documents/?uuid=572a3a83-636e-4797-b694-2255a47c5f3c"]}],"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D415324" w14:textId="67AF6663"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International Journal of Retail &amp; Distribution Management</w:t>
            </w:r>
          </w:p>
        </w:tc>
        <w:tc>
          <w:tcPr>
            <w:tcW w:w="2268" w:type="dxa"/>
            <w:hideMark/>
          </w:tcPr>
          <w:p w14:paraId="5E1F6B3C" w14:textId="22DA56B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“investigate European retailers’ social media communication content used to promote healthy food products, by analysing retailers’ Twitter messages and accounts characteristics, retailers’ Twitter messages content on healthy food and retailers’ Twitter accounts orientation on healthy food” (p. 928).</w:t>
            </w:r>
          </w:p>
        </w:tc>
        <w:tc>
          <w:tcPr>
            <w:tcW w:w="2693" w:type="dxa"/>
            <w:hideMark/>
          </w:tcPr>
          <w:p w14:paraId="7661D0DC" w14:textId="6F65A08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vast majority of retailers’ tweets on healthy food issues mainly address general health and sustainability issues. Tweets about food health and nutrition refer to food types, meals or consumer segments. Tweets about food sustainability refer to general issues. Analysis of retailer accounts shows that the larger the retailer is, the lower the relevance of healthy food. Retailers with high numbers of tweets and followers tend to decrease their attention to healthy food promotion. Compared to retailers with lower revenues, retailers with higher revenues tend to send a higher number of tweets that focus on healthy food but the incidence is lower compared to the overall accounts’ messaging” (p. 928).</w:t>
            </w:r>
          </w:p>
        </w:tc>
        <w:tc>
          <w:tcPr>
            <w:tcW w:w="1276" w:type="dxa"/>
            <w:hideMark/>
          </w:tcPr>
          <w:p w14:paraId="23450F97" w14:textId="60C19D7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73,929 tweets from 90 corporate and brand accounts of 36 European food retailers</w:t>
            </w:r>
          </w:p>
        </w:tc>
        <w:tc>
          <w:tcPr>
            <w:tcW w:w="1276" w:type="dxa"/>
          </w:tcPr>
          <w:p w14:paraId="76005094" w14:textId="231D39A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/descriptive) content analysis (sub-sample coded manually), regression analysis</w:t>
            </w:r>
          </w:p>
        </w:tc>
        <w:tc>
          <w:tcPr>
            <w:tcW w:w="995" w:type="dxa"/>
            <w:hideMark/>
          </w:tcPr>
          <w:p w14:paraId="398B3729" w14:textId="61F102A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133D01EA" w14:textId="77777777" w:rsidTr="45483B6E">
        <w:trPr>
          <w:trHeight w:val="1134"/>
          <w:jc w:val="center"/>
        </w:trPr>
        <w:tc>
          <w:tcPr>
            <w:tcW w:w="1129" w:type="dxa"/>
            <w:noWrap/>
            <w:hideMark/>
          </w:tcPr>
          <w:p w14:paraId="433EE0DD" w14:textId="4692815F" w:rsidR="003A2397" w:rsidRPr="00411178" w:rsidRDefault="003A2397" w:rsidP="00071683">
            <w:pPr>
              <w:rPr>
                <w:rFonts w:ascii="Times New Roman" w:eastAsia="Times New Roman" w:hAnsi="Times New Roman" w:cs="Times New Roman"/>
                <w:color w:val="000000" w:themeColor="text1"/>
                <w:kern w:val="0"/>
                <w:sz w:val="16"/>
                <w:szCs w:val="16"/>
                <w:lang w:val="en-US"/>
                <w14:ligatures w14:val="none"/>
              </w:rPr>
            </w:pPr>
            <w:r w:rsidRPr="00411178">
              <w:rPr>
                <w:rFonts w:ascii="Times New Roman" w:eastAsia="Times New Roman" w:hAnsi="Times New Roman" w:cs="Times New Roman"/>
                <w:color w:val="000000" w:themeColor="text1"/>
                <w:kern w:val="0"/>
                <w:sz w:val="16"/>
                <w:szCs w:val="16"/>
                <w:lang w:val="en-US"/>
                <w14:ligatures w14:val="none"/>
              </w:rPr>
              <w:t>Lu, Q.S. &amp; Miller, R.</w:t>
            </w:r>
          </w:p>
        </w:tc>
        <w:tc>
          <w:tcPr>
            <w:tcW w:w="1418" w:type="dxa"/>
            <w:hideMark/>
          </w:tcPr>
          <w:p w14:paraId="5E45562D" w14:textId="5356779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How Social Media Communications Combine with Customer Loyalty Management to Boost Green Retail Sales</w:t>
            </w:r>
          </w:p>
        </w:tc>
        <w:tc>
          <w:tcPr>
            <w:tcW w:w="585" w:type="dxa"/>
            <w:noWrap/>
            <w:hideMark/>
          </w:tcPr>
          <w:p w14:paraId="2507D8A9" w14:textId="4156C6D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{"citationItems":[{"id":"ITEM-1","itemData":{"DOI":"10.1016/j.intmar.2018.12.005","ISSN":"10949968","abstract":"This paper explores the combined impact of social media and customer relationship management (CRM) on retail sales in the context of green (aka organic, natural and healthy) retailing, specifically in terms of duration. In particular, the study explores the impact on green retail sales of altruistic or egoistic marketing posts on a Facebook brand page relative to CRM membership over time compared with other types of sales. The results show that the purchase expenditures for longer-term members of a retailer's loyalty rewards program are higher and that over time, consumers are more likely to respond to messages related to healthy benefits than to those related to price and environmental benefits. This study demonstrates the value of managing social media in conjunction with CRM, which can positively influence the purchase behavior of a retailer's most valuable customers.","author":[{"dropping-particle":"","family":"Lu","given":"Qiang Steven","non-dropping-particle":"","parse-names":false,"suffix":""},{"dropping-particle":"","family":"Miller","given":"Rohan","non-dropping-particle":"","parse-names":false,"suffix":""}],"container-title":"Journal of Interactive Marketing","id":"ITEM-1","issue":"1","issued":{"date-parts":[["2019","5"]]},"page":"87-100","title":"How Social Media Communications Combine with Customer Loyalty Management to Boost Green Retail Sales","type":"article-journal","volume":"46"},"suppress-author":1,"uris":["http://www.mendeley.com/documents/?uuid=bd5b5c21-0428-4478-ac38-2da1dde731f1"]}],"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90F9CD8" w14:textId="79E1CCC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Interactive Marketing</w:t>
            </w:r>
          </w:p>
        </w:tc>
        <w:tc>
          <w:tcPr>
            <w:tcW w:w="2268" w:type="dxa"/>
            <w:hideMark/>
          </w:tcPr>
          <w:p w14:paraId="2700CEF4" w14:textId="764CE12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explore “the impact on green retail sales of altruistic or egoistic marketing posts on a Facebook brand page relative to CRM membership over time compared with other types of sales” (p. 87).</w:t>
            </w:r>
          </w:p>
        </w:tc>
        <w:tc>
          <w:tcPr>
            <w:tcW w:w="2693" w:type="dxa"/>
            <w:hideMark/>
          </w:tcPr>
          <w:p w14:paraId="6510413A" w14:textId="7A7C4B4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demonstrate “that the purchase expenditures for longer-term members of a retailer's loyalty rewards program are higher and that over time, consumers are more likely to respond to messages related to healthy benefits than to those related to price and environmental benefit” (p. 87).</w:t>
            </w:r>
          </w:p>
        </w:tc>
        <w:tc>
          <w:tcPr>
            <w:tcW w:w="1276" w:type="dxa"/>
            <w:hideMark/>
          </w:tcPr>
          <w:p w14:paraId="00B71F5C" w14:textId="1519D38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960 posts from a green product retailer’s Facebook brand page</w:t>
            </w:r>
          </w:p>
        </w:tc>
        <w:tc>
          <w:tcPr>
            <w:tcW w:w="1276" w:type="dxa"/>
          </w:tcPr>
          <w:p w14:paraId="7928137D" w14:textId="16519C2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Case Study: Manual content analysis</w:t>
            </w:r>
          </w:p>
        </w:tc>
        <w:tc>
          <w:tcPr>
            <w:tcW w:w="995" w:type="dxa"/>
            <w:hideMark/>
          </w:tcPr>
          <w:p w14:paraId="3F5AA371" w14:textId="14681CD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Facebook posts</w:t>
            </w:r>
          </w:p>
        </w:tc>
      </w:tr>
      <w:tr w:rsidR="004B3FDE" w:rsidRPr="002E6D00" w14:paraId="08A2F909" w14:textId="77777777" w:rsidTr="45483B6E">
        <w:trPr>
          <w:trHeight w:val="1134"/>
          <w:jc w:val="center"/>
        </w:trPr>
        <w:tc>
          <w:tcPr>
            <w:tcW w:w="1129" w:type="dxa"/>
            <w:noWrap/>
            <w:hideMark/>
          </w:tcPr>
          <w:p w14:paraId="267F3C03" w14:textId="6E72EB4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Colladon, A.F. &amp; Gloor, P.A.</w:t>
            </w:r>
          </w:p>
        </w:tc>
        <w:tc>
          <w:tcPr>
            <w:tcW w:w="1418" w:type="dxa"/>
            <w:hideMark/>
          </w:tcPr>
          <w:p w14:paraId="7A2DF5EF" w14:textId="4EE5878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Measuring The Impact of Spammers on E-Mail and Twitter Networks</w:t>
            </w:r>
          </w:p>
        </w:tc>
        <w:tc>
          <w:tcPr>
            <w:tcW w:w="585" w:type="dxa"/>
            <w:noWrap/>
            <w:hideMark/>
          </w:tcPr>
          <w:p w14:paraId="5040D087" w14:textId="6EBE111E"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{"citationItems":[{"id":"ITEM-1","itemData":{"DOI":"10.1016/j.ijinfomgt.2018.09.009","ISSN":"02684012","abstract":"This paper investigates the research question if senders of large amounts of irrelevant or unsolicited information – commonly called “spammers” – distort the network structure of social networks. Two large social networks are analyzed, the first extracted from the Twitter discourse about a big telecommunication company, and the second obtained from three years of email communication of 200 managers working for a large multinational company. This work compares network robustness and the stability of centrality and interaction metrics, as well as the use of language, after removing spammers and the most and least connected nodes. The results show that spammers do not significantly alter the structure of the information-carrying network, for most of the social indicators. The authors additionally investigate the correlation between e-mail subject line and content by tracking language sentiment, emotionality, and complexity, addressing the cases where collecting email bodies is not permitted for privacy reasons. The findings extend the research about robustness and stability of social networks metrics, after the application of graph simplification strategies. The results have practical implication for network analysts and for those company managers who rely on network analytics (applied to company emails and social media data) to support their decision-making processes.","author":[{"dropping-particle":"","family":"Colladon","given":"Andrea Fronzetti","non-dropping-particle":"","parse-names":false,"suffix":""},{"dropping-particle":"","family":"Gloor","given":"Peter A.","non-dropping-particle":"","parse-names":false,"suffix":""}],"container-title":"International Journal of Information Management","id":"ITEM-1","issued":{"date-parts":[["2019"]]},"page":"254-262","publisher":"Elsevier","title":"Measuring the Impact of Spammers on E-Mail and Twitter Networks","type":"article-journal","volume":"48"},"suppress-author":1,"uris":["http://www.mendeley.com/documents/?uuid=15c84899-fbcf-4b7e-8549-b12da216d297"]}],"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18CAAE0" w14:textId="5EBFA6A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International Journal of Information Management</w:t>
            </w:r>
          </w:p>
        </w:tc>
        <w:tc>
          <w:tcPr>
            <w:tcW w:w="2268" w:type="dxa"/>
            <w:hideMark/>
          </w:tcPr>
          <w:p w14:paraId="6C84396D" w14:textId="43A00B9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answer the research question “do spammers influence the social network structure?” (p. 255).</w:t>
            </w:r>
          </w:p>
        </w:tc>
        <w:tc>
          <w:tcPr>
            <w:tcW w:w="2693" w:type="dxa"/>
            <w:hideMark/>
          </w:tcPr>
          <w:p w14:paraId="279BF393" w14:textId="12ED319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spammers do not significantly alter the structure of the information-carrying network, for most of the social indicators” (p. 254).</w:t>
            </w:r>
          </w:p>
        </w:tc>
        <w:tc>
          <w:tcPr>
            <w:tcW w:w="1276" w:type="dxa"/>
            <w:hideMark/>
          </w:tcPr>
          <w:p w14:paraId="2A040699" w14:textId="5E16A70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More than 260,000 emails from 200 managers of a large (US) company; 17,000 Twitter accounts from tweets with “content relevant to a large multinational company” (p. 256).</w:t>
            </w:r>
          </w:p>
        </w:tc>
        <w:tc>
          <w:tcPr>
            <w:tcW w:w="1276" w:type="dxa"/>
          </w:tcPr>
          <w:p w14:paraId="0527E8E9" w14:textId="16C37FE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network analysis, content analysis, correlation analysis</w:t>
            </w:r>
          </w:p>
        </w:tc>
        <w:tc>
          <w:tcPr>
            <w:tcW w:w="995" w:type="dxa"/>
            <w:hideMark/>
          </w:tcPr>
          <w:p w14:paraId="5FE2534F" w14:textId="7A61633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Tweets</w:t>
            </w:r>
          </w:p>
        </w:tc>
      </w:tr>
      <w:tr w:rsidR="004B3FDE" w:rsidRPr="002E6D00" w14:paraId="6765E3F0" w14:textId="77777777" w:rsidTr="45483B6E">
        <w:trPr>
          <w:trHeight w:val="1134"/>
          <w:jc w:val="center"/>
        </w:trPr>
        <w:tc>
          <w:tcPr>
            <w:tcW w:w="1129" w:type="dxa"/>
            <w:noWrap/>
            <w:hideMark/>
          </w:tcPr>
          <w:p w14:paraId="6F3880FE" w14:textId="0BC64FA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Aleti, T., Pallant, J.I., Tuan, A., &amp; van Laer, T.</w:t>
            </w:r>
          </w:p>
        </w:tc>
        <w:tc>
          <w:tcPr>
            <w:tcW w:w="1418" w:type="dxa"/>
            <w:hideMark/>
          </w:tcPr>
          <w:p w14:paraId="65B98F5A" w14:textId="23F2C21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Tweeting With the Stars: Automated Text Analysis of the Effect of Celebrity Social Media Communications on Consumer Word of Mouth</w:t>
            </w:r>
          </w:p>
        </w:tc>
        <w:tc>
          <w:tcPr>
            <w:tcW w:w="585" w:type="dxa"/>
            <w:noWrap/>
            <w:hideMark/>
          </w:tcPr>
          <w:p w14:paraId="1ABD4BEF" w14:textId="2F735282"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{"citationItems":[{"id":"ITEM-1","itemData":{"DOI":"10.1016/j.intmar.2019.03.003","ISSN":"15206653","abstract":"Prior research has focused on analyzing the content and intent of celebrity social media communications. By observing that the linguistic style of such celebrity communications drives consumer word of mouth, the main goal of the current research is to broaden this limited perspective. An automated text analysis of narrative/analytical, internally/externally focused, and negative/positive emotional styles in tweets by celebrity chefs, personal trainers, and fashion bloggers was conducted to this effect. The findings are threefold. First, across celebrity categories externally focused, narrative styles are more effective in terms of word of mouth. Second, emotional styles are not effective. Third, angry outbursts are an exception; they are effective drivers of word of mouth for personal trainers. As such, this research furthers scholarly and practitioner understanding of the state-the-art of celebrity social media communication: the effect of tweets' linguistic styles on consumer word of mouth.","author":[{"dropping-particle":"","family":"Aleti","given":"Torgeir","non-dropping-particle":"","parse-names":false,"suffix":""},{"dropping-particle":"","family":"Pallant","given":"Jason I.","non-dropping-particle":"","parse-names":false,"suffix":""},{"dropping-particle":"","family":"Tuan","given":"Annamaria","non-dropping-particle":"","parse-names":false,"suffix":""},{"dropping-particle":"","family":"Laer","given":"Tom","non-dropping-particle":"van","parse-names":false,"suffix":""}],"container-title":"Journal of Interactive Marketing","id":"ITEM-1","issue":"1","issued":{"date-parts":[["2019"]]},"page":"17-32","title":"Tweeting with the Stars: Automated Text Analysis of the Effect of Celebrity Social Media Communications on Consumer Word of Mouth","type":"article-journal","volume":"48"},"suppress-author":1,"uris":["http://www.mendeley.com/documents/?uuid=b37de5c1-d6b7-46c6-8e12-9bd82b72b214"]}],"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B16DA4D" w14:textId="10936B9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Interactive Marketing</w:t>
            </w:r>
          </w:p>
        </w:tc>
        <w:tc>
          <w:tcPr>
            <w:tcW w:w="2268" w:type="dxa"/>
            <w:hideMark/>
          </w:tcPr>
          <w:p w14:paraId="66C1AAF0" w14:textId="5E30A66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“investigate how celebrities’ use of function and emotion words impact consumer retweets” (p. 18).</w:t>
            </w:r>
          </w:p>
        </w:tc>
        <w:tc>
          <w:tcPr>
            <w:tcW w:w="2693" w:type="dxa"/>
            <w:hideMark/>
          </w:tcPr>
          <w:p w14:paraId="2EC7B9D7" w14:textId="54AF362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“First, across celebrity categories externally focused, narrative styles are more effective in terms of word of mouth. Second, emotional styles are not effective. Third, angry outbursts are an exception; they are effective drivers of word of mouth for personal trainers” (p. 17).</w:t>
            </w:r>
          </w:p>
        </w:tc>
        <w:tc>
          <w:tcPr>
            <w:tcW w:w="1276" w:type="dxa"/>
            <w:hideMark/>
          </w:tcPr>
          <w:p w14:paraId="5FC66BBB" w14:textId="2A0A52B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20,993 tweets from 9 celebrity profiles on Twitter</w:t>
            </w:r>
          </w:p>
        </w:tc>
        <w:tc>
          <w:tcPr>
            <w:tcW w:w="1276" w:type="dxa"/>
          </w:tcPr>
          <w:p w14:paraId="50A185A2" w14:textId="47AA91A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Automated content analysis, descriptive analysis, </w:t>
            </w:r>
          </w:p>
        </w:tc>
        <w:tc>
          <w:tcPr>
            <w:tcW w:w="995" w:type="dxa"/>
            <w:hideMark/>
          </w:tcPr>
          <w:p w14:paraId="70C59805" w14:textId="340F78F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F711FA" w14:paraId="005C7507" w14:textId="77777777" w:rsidTr="45483B6E">
        <w:trPr>
          <w:trHeight w:val="465"/>
          <w:jc w:val="center"/>
        </w:trPr>
        <w:tc>
          <w:tcPr>
            <w:tcW w:w="1129" w:type="dxa"/>
            <w:noWrap/>
            <w:hideMark/>
          </w:tcPr>
          <w:p w14:paraId="4AE64C39" w14:textId="50B8AC2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Raman, R., Bhattacharya, S., &amp; Pramod, D.</w:t>
            </w:r>
          </w:p>
        </w:tc>
        <w:tc>
          <w:tcPr>
            <w:tcW w:w="1418" w:type="dxa"/>
            <w:hideMark/>
          </w:tcPr>
          <w:p w14:paraId="0006FEFA" w14:textId="3C8AAC1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Predict Employee Attrition by Using Predictive Analytics</w:t>
            </w:r>
          </w:p>
        </w:tc>
        <w:tc>
          <w:tcPr>
            <w:tcW w:w="585" w:type="dxa"/>
            <w:noWrap/>
            <w:hideMark/>
          </w:tcPr>
          <w:p w14:paraId="27706F40" w14:textId="1C82208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{"citationItems":[{"id":"ITEM-1","itemData":{"DOI":"10.1108/BIJ-03-2018-0083","ISSN":"14635771","abstract":"Purpose: Research questions that this paper attempts to answer are – do the features in general email communication have any significance to a teaching faculty member leaving the business school? Do the sentiments expressed in email communication have any significance to a teaching faculty member leaving the business school? Do the stages mentioned in the transtheoretical model have any relevance to the email behaviour of an individual when he or she goes through the decision process leading to the decision to quit? The purpose of this paper is to study email patterns and use predictive analytics to correlate with the real-world situation of leaving the business school. Design/methodology/approach: The email repository (2010–2017) of 126 teaching faculty members who were associated with a business school as full-time faculty members is the data set that was used for the research. Of the 126 teaching faculty members, 42 had left the business school during this time frame. Correlation analysis, word count analysis and sentiment analysis were executed using “R” programming, and sentiment “R” package was used to understand the sentiment and its association in leaving the business school. From the email repository, a rich feature set of data was extracted for correlation analysis to discover the features which had strong correlation with the faculty member leaving the business school. The research also used data-logging tools to extract aggregated statistics for word frequency counts and sentiment features. Findings: Those faculty members who decide to leave are involved more in external communication and less in internal communications. Also, those who decide to leave initiate fewer email conversations and opt to forward emails to colleagues. Correlation analysis shows that negative sentiment goes down, as faculty members leave the organisation and this is in contrary to the existing review of literature. The research also shows that the triggering point or the intention to leave is positively correlated to the downward swing of the emotional valence (positive sentiment). A number of email features have shown change in patterns which are correlated to a faculty member quitting the business school. Research limitations/implications: Faculty members of only one business school have been considered and this is primary due to cost, privacy and complexities involved in procuring and handling the data. Also, the reasons for exhibiting the sentiments and their roo…","author":[{"dropping-particle":"","family":"Raman","given":"Ramakrishnan","non-dropping-particle":"","parse-names":false,"suffix":""},{"dropping-particle":"","family":"Bhattacharya","given":"Sandeep","non-dropping-particle":"","parse-names":false,"suffix":""},{"dropping-particle":"","family":"Pramod","given":"Dhanya","non-dropping-particle":"","parse-names":false,"suffix":""}],"container-title":"Benchmarking","id":"ITEM-1","issue":"1","issued":{"date-parts":[["2019"]]},"page":"2-18","title":"Predict Employee Attrition by using Predictive Analytics","type":"article-journal","volume":"26"},"suppress-author":1,"uris":["http://www.mendeley.com/documents/?uuid=9842fa6f-baea-49f3-b0ca-e9eba03726f7"]}],"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F68A718" w14:textId="2C21BB1E"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Benchmarking: An International Journal</w:t>
            </w:r>
          </w:p>
        </w:tc>
        <w:tc>
          <w:tcPr>
            <w:tcW w:w="2268" w:type="dxa"/>
            <w:hideMark/>
          </w:tcPr>
          <w:p w14:paraId="0CDF17B8" w14:textId="5556436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answer the research questions “do the features in general email communication have any significance to a teaching faculty member leaving the business school? Do the sentiments expressed in email communication have any significance to a teaching faculty member leaving the business school? Do the stages mentioned in the transtheoretical model have any relevance to the email behaviour of an individual when he or she goes through the decision process leading to the decision to quit?” (p. 2)</w:t>
            </w:r>
          </w:p>
        </w:tc>
        <w:tc>
          <w:tcPr>
            <w:tcW w:w="2693" w:type="dxa"/>
            <w:hideMark/>
          </w:tcPr>
          <w:p w14:paraId="659D92B5" w14:textId="7674345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“Those faculty members who decide to leave are involved more in external communication and less in internal communications. Also, those who decide to leave initiate fewer email conversations and opt to forward emails to colleagues. Correlation analysis shows that negative sentiment goes down, as faculty members leave the organisation and this is in contrary to the existing review of literature. The research also shows that the triggering point or the intention to leave is positively correlated to the downward swing of the emotional valence (positive sentiment). A number of email features have shown change in patterns which are correlated to a faculty member quitting the business school” (p. 2)</w:t>
            </w:r>
          </w:p>
        </w:tc>
        <w:tc>
          <w:tcPr>
            <w:tcW w:w="1276" w:type="dxa"/>
            <w:hideMark/>
          </w:tcPr>
          <w:p w14:paraId="753D1793" w14:textId="2512CC6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(number not specified) from 126 full-time faculty members from a business school (2010-2017)</w:t>
            </w:r>
          </w:p>
        </w:tc>
        <w:tc>
          <w:tcPr>
            <w:tcW w:w="1276" w:type="dxa"/>
          </w:tcPr>
          <w:p w14:paraId="3130BDB8" w14:textId="3693DEB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descriptive analysis, correlation analysis</w:t>
            </w:r>
          </w:p>
        </w:tc>
        <w:tc>
          <w:tcPr>
            <w:tcW w:w="995" w:type="dxa"/>
            <w:hideMark/>
          </w:tcPr>
          <w:p w14:paraId="049C6F0A" w14:textId="4BE527B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(promotional)</w:t>
            </w:r>
          </w:p>
        </w:tc>
      </w:tr>
      <w:tr w:rsidR="004B3FDE" w:rsidRPr="002E6D00" w14:paraId="1A0FDB6E" w14:textId="77777777" w:rsidTr="45483B6E">
        <w:trPr>
          <w:trHeight w:val="1134"/>
          <w:jc w:val="center"/>
        </w:trPr>
        <w:tc>
          <w:tcPr>
            <w:tcW w:w="1129" w:type="dxa"/>
            <w:noWrap/>
            <w:hideMark/>
          </w:tcPr>
          <w:p w14:paraId="76024F54" w14:textId="245C17E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Moor, L. &amp; Kanji, S.</w:t>
            </w:r>
          </w:p>
        </w:tc>
        <w:tc>
          <w:tcPr>
            <w:tcW w:w="1418" w:type="dxa"/>
            <w:hideMark/>
          </w:tcPr>
          <w:p w14:paraId="51AA35CA" w14:textId="739E1FA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Money and Relationships Online: Communication and Norm Formation in Women’s Discussions of Couple Resource Allocation</w:t>
            </w:r>
          </w:p>
        </w:tc>
        <w:tc>
          <w:tcPr>
            <w:tcW w:w="585" w:type="dxa"/>
            <w:noWrap/>
            <w:hideMark/>
          </w:tcPr>
          <w:p w14:paraId="09DE5A62" w14:textId="36F11182"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{"citationItems":[{"id":"ITEM-1","itemData":{"DOI":"10.1111/1468-4446.12492","ISSN":"0007-1315","PMID":"30294888","abstract":"Research on intra‐household resource allocation practices has largely ignored the role of communication within but especially beyond the household. This article shows that discussions engaged in outside of the household shed light on intra‐household deliberation and also contribute to an understanding of how norms are formed and used in discussions and negotiations. Using data from the website Mumsnet, and grounding our analysis in a framework that combines the literature on gender norms in allocation practices with insights from the study of online communication, we contribute to the sociological literature on household distribution in three ways: first, we show that women use discussion sites like Mumsnet to clarify and sometimes contest social norms regarding money and relationships; second, we show that users conceive the ability to communicate with partners as a source of ‘relationship power’ and use online discussion with other women to develop that skill; third, we argue that sites like Mumsnet provide fresh insights into household resource allocation processes. The article concludes with a broader discussion of the role of communication in household distribution and the value of online data for understanding such processes.","author":[{"dropping-particle":"","family":"Moor","given":"Liz","non-dropping-particle":"","parse-names":false,"suffix":""},{"dropping-particle":"","family":"Kanji","given":"Shireen","non-dropping-particle":"","parse-names":false,"suffix":""}],"container-title":"The British Journal of Sociology","id":"ITEM-1","issue":"3","issued":{"date-parts":[["2019","6","7"]]},"page":"948-968","title":"Money and Relationships Online: Communication and Norm Formation in Women’s Discussions of Couple Resource Allocation","type":"article-journal","volume":"70"},"suppress-author":1,"uris":["http://www.mendeley.com/documents/?uuid=d91474bd-8d2c-47df-b9ef-b15fb5788dd3"]}],"mendeley":{"formattedCitation":"(2019)","manualFormatting":"2019","plainTextFormattedCitation":"(2019)","previouslyFormattedCitation":"(2019)"},"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2019</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23E0678" w14:textId="065059E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British Journal of Sociology</w:t>
            </w:r>
          </w:p>
        </w:tc>
        <w:tc>
          <w:tcPr>
            <w:tcW w:w="2268" w:type="dxa"/>
            <w:hideMark/>
          </w:tcPr>
          <w:p w14:paraId="108AEB29" w14:textId="1D9FF10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“shed light on intra-household deliberation and also contribute to an understanding of how norms are formed and used in discussions and negotiations” (p. 948).</w:t>
            </w:r>
          </w:p>
        </w:tc>
        <w:tc>
          <w:tcPr>
            <w:tcW w:w="2693" w:type="dxa"/>
            <w:hideMark/>
          </w:tcPr>
          <w:p w14:paraId="3C6C34E6" w14:textId="6048C8A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“[F]irst, [they] show that women use discussion sites like Mumsnet to clarify and sometimes contest social norms regarding money and relationships; second, [they] show that users conceive the ability to communicate with partners as a source of ‘relationship power’ and use online discussion with other women to develop that skill; third, [they] argue that sites like Mumsnet provide fresh insights into household resource allocation processes” (p. 948).</w:t>
            </w:r>
          </w:p>
        </w:tc>
        <w:tc>
          <w:tcPr>
            <w:tcW w:w="1276" w:type="dxa"/>
            <w:hideMark/>
          </w:tcPr>
          <w:p w14:paraId="1F7A8313" w14:textId="34253D9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36 research threads from ‘Mumsnet’ each containing between 13 to 681 contributions.</w:t>
            </w:r>
          </w:p>
        </w:tc>
        <w:tc>
          <w:tcPr>
            <w:tcW w:w="1276" w:type="dxa"/>
          </w:tcPr>
          <w:p w14:paraId="2189412A" w14:textId="5E81114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(tool-assisted coding)</w:t>
            </w:r>
          </w:p>
        </w:tc>
        <w:tc>
          <w:tcPr>
            <w:tcW w:w="995" w:type="dxa"/>
            <w:hideMark/>
          </w:tcPr>
          <w:p w14:paraId="32985C0B" w14:textId="49B78C2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Thread posts</w:t>
            </w:r>
          </w:p>
        </w:tc>
      </w:tr>
      <w:tr w:rsidR="004B3FDE" w:rsidRPr="002E6D00" w14:paraId="42D1AF54" w14:textId="77777777" w:rsidTr="45483B6E">
        <w:trPr>
          <w:trHeight w:val="1134"/>
          <w:jc w:val="center"/>
        </w:trPr>
        <w:tc>
          <w:tcPr>
            <w:tcW w:w="1129" w:type="dxa"/>
            <w:noWrap/>
            <w:hideMark/>
          </w:tcPr>
          <w:p w14:paraId="6D61BEBC" w14:textId="737AB4C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Singh, S.K., Marinova, D., &amp; Singh, J.</w:t>
            </w:r>
          </w:p>
        </w:tc>
        <w:tc>
          <w:tcPr>
            <w:tcW w:w="1418" w:type="dxa"/>
            <w:hideMark/>
          </w:tcPr>
          <w:p w14:paraId="59DF1FD7" w14:textId="117BB0F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Business-to-Business E-Negotiations and Influence Tactics</w:t>
            </w:r>
          </w:p>
        </w:tc>
        <w:tc>
          <w:tcPr>
            <w:tcW w:w="585" w:type="dxa"/>
            <w:noWrap/>
            <w:hideMark/>
          </w:tcPr>
          <w:p w14:paraId="5FD56A86" w14:textId="1CB90233"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{"citationItems":[{"id":"ITEM-1","itemData":{"DOI":"10.1177/0022242919899381","ISSN":"15477185","abstract":"E-negotiations, or sales negotiations over email, are increasingly common in business-to-business (B2B) sales, but little is known about selling effectiveness in this medium. This research investigates salespeople’s use of influence tactics as textual cues to manage buyers’ attention during B2B e-negotiations to win sales contract award. Drawing on studies of attention as a selection heuristic, the authors advance the literature on mechanisms of sales influence by theorizing buyer attention as a key mediating variable between the use of influence tactics and contract award. They use a unique, longitudinal panel spanning more than two years of email communications between buyers and salespeople during B2B sales negotiations to develop a validated corpus of textual cues that are diagnostic of salespeople’s influence tactics in e-negotiations. These e-communications data are augmented by salesperson in-depth interviews and survey, archival performance data, and a controlled experimental study with professional salespeople. The obtained results indicate that the concurrent use of compliance or internalization-based tactics as textual cues bolsters buyers’ attention and is associated with greater likelihood of contract award. In contrast, concurrent use of compliance and internalization-based tactics is prone to degrade buyer attention and likely to put the salesperson at a disadvantage in closing the contract award.","author":[{"dropping-particle":"","family":"Singh","given":"Sunil K.","non-dropping-particle":"","parse-names":false,"suffix":""},{"dropping-particle":"","family":"Marinova","given":"Detelina","non-dropping-particle":"","parse-names":false,"suffix":""},{"dropping-particle":"","family":"Singh","given":"Jagdip","non-dropping-particle":"","parse-names":false,"suffix":""}],"container-title":"Journal of Marketing","id":"ITEM-1","issue":"2","issued":{"date-parts":[["2020"]]},"page":"47-68","title":"Business-to-Business E-Negotiations and Influence Tactics","type":"article-journal","volume":"84"},"suppress-author":1,"uris":["http://www.mendeley.com/documents/?uuid=b7432d35-cb13-4f67-86f8-8dc19b77ae44"]}],"mendeley":{"formattedCitation":"(2020)","manualFormatting":"2020","plainTextFormattedCitation":"(2020)","previouslyFormattedCitation":"(2020)"},"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2020</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9647458" w14:textId="43BDF119"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Marketing</w:t>
            </w:r>
          </w:p>
        </w:tc>
        <w:tc>
          <w:tcPr>
            <w:tcW w:w="2268" w:type="dxa"/>
            <w:hideMark/>
          </w:tcPr>
          <w:p w14:paraId="3DD00965" w14:textId="144553F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investigate “salespeople’s use of influence tactics as textual cues to manage buyers’ attention during B2B e-negotiations to win sales contract award” (p. 47).</w:t>
            </w:r>
          </w:p>
        </w:tc>
        <w:tc>
          <w:tcPr>
            <w:tcW w:w="2693" w:type="dxa"/>
            <w:hideMark/>
          </w:tcPr>
          <w:p w14:paraId="71052EB9" w14:textId="7A6CBD56" w:rsidR="003A2397" w:rsidRPr="002E6D00" w:rsidRDefault="003A2397" w:rsidP="008C4856">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“[R]esults indicate that the concurrent use of compliance or internalization-based tactics as textual cues bolsters buyers’ attention and is associated with greater likelihood of contract award. In contrast, concurrent use of compliance and internalization-based tactics is prone to degrade buyer attention and likely to put the salesperson at a disadvantage in closing the contract award” (p. 47).</w:t>
            </w:r>
          </w:p>
        </w:tc>
        <w:tc>
          <w:tcPr>
            <w:tcW w:w="1276" w:type="dxa"/>
            <w:hideMark/>
          </w:tcPr>
          <w:p w14:paraId="61C4962C" w14:textId="35BAEDF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47 distinct sales e-negotiations (email) from 9 sales persons of a global B2B industrial manufacturing firm</w:t>
            </w:r>
          </w:p>
        </w:tc>
        <w:tc>
          <w:tcPr>
            <w:tcW w:w="1276" w:type="dxa"/>
          </w:tcPr>
          <w:p w14:paraId="4B6E8FAC" w14:textId="4E04BDA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(manual check of a sub-sample), regression analysis</w:t>
            </w:r>
          </w:p>
        </w:tc>
        <w:tc>
          <w:tcPr>
            <w:tcW w:w="995" w:type="dxa"/>
            <w:hideMark/>
          </w:tcPr>
          <w:p w14:paraId="6318A07C" w14:textId="1E30A67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 negotiations</w:t>
            </w:r>
          </w:p>
        </w:tc>
      </w:tr>
      <w:tr w:rsidR="004B3FDE" w:rsidRPr="002E6D00" w14:paraId="7D167B13" w14:textId="77777777" w:rsidTr="45483B6E">
        <w:trPr>
          <w:trHeight w:val="1134"/>
          <w:jc w:val="center"/>
        </w:trPr>
        <w:tc>
          <w:tcPr>
            <w:tcW w:w="1129" w:type="dxa"/>
            <w:noWrap/>
            <w:hideMark/>
          </w:tcPr>
          <w:p w14:paraId="01401425" w14:textId="271ECF4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Deo, K. &amp; Prasad, A.A.</w:t>
            </w:r>
          </w:p>
        </w:tc>
        <w:tc>
          <w:tcPr>
            <w:tcW w:w="1418" w:type="dxa"/>
            <w:hideMark/>
          </w:tcPr>
          <w:p w14:paraId="12516EC4" w14:textId="0A10CA5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Evidence of Climate Change Engagement Behaviour on A Facebook Fan-Based Page</w:t>
            </w:r>
          </w:p>
        </w:tc>
        <w:tc>
          <w:tcPr>
            <w:tcW w:w="585" w:type="dxa"/>
            <w:noWrap/>
          </w:tcPr>
          <w:p w14:paraId="591305D5" w14:textId="154DD8E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{"citationItems":[{"id":"ITEM-1","itemData":{"DOI":"10.3390/su12177038","ISSN":"2071-1050","abstract":"Climate change has become one of the most debated topics in recent times. The social media platforms have given the general public the power and propensity to share and express concerns about climate change. However, climate change awareness created on social media depends on user engagement with the contents modulated by emotions. Much has been researched in this area using Twitter, but Facebook fan-based pages have not been extensively explored in the past. In this study, we investigate the engagement behaviour of users on a Facebook fan-based page titled “Global Climate Change Awareness” by analysing user insights data for two years starting from April 2018 to April 2020. Results show that the frequency of posts made to the page did not significantly promote engagement but improved visibility of the contents to the users. Overall, fan growth was attributed more to increased post visibility that enhanced post engagement. Hashtags associated with climate change had a significant reach amongst users, but those associated with disasters where the page expressed sadness and informed users about taking precautions had the highest engagement rate. Likewise, users from developing countries, especially from the small islands, were more engaged with climate change awareness. This study did not assess negative responses from users (possible deniers of climate change) and other Facebook fan-based pages due to data privacy and stringent Facebook policy.","author":[{"dropping-particle":"","family":"Deo","given":"Kirtika","non-dropping-particle":"","parse-names":false,"suffix":""},{"dropping-particle":"","family":"Prasad","given":"Abhnil Amtesh","non-dropping-particle":"","parse-names":false,"suffix":""}],"container-title":"Sustainability","id":"ITEM-1","issue":"17","issued":{"date-parts":[["2020","8","28"]]},"title":"Evidence of Climate Change Engagement Behaviour on a Facebook Fan-Based Page","type":"article-journal","volume":"12"},"suppress-author":1,"uris":["http://www.mendeley.com/documents/?uuid=4f7d8b94-3af8-4245-841f-bafe3f96785c"]}],"mendeley":{"formattedCitation":"(2020)","manualFormatting":"2020","plainTextFormattedCitation":"(2020)","previouslyFormattedCitation":"(2020)"},"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2020</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9D39D4C" w14:textId="0764FA19"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Sustainability (Switzerland)</w:t>
            </w:r>
          </w:p>
        </w:tc>
        <w:tc>
          <w:tcPr>
            <w:tcW w:w="2268" w:type="dxa"/>
            <w:hideMark/>
          </w:tcPr>
          <w:p w14:paraId="564657C1" w14:textId="61CCA8E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“investigate the engagement behaviour of users on a Facebook fan-based page titled “Global Climate Change Awareness” by analysing user insights data for two years starting from April 2018 to April 2020” (p. 1).</w:t>
            </w:r>
          </w:p>
        </w:tc>
        <w:tc>
          <w:tcPr>
            <w:tcW w:w="2693" w:type="dxa"/>
            <w:hideMark/>
          </w:tcPr>
          <w:p w14:paraId="63A17D93" w14:textId="6B8ED6A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They “show that the frequency of posts made to the page did not significantly promote engagement but improved visibility of the contents to the users. Overall, fan growth was attributed more to increased post visibility that enhanced post engagement. Hashtags associated with climate change had a significant reach amongst users, but those associated with disasters where the page expressed sadness and informed users about taking precautions had the highest engagement rate. Likewise, users from developing countries, especially from the small islands, were more engaged with climate change awareness” (p. 1).</w:t>
            </w:r>
          </w:p>
        </w:tc>
        <w:tc>
          <w:tcPr>
            <w:tcW w:w="1276" w:type="dxa"/>
            <w:hideMark/>
          </w:tcPr>
          <w:p w14:paraId="5B3BD2AF" w14:textId="24D72E3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514 posts from one Facebook.com page</w:t>
            </w:r>
          </w:p>
        </w:tc>
        <w:tc>
          <w:tcPr>
            <w:tcW w:w="1276" w:type="dxa"/>
          </w:tcPr>
          <w:p w14:paraId="6BB9C187" w14:textId="646CC4E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descriptive analysis, correlation analysis</w:t>
            </w:r>
          </w:p>
        </w:tc>
        <w:tc>
          <w:tcPr>
            <w:tcW w:w="995" w:type="dxa"/>
            <w:hideMark/>
          </w:tcPr>
          <w:p w14:paraId="7F65BD27" w14:textId="23AAD4F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w:t>
            </w:r>
          </w:p>
        </w:tc>
      </w:tr>
      <w:tr w:rsidR="004B3FDE" w:rsidRPr="002E6D00" w14:paraId="21DDDB1C" w14:textId="77777777" w:rsidTr="45483B6E">
        <w:trPr>
          <w:trHeight w:val="1134"/>
          <w:jc w:val="center"/>
        </w:trPr>
        <w:tc>
          <w:tcPr>
            <w:tcW w:w="1129" w:type="dxa"/>
            <w:noWrap/>
            <w:hideMark/>
          </w:tcPr>
          <w:p w14:paraId="627C761F" w14:textId="6C983C2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Wen, Q., Gloor, P.A., Colladon, A.F., Tickoo, P., &amp; Joshi, T.</w:t>
            </w:r>
          </w:p>
        </w:tc>
        <w:tc>
          <w:tcPr>
            <w:tcW w:w="1418" w:type="dxa"/>
            <w:hideMark/>
          </w:tcPr>
          <w:p w14:paraId="5BCC6498" w14:textId="05B427B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Finding Top Performers Through Email Patterns Analysis</w:t>
            </w:r>
          </w:p>
        </w:tc>
        <w:tc>
          <w:tcPr>
            <w:tcW w:w="585" w:type="dxa"/>
            <w:noWrap/>
            <w:hideMark/>
          </w:tcPr>
          <w:p w14:paraId="4B3BF32F" w14:textId="23212395"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{"citationItems":[{"id":"ITEM-1","itemData":{"DOI":"10.1177/0165551519849519","ISSN":"17416485","abstract":"In the information economy, individuals’ work performance is closely associated with their digital communication strategies. This study combines social network and semantic analysis to develop a method to identify top performers based on email communication. By reviewing existing literature, we identified the indicators that quantify email communication into measurable dimensions. To empirically examine the predictive power of the proposed indicators, we collected 2 million email archive of 578 executives in an international service company. Panel regression was employed to derive interpretable association between email indicators and top performance. The results suggest that top performers tend to assume central network positions and have high responsiveness to emails. In email contents, top performers use more positive and complex language, with low emotionality, but rich in influential words that are probably reused by co-workers. To better explore the predictive power of the email indicators, we employed AdaBoost machine learning models, which achieved 83.56% accuracy in identifying top performers. With cluster analysis, we further find three categories of top performers, ‘networkers’ with central network positions, ‘influencers’ with influential ideas and ‘positivists’ with positive sentiments. The findings suggest that top performers have distinctive email communication patterns, laying the foundation for grounding email communication competence in theory. The proposed email analysis method also provides a tool to evaluate the different types of individual communication styles.","author":[{"dropping-particle":"","family":"Wen","given":"Qi","non-dropping-particle":"","parse-names":false,"suffix":""},{"dropping-particle":"","family":"Gloor","given":"Peter A.","non-dropping-particle":"","parse-names":false,"suffix":""},{"dropping-particle":"","family":"Colladon","given":"Andrea Fronzetti","non-dropping-particle":"","parse-names":false,"suffix":""},{"dropping-particle":"","family":"Tickoo","given":"Praful","non-dropping-particle":"","parse-names":false,"suffix":""},{"dropping-particle":"","family":"Joshi","given":"Tushar","non-dropping-particle":"","parse-names":false,"suffix":""}],"container-title":"Journal of Information Science","id":"ITEM-1","issue":"4","issued":{"date-parts":[["2020"]]},"page":"508-527","title":"Finding Top Performers through Email Patterns Analysis","type":"article-journal","volume":"46"},"suppress-author":1,"uris":["http://www.mendeley.com/documents/?uuid=2b3f4930-f98d-462c-a266-1c73dc5525dd"]}],"mendeley":{"formattedCitation":"(2020)","manualFormatting":"2020","plainTextFormattedCitation":"(2020)","previouslyFormattedCitation":"(2020)"},"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2020</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55ED355A" w14:textId="46F3A89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Information Science</w:t>
            </w:r>
          </w:p>
        </w:tc>
        <w:tc>
          <w:tcPr>
            <w:tcW w:w="2268" w:type="dxa"/>
            <w:hideMark/>
          </w:tcPr>
          <w:p w14:paraId="0824B163" w14:textId="6DF1E8E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“develop a method to identify top performers based on email communication. [… and] identified the indicators that quantify email communication into measurable dimensions. To empirically examine the predictive power of the proposed indicators, [they] collected 2 million email archive of 578 executives in an international service company” (p. 508).</w:t>
            </w:r>
          </w:p>
        </w:tc>
        <w:tc>
          <w:tcPr>
            <w:tcW w:w="2693" w:type="dxa"/>
            <w:hideMark/>
          </w:tcPr>
          <w:p w14:paraId="02B5E7D4" w14:textId="253A251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“results suggest that top performers tend to assume central network positions and have high responsiveness to emails. In email contents, top performers use more positive and complex language, with low emotionality, but rich in influential words that are probably reused by co-workers. [… They] further find three categories of top performers, ‘networkers’ with central network positions, ‘influencers’ with influential ideas and ‘positivists’ with positive sentiments. The findings suggest that top performers have distinctive email communication patterns, laying the foundation for grounding email communication competence in theory” (p. 508).</w:t>
            </w:r>
          </w:p>
        </w:tc>
        <w:tc>
          <w:tcPr>
            <w:tcW w:w="1276" w:type="dxa"/>
            <w:hideMark/>
          </w:tcPr>
          <w:p w14:paraId="590A4F3B" w14:textId="0C7CBEC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More than 2,000,000 emails from 578 executives of a global services company</w:t>
            </w:r>
          </w:p>
        </w:tc>
        <w:tc>
          <w:tcPr>
            <w:tcW w:w="1276" w:type="dxa"/>
          </w:tcPr>
          <w:p w14:paraId="727F38B6" w14:textId="6D62780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network analysis, content analysis, regression analysis</w:t>
            </w:r>
          </w:p>
        </w:tc>
        <w:tc>
          <w:tcPr>
            <w:tcW w:w="995" w:type="dxa"/>
            <w:hideMark/>
          </w:tcPr>
          <w:p w14:paraId="361A167F" w14:textId="1B473A9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w:t>
            </w:r>
          </w:p>
        </w:tc>
      </w:tr>
      <w:tr w:rsidR="004B3FDE" w:rsidRPr="002E6D00" w14:paraId="39E4F42C" w14:textId="77777777" w:rsidTr="45483B6E">
        <w:trPr>
          <w:trHeight w:val="1134"/>
          <w:jc w:val="center"/>
        </w:trPr>
        <w:tc>
          <w:tcPr>
            <w:tcW w:w="1129" w:type="dxa"/>
            <w:noWrap/>
            <w:hideMark/>
          </w:tcPr>
          <w:p w14:paraId="572B73E6" w14:textId="2678C3F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Vollero, A., Siano, A., Palazzo, M., &amp; Amabile, S.</w:t>
            </w:r>
          </w:p>
        </w:tc>
        <w:tc>
          <w:tcPr>
            <w:tcW w:w="1418" w:type="dxa"/>
            <w:hideMark/>
          </w:tcPr>
          <w:p w14:paraId="390A1745" w14:textId="46B3109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Hoftsede’s Cultural Dimensions and Corporate Social Responsibility in Online Communication: Are They Independent Constructs?</w:t>
            </w:r>
          </w:p>
        </w:tc>
        <w:tc>
          <w:tcPr>
            <w:tcW w:w="585" w:type="dxa"/>
            <w:noWrap/>
            <w:hideMark/>
          </w:tcPr>
          <w:p w14:paraId="532B8E4D" w14:textId="6D7AD8C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{"citationItems":[{"id":"ITEM-1","itemData":{"DOI":"10.1002/csr.1773","ISSN":"1535-3958","abstract":"Despite the fact that culture is central in globalized and digitalized contexts, few studies have investigated how organizations are influenced by cultural dimensions in communicating their social responsibility efforts. Through the lens of cultural dimensions, this study aims at comparing communication displayed on corporate websites of top sustainable organizations. The aim is reached evaluating how Hofstede's cultural dimensions, reflected in corporate social responsibility (CSR) content, vary between companies in Asian context and other organizations worldwide. A coding scheme to analyze cultural impact on CSR communication content disclosed on websites was carried out. Findings show that Hofstede's cultural dimensions and online CSR communication belong to different levels of analysis: One is innate and diffusive, whereas the other one is intentional and rational. Differently from extant studies on cultural dimensions, results suggest that cultural dimensions are factors that should be analyzed as social aspects, whereas online CSR communication should instead be explored as strategic feature.","author":[{"dropping-particle":"","family":"Vollero","given":"Agostino","non-dropping-particle":"","parse-names":false,"suffix":""},{"dropping-particle":"","family":"Siano","given":"Alfonso","non-dropping-particle":"","parse-names":false,"suffix":""},{"dropping-particle":"","family":"Palazzo","given":"Maria","non-dropping-particle":"","parse-names":false,"suffix":""},{"dropping-particle":"","family":"Amabile","given":"Sara","non-dropping-particle":"","parse-names":false,"suffix":""}],"container-title":"Corporate Social Responsibility and Environmental Management","id":"ITEM-1","issue":"1","issued":{"date-parts":[["2020","1","17"]]},"page":"53-64","title":"Hoftsede's Cultural Dimensions and Corporate Social Responsibility in Online Communication: Are They Independent Constructs?","type":"article-journal","volume":"27"},"suppress-author":1,"uris":["http://www.mendeley.com/documents/?uuid=42fc5887-bf4d-478c-8ade-28c7eee1c2ec"]}],"mendeley":{"formattedCitation":"(2020)","manualFormatting":"2020","plainTextFormattedCitation":"(2020)","previouslyFormattedCitation":"(2020)"},"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2020</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8FF10D0" w14:textId="624D985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Corporate Social Responsibility and Environmental Management</w:t>
            </w:r>
          </w:p>
        </w:tc>
        <w:tc>
          <w:tcPr>
            <w:tcW w:w="2268" w:type="dxa"/>
            <w:hideMark/>
          </w:tcPr>
          <w:p w14:paraId="7C34EA87" w14:textId="1351551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“Through the lens of cultural dimensions, this study aims at comparing communication displayed on corporate websites of top sustainable organizations.</w:t>
            </w:r>
            <w:r w:rsidRPr="002E6D00">
              <w:rPr>
                <w:rFonts w:ascii="Times New Roman" w:hAnsi="Times New Roman" w:cs="Times New Roman"/>
                <w:sz w:val="16"/>
                <w:szCs w:val="16"/>
                <w:lang w:val="en-US"/>
              </w:rPr>
              <w:t xml:space="preserve"> </w:t>
            </w:r>
            <w:r w:rsidRPr="002E6D00">
              <w:rPr>
                <w:rFonts w:ascii="Times New Roman" w:eastAsia="Times New Roman" w:hAnsi="Times New Roman" w:cs="Times New Roman"/>
                <w:color w:val="000000" w:themeColor="text1"/>
                <w:kern w:val="0"/>
                <w:sz w:val="16"/>
                <w:szCs w:val="16"/>
                <w:lang w:val="en-US"/>
                <w14:ligatures w14:val="none"/>
              </w:rPr>
              <w:t>The aim is reached evaluating how Hofstede's cultural dimensions, reflected in corporate social responsibility (CSR) content, vary between companies in Asian context and other organizations worldwide” (p. 53)</w:t>
            </w:r>
          </w:p>
        </w:tc>
        <w:tc>
          <w:tcPr>
            <w:tcW w:w="2693" w:type="dxa"/>
            <w:hideMark/>
          </w:tcPr>
          <w:p w14:paraId="15163D9F" w14:textId="367C255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“Findings show that Hofstede's cultural dimensions and online CSR communication belong to different levels of analysis: One is innate and diffusive, whereas the other one is intentional and rational. Differently from extant studies on cultural dimensions, results suggest that cultural dimensions are factors that should be analyzed as social aspects, whereas online CSR communication should instead be explored as strategic feature” (p. 53).</w:t>
            </w:r>
          </w:p>
        </w:tc>
        <w:tc>
          <w:tcPr>
            <w:tcW w:w="1276" w:type="dxa"/>
            <w:hideMark/>
          </w:tcPr>
          <w:p w14:paraId="63E337CA" w14:textId="5F553FD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80 corporate websites from 352 global companies</w:t>
            </w:r>
          </w:p>
        </w:tc>
        <w:tc>
          <w:tcPr>
            <w:tcW w:w="1276" w:type="dxa"/>
          </w:tcPr>
          <w:p w14:paraId="3521A31C" w14:textId="73B347A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41BE3ADC" w14:textId="1723027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Websites</w:t>
            </w:r>
          </w:p>
        </w:tc>
      </w:tr>
      <w:tr w:rsidR="004B3FDE" w:rsidRPr="002E6D00" w14:paraId="40C8C942" w14:textId="77777777" w:rsidTr="00F711FA">
        <w:trPr>
          <w:trHeight w:val="977"/>
          <w:jc w:val="center"/>
        </w:trPr>
        <w:tc>
          <w:tcPr>
            <w:tcW w:w="1129" w:type="dxa"/>
            <w:noWrap/>
            <w:hideMark/>
          </w:tcPr>
          <w:p w14:paraId="1F780531" w14:textId="5BABD3F3" w:rsidR="003A2397" w:rsidRPr="002E6D00" w:rsidRDefault="003A2397" w:rsidP="00071683">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Ayman, U., Kaya, A.K., &amp; Kuruç, Ü.K.</w:t>
            </w:r>
          </w:p>
        </w:tc>
        <w:tc>
          <w:tcPr>
            <w:tcW w:w="1418" w:type="dxa"/>
            <w:hideMark/>
          </w:tcPr>
          <w:p w14:paraId="5A6BEE09" w14:textId="2944579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Impact of Digital Communication and PR Models on the Sustainability of Higher Education During Crises</w:t>
            </w:r>
          </w:p>
        </w:tc>
        <w:tc>
          <w:tcPr>
            <w:tcW w:w="585" w:type="dxa"/>
            <w:noWrap/>
            <w:hideMark/>
          </w:tcPr>
          <w:p w14:paraId="7997A2D0" w14:textId="6F1455A5"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{"citationItems":[{"id":"ITEM-1","itemData":{"DOI":"10.3390/su12208295","ISSN":"20711050","abstract":"Currently, the world is going through a pandemic, COVID-19, that affects the four pillars of organizational sustainability. At this point, institutions’ sustainability depends on how they handle crisis communication. It seems that institutions that can adapt themselves to changes regarding the usage of digital communication platforms are survivors, and even winners, of this crisis. The general belief concerning education in developing countries claims that these countries are slow in adapting to technological innovations. Being a developing country, North Cyprus has a multi-cultural environment due to the presence of international students in tertiary education. This study explores how two public and two private universities maintained sustainability in higher education during COVID-19 by discussing the public relations models (PR) that they have used regarding digital communication. This study uses a qualitative content analysis and a quantitative method. The paper asserts that the effective usage of digital communication contributes to the sustainability of universities during this crisis. The findings revealed that the posts (text/image/poster) and videos these universities share are more concentrated on either press agentry or the public information model. Yet, a two-way symmetrical model that maintains dialogue within stakeholders is practiced less than the other PR models. Hence, there is a need for the universities to listen to their stakeholders not only in face to face communication but more through digital communication platforms as well.","author":[{"dropping-particle":"","family":"Ayman","given":"Umut","non-dropping-particle":"","parse-names":false,"suffix":""},{"dropping-particle":"","family":"Kaya","given":"Anıl Kemal","non-dropping-particle":"","parse-names":false,"suffix":""},{"dropping-particle":"","family":"Kuruç","given":"Ülfet Kutoğlu","non-dropping-particle":"","parse-names":false,"suffix":""}],"container-title":"Sustainability (Switzerland)","id":"ITEM-1","issue":"20","issued":{"date-parts":[["2020"]]},"page":"1-15","title":"The Impact of Digital Communication and PR Models on the Sustainability of Higher Education During Crises","type":"article-journal","volume":"12"},"suppress-author":1,"uris":["http://www.mendeley.com/documents/?uuid=bee9fbef-0f92-4e65-a458-06f873be0ecb"]}],"mendeley":{"formattedCitation":"(2020)","manualFormatting":"2020","plainTextFormattedCitation":"(2020)","previouslyFormattedCitation":"(2020)"},"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2020</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94DF3B5" w14:textId="3D7D889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Sustainability (Switzerland)</w:t>
            </w:r>
          </w:p>
        </w:tc>
        <w:tc>
          <w:tcPr>
            <w:tcW w:w="2268" w:type="dxa"/>
            <w:hideMark/>
          </w:tcPr>
          <w:p w14:paraId="2E9081A4" w14:textId="77777777" w:rsidR="003A2397" w:rsidRPr="002E6D00" w:rsidRDefault="003A2397" w:rsidP="0042306E">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“RQ1: How do the four most populated universities in North Cyprus communicate with their publics on Facebook (social media platform) during the COVID-19 crisis (the period from 10 March to 30 June 2020)?</w:t>
            </w:r>
          </w:p>
          <w:p w14:paraId="78CA2A32" w14:textId="77777777" w:rsidR="003A2397" w:rsidRPr="002E6D00" w:rsidRDefault="003A2397" w:rsidP="0042306E">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RQ2: What is the theme for Facebook shares during the COVID-19 pandemic according to the SMCC model (the period from 10 March to 30 June 2020)?</w:t>
            </w:r>
          </w:p>
          <w:p w14:paraId="4E8B4131" w14:textId="3CDB4218" w:rsidR="003A2397" w:rsidRPr="002E6D00" w:rsidRDefault="003A2397" w:rsidP="0042306E">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RQ3: What is the categorization ofuniversities’ Facebook shares during the COVID-19 pandemic according to the four PR models by Grunig and Hunt (1984)?” (p. 6)</w:t>
            </w:r>
          </w:p>
        </w:tc>
        <w:tc>
          <w:tcPr>
            <w:tcW w:w="2693" w:type="dxa"/>
            <w:hideMark/>
          </w:tcPr>
          <w:p w14:paraId="4F50D7DB" w14:textId="4983E53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findings revealed that the posts (text/image/poster) and videos these universities share are more concentrated on either press agentry or the public information model. Yet, a two-way symmetrical model that maintains dialogue within stakeholders is practiced less than the other PR models. Hence, there is a need for the universities to listen to their stakeholders not only in face to face communication but more through digital communication platforms as well” (p. 1).</w:t>
            </w:r>
          </w:p>
        </w:tc>
        <w:tc>
          <w:tcPr>
            <w:tcW w:w="1276" w:type="dxa"/>
            <w:hideMark/>
          </w:tcPr>
          <w:p w14:paraId="2106C031" w14:textId="2711AC9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847 posts/shares from four universities in North Cyprus on Facebook.com</w:t>
            </w:r>
          </w:p>
        </w:tc>
        <w:tc>
          <w:tcPr>
            <w:tcW w:w="1276" w:type="dxa"/>
          </w:tcPr>
          <w:p w14:paraId="4D03A782" w14:textId="771ABDB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0385D854" w14:textId="2A31A13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w:t>
            </w:r>
          </w:p>
        </w:tc>
      </w:tr>
      <w:tr w:rsidR="004B3FDE" w:rsidRPr="002E6D00" w14:paraId="21A32A97" w14:textId="77777777" w:rsidTr="45483B6E">
        <w:trPr>
          <w:trHeight w:val="1134"/>
          <w:jc w:val="center"/>
        </w:trPr>
        <w:tc>
          <w:tcPr>
            <w:tcW w:w="1129" w:type="dxa"/>
            <w:noWrap/>
            <w:hideMark/>
          </w:tcPr>
          <w:p w14:paraId="71DDD266" w14:textId="0F6AE77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Labrecque, L.I., Swani, K., &amp; Stephen, A.T.</w:t>
            </w:r>
          </w:p>
        </w:tc>
        <w:tc>
          <w:tcPr>
            <w:tcW w:w="1418" w:type="dxa"/>
            <w:hideMark/>
          </w:tcPr>
          <w:p w14:paraId="65DD82B2" w14:textId="229AA53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Impact of Pronoun Choices on Consumer Engagement Actions: Exploring Top Global Brands’ Social Media Communications</w:t>
            </w:r>
          </w:p>
        </w:tc>
        <w:tc>
          <w:tcPr>
            <w:tcW w:w="585" w:type="dxa"/>
            <w:noWrap/>
            <w:hideMark/>
          </w:tcPr>
          <w:p w14:paraId="7DEBD960" w14:textId="27FD9AC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{"citationItems":[{"id":"ITEM-1","itemData":{"DOI":"10.1002/mar.21341","ISSN":"15206793","abstract":"To enhance the understanding of consumer engagement with brand content on social media, this study examines how pronoun choices affect different types of consumer engagement (e.g., likes, comments, shares) by simultaneously exploring five different pronoun types (first-person singular, first-person plural, second person, third-person singular, and third-person plural). Furthermore, this study explores how the effects of these linguistic (pronoun) choices vary across two brand classifications: characteristics (hedonic vs. utilitarian) and offerings (goods vs. services). The proposed multivariate Poisson regression model, analyzing 15,788 unique brand posts from Facebook over an 8-month period, reveals differences in engagement due to pronoun usage across brand classifications. These results offer a deeper understanding of how the way brands talk to consumers on social media platforms influences consumers' attitudes (likes), propensity to engage with the brand (comments), and willingness to share branded content with their social networks (shares) across different brand classifications.","author":[{"dropping-particle":"","family":"Labrecque","given":"Lauren I.","non-dropping-particle":"","parse-names":false,"suffix":""},{"dropping-particle":"","family":"Swani","given":"Kunal","non-dropping-particle":"","parse-names":false,"suffix":""},{"dropping-particle":"","family":"Stephen","given":"Andrew T.","non-dropping-particle":"","parse-names":false,"suffix":""}],"container-title":"Psychology and Marketing","id":"ITEM-1","issue":"6","issued":{"date-parts":[["2020"]]},"page":"796-814","title":"The Impact of Pronoun Choices on Consumer Engagement Actions: Exploring Top Global Brands' Social Media Communications","type":"article-journal","volume":"37"},"suppress-author":1,"uris":["http://www.mendeley.com/documents/?uuid=943a6aad-50c6-4dd4-85a5-b9495e38df6d"]}],"mendeley":{"formattedCitation":"(2020)","manualFormatting":"2020","plainTextFormattedCitation":"(2020)","previouslyFormattedCitation":"(2020)"},"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2020</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5BFF3B99" w14:textId="62B92D8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Psychology &amp; Marketing</w:t>
            </w:r>
          </w:p>
        </w:tc>
        <w:tc>
          <w:tcPr>
            <w:tcW w:w="2268" w:type="dxa"/>
            <w:hideMark/>
          </w:tcPr>
          <w:p w14:paraId="699E4302" w14:textId="7EDD67A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“how pronoun choices affect different types of consumer engagement (e.g., likes, comments, shares) by simultaneously exploring five different pronoun types (first‐person singular, first‐person plural, second person, third‐person singular, and third‐person plural). Furthermore, [they explore] how the effects of these linguistic (pronoun) choices vary across two brand classifications: characteristics (hedonic vs. utilitarian) and offerings (goods vs. services)” (p. 796).</w:t>
            </w:r>
          </w:p>
        </w:tc>
        <w:tc>
          <w:tcPr>
            <w:tcW w:w="2693" w:type="dxa"/>
            <w:hideMark/>
          </w:tcPr>
          <w:p w14:paraId="777D892D" w14:textId="601A5F4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show that “differences in engagement due to pronoun usage across brand classifications. These results offer a deeper understanding of how the way brands talk to consumers on social media platforms influences consumers’ attitudes (likes), propensity to engage with the brand (comments), and willingness to share branded content with their social networks (shares) across different brand classifications” (p. 796).</w:t>
            </w:r>
          </w:p>
        </w:tc>
        <w:tc>
          <w:tcPr>
            <w:tcW w:w="1276" w:type="dxa"/>
            <w:hideMark/>
          </w:tcPr>
          <w:p w14:paraId="15E14DDA" w14:textId="5953EFB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15,788 unique brand posts from 90 brands on Facebook.com</w:t>
            </w:r>
          </w:p>
        </w:tc>
        <w:tc>
          <w:tcPr>
            <w:tcW w:w="1276" w:type="dxa"/>
          </w:tcPr>
          <w:p w14:paraId="27DC72E2" w14:textId="25B07C8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descriptive analysis, regression analysis</w:t>
            </w:r>
          </w:p>
        </w:tc>
        <w:tc>
          <w:tcPr>
            <w:tcW w:w="995" w:type="dxa"/>
            <w:hideMark/>
          </w:tcPr>
          <w:p w14:paraId="27848305" w14:textId="1768BB0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Facebook posts</w:t>
            </w:r>
          </w:p>
        </w:tc>
      </w:tr>
      <w:tr w:rsidR="004B3FDE" w:rsidRPr="002E6D00" w14:paraId="309C7128" w14:textId="77777777" w:rsidTr="45483B6E">
        <w:trPr>
          <w:trHeight w:val="1134"/>
          <w:jc w:val="center"/>
        </w:trPr>
        <w:tc>
          <w:tcPr>
            <w:tcW w:w="1129" w:type="dxa"/>
            <w:noWrap/>
            <w:hideMark/>
          </w:tcPr>
          <w:p w14:paraId="0BA5992F" w14:textId="55D4FC91" w:rsidR="003A2397" w:rsidRPr="002E6D00" w:rsidRDefault="003A2397" w:rsidP="00071683">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Mann, M., Byun, S.-E., &amp; Ginder, W.</w:t>
            </w:r>
          </w:p>
        </w:tc>
        <w:tc>
          <w:tcPr>
            <w:tcW w:w="1418" w:type="dxa"/>
            <w:hideMark/>
          </w:tcPr>
          <w:p w14:paraId="6AF247A2" w14:textId="7D35ACA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 Corps’ Social Media Communications During the Covid-19 Pandemic: Through the Lens of the Triple Bottom Line</w:t>
            </w:r>
          </w:p>
        </w:tc>
        <w:tc>
          <w:tcPr>
            <w:tcW w:w="585" w:type="dxa"/>
            <w:noWrap/>
            <w:hideMark/>
          </w:tcPr>
          <w:p w14:paraId="6BB30E74" w14:textId="6B9FFE19"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{"citationItems":[{"id":"ITEM-1","itemData":{"DOI":"10.3390/su13179634","ISSN":"20711050","abstract":"The COVID-19 pandemic and rising demand for transparency has heightened the importance of sustainability communications on social media to generate deeper stakeholder engage-ment. Although B Corporations (B Corps), businesses committed to the triple bottom line (TBL), could serve as a catalyst for sustainable development, little is known about how they communicate on social media during a crisis. Therefore, we examined social media communications of B Corps to (1) identify salient topics and themes, (2) analyze how these themes align with the TBL, and (3) evaluate social media performance against industry benchmarks. We focused on the apparel, foot-wear, and accessories (AFA) sectors in the U.S. and chose Twitter, a platform known for crisis com-munication. Using a qualitative method, we found four topics and 21 underlying themes. Topics related to social/environmental issues and COVID-19 were most dominant, followed by prod-uct/brand promotions. Further classification of specific themes and cases from a TBL perspective demonstrated that, overall, B Corps in the AFA sectors leveraged various approaches to promote balance between each TBL dimension. Lastly, although collectively B Corps exceeded some of the Twitter industry benchmarks, at an individual level, most brands had room for improvement to build a stronger community and promote synergy among the three pillars of the TBL.","author":[{"dropping-particle":"","family":"Mann","given":"Manveer","non-dropping-particle":"","parse-names":false,"suffix":""},{"dropping-particle":"","family":"Byun","given":"Sang Eun","non-dropping-particle":"","parse-names":false,"suffix":""},{"dropping-particle":"","family":"Ginder","given":"Whitney","non-dropping-particle":"","parse-names":false,"suffix":""}],"container-title":"Sustainability (Switzerland)","id":"ITEM-1","issue":"17","issued":{"date-parts":[["2021"]]},"page":"1-21","title":"B corps’ social media communications during the covid-19 pandemic: Through the lens of the triple bottom line","type":"article-journal","volume":"13"},"suppress-author":1,"uris":["http://www.mendeley.com/documents/?uuid=e30bc5e3-fa3f-42e5-82f1-d509d240ec33"]}],"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F3E7B0A" w14:textId="1C0D34F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Sustainability (Switzerland)</w:t>
            </w:r>
          </w:p>
        </w:tc>
        <w:tc>
          <w:tcPr>
            <w:tcW w:w="2268" w:type="dxa"/>
            <w:hideMark/>
          </w:tcPr>
          <w:p w14:paraId="2B031510" w14:textId="0665E5E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examine “social media communications of B Corps to (1) identify salient topics and themes, (2) analyze how these themes align with the [Triple Bottom Line (TBL)], and (3) evaluate social media performance against industry benchmarks” (p. 21).</w:t>
            </w:r>
          </w:p>
        </w:tc>
        <w:tc>
          <w:tcPr>
            <w:tcW w:w="2693" w:type="dxa"/>
            <w:hideMark/>
          </w:tcPr>
          <w:p w14:paraId="304BC5E7" w14:textId="5F4E67B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“Topics related to social/environmental issues and COVID-19 were most dominant, followed by product/brand promotions. Further classification of specific themes and cases from a TBL perspective demonstrated that, overall, B Corps in the AFA sectors leveraged various approaches to promote balance between each TBL dimension. Lastly, although collectively B Corps exceeded some of the Twitter industry benchmarks, at an individual level, most brands had room for improvement to build a stronger community and promote synergy among the three pillars of the TBL” (p. 21).</w:t>
            </w:r>
          </w:p>
        </w:tc>
        <w:tc>
          <w:tcPr>
            <w:tcW w:w="1276" w:type="dxa"/>
            <w:hideMark/>
          </w:tcPr>
          <w:p w14:paraId="5DAA9007" w14:textId="186F511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315 most engaging tweets by 34 brands (B Corps from the US)</w:t>
            </w:r>
          </w:p>
        </w:tc>
        <w:tc>
          <w:tcPr>
            <w:tcW w:w="1276" w:type="dxa"/>
          </w:tcPr>
          <w:p w14:paraId="17905357" w14:textId="460125D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w:t>
            </w:r>
          </w:p>
        </w:tc>
        <w:tc>
          <w:tcPr>
            <w:tcW w:w="995" w:type="dxa"/>
            <w:hideMark/>
          </w:tcPr>
          <w:p w14:paraId="6E7C4628" w14:textId="688D80B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41F7A415" w14:textId="77777777" w:rsidTr="45483B6E">
        <w:trPr>
          <w:trHeight w:val="1134"/>
          <w:jc w:val="center"/>
        </w:trPr>
        <w:tc>
          <w:tcPr>
            <w:tcW w:w="1129" w:type="dxa"/>
            <w:noWrap/>
            <w:hideMark/>
          </w:tcPr>
          <w:p w14:paraId="7CADD27C" w14:textId="24759CFE" w:rsidR="003A2397" w:rsidRPr="002E6D00" w:rsidRDefault="003A2397" w:rsidP="00071683">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Paakki, H., Vepsäläinen, H., &amp; Salovaara, A.</w:t>
            </w:r>
          </w:p>
        </w:tc>
        <w:tc>
          <w:tcPr>
            <w:tcW w:w="1418" w:type="dxa"/>
            <w:hideMark/>
          </w:tcPr>
          <w:p w14:paraId="3370DFC6" w14:textId="1B2B5DB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Disruptive Online Communication: How Asymmetric Trolling-Like Response Strategies Steer Conversation off the Track</w:t>
            </w:r>
          </w:p>
        </w:tc>
        <w:tc>
          <w:tcPr>
            <w:tcW w:w="585" w:type="dxa"/>
            <w:noWrap/>
            <w:hideMark/>
          </w:tcPr>
          <w:p w14:paraId="0C458B2B" w14:textId="786932F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{"citationItems":[{"id":"ITEM-1","itemData":{"DOI":"10.1007/s10606-021-09397-1","ISSN":"15737551","abstract":"Internet trolling, a form of antisocial online behavior, is a serious problem plaguing social media. Skillful trolls can lure entire communities into degenerative and polarized discussions that continue endlessly. From analysis of data gathered in accordance with established classifications of trolling-like behavior, the paper presents a conversation analysis of trolling-like interaction strategies that disrupt online discussions. The authors argue that troll-like users exploit other users’ desire for common grounding – i.e., joint maintenance of mutual understanding and seeking of conversational closure – by responding asymmetrically. Their responses to others deviate from expectations for typical paired actions in turn-taking. These asymmetries, described through examples of three such behaviors – ignoring, mismatching, and challenging – lead to dissatisfactory interactions, in that they subvert other users’ desire for clarification and explanation of contra-normative social behavior. By avoiding clarifications, troll-like users easily capture unsuspecting users’ attention and manage to prolong futile conversations interminably. Through the analysis, the paper connects trolling-like asymmetric response strategies with concrete data and addresses the implications of this nonconformist behavior for common grounding in social-media venues.","author":[{"dropping-particle":"","family":"Paakki","given":"Henna","non-dropping-particle":"","parse-names":false,"suffix":""},{"dropping-particle":"","family":"Vepsäläinen","given":"Heidi","non-dropping-particle":"","parse-names":false,"suffix":""},{"dropping-particle":"","family":"Salovaara","given":"Antti","non-dropping-particle":"","parse-names":false,"suffix":""}],"container-title":"Computer Supported Cooperative Work: An International Journal","id":"ITEM-1","issue":"3","issued":{"date-parts":[["2021"]]},"page":"425-461","publisher":"Computer Supported Cooperative Work (CSCW)","title":"Disruptive online communication: How asymmetric trolling-like response strategies steer conversation off the track","type":"article-journal","volume":"30"},"suppress-author":1,"uris":["http://www.mendeley.com/documents/?uuid=c96cc8da-bba2-41b1-a7c8-07d3d0b934af"]}],"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2F8BB19" w14:textId="6A6B3FE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Computer Supported Cooperative Work: An International Journal</w:t>
            </w:r>
          </w:p>
        </w:tc>
        <w:tc>
          <w:tcPr>
            <w:tcW w:w="2268" w:type="dxa"/>
            <w:hideMark/>
          </w:tcPr>
          <w:p w14:paraId="7B2E9D0C" w14:textId="566E77F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present “a conversation analysis of trolling-like interaction strategies that disrupt online discussions” (p. 425).</w:t>
            </w:r>
          </w:p>
        </w:tc>
        <w:tc>
          <w:tcPr>
            <w:tcW w:w="2693" w:type="dxa"/>
            <w:hideMark/>
          </w:tcPr>
          <w:p w14:paraId="464BD5F0" w14:textId="382C687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“identified patterns used to degrade online conversation and found that troll-like users succeed in disrupting conversations by hindering common grounding – the joint search for conversational closure and maintenance of mutual understanding” (p. 446).</w:t>
            </w:r>
          </w:p>
        </w:tc>
        <w:tc>
          <w:tcPr>
            <w:tcW w:w="1276" w:type="dxa"/>
            <w:hideMark/>
          </w:tcPr>
          <w:p w14:paraId="51DA9C64" w14:textId="5721987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1,263 posts from 68 threads: 4 media sources (Reddit &amp; newspaper websites)</w:t>
            </w:r>
          </w:p>
        </w:tc>
        <w:tc>
          <w:tcPr>
            <w:tcW w:w="1276" w:type="dxa"/>
          </w:tcPr>
          <w:p w14:paraId="07B3B059" w14:textId="7ADFBCB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Manual content analysis (conversation analysis)</w:t>
            </w:r>
          </w:p>
        </w:tc>
        <w:tc>
          <w:tcPr>
            <w:tcW w:w="995" w:type="dxa"/>
            <w:hideMark/>
          </w:tcPr>
          <w:p w14:paraId="4445B9D9" w14:textId="69F8C53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Posts (Reddit, newspaper websites)</w:t>
            </w:r>
          </w:p>
        </w:tc>
      </w:tr>
      <w:tr w:rsidR="004B3FDE" w:rsidRPr="002E6D00" w14:paraId="1E2C8743" w14:textId="77777777" w:rsidTr="45483B6E">
        <w:trPr>
          <w:trHeight w:val="1134"/>
          <w:jc w:val="center"/>
        </w:trPr>
        <w:tc>
          <w:tcPr>
            <w:tcW w:w="1129" w:type="dxa"/>
            <w:noWrap/>
            <w:hideMark/>
          </w:tcPr>
          <w:p w14:paraId="545E82D5" w14:textId="6668BDC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Colladon, A.F., Saint-Charles, J., &amp; Mongeau, P.</w:t>
            </w:r>
          </w:p>
        </w:tc>
        <w:tc>
          <w:tcPr>
            <w:tcW w:w="1418" w:type="dxa"/>
            <w:hideMark/>
          </w:tcPr>
          <w:p w14:paraId="48CE10FA" w14:textId="7CC8E93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From Words to Connections: Word Use Similarity as an Honest Signal Conducive to Employees’ Digital Communication</w:t>
            </w:r>
          </w:p>
        </w:tc>
        <w:tc>
          <w:tcPr>
            <w:tcW w:w="585" w:type="dxa"/>
            <w:noWrap/>
            <w:hideMark/>
          </w:tcPr>
          <w:p w14:paraId="246E1A5E" w14:textId="47954AD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{"citationItems":[{"id":"ITEM-1","itemData":{"DOI":"10.1177/0165551520929931","ISBN":"1655515209","ISSN":"17416485","abstract":"Bringing together considerations from three research trends (honest signals of collaboration, socio-semantic networks and homophily theory), we hypothesise that word use similarity and having similar social network positions are linked with the level of employees’ digital interaction. To verify our hypothesis, we analyse the communication of close to 1600 employees, interacting on the intranet communication forum of a large company. We study their social dynamics and the ‘honest signals’ that, in past research, proved to be conducive to employees’ engagement and collaboration. We find that word use similarity is the main driver of interaction, much more than other language characteristics or similarity in network position. Our results suggest carefully choosing the language according to the target audience and have practical implications for both company managers and online community administrators. Understanding how to better use language could, for example, support the development of knowledge sharing practices or internal communication campaigns.","author":[{"dropping-particle":"","family":"Colladon","given":"Andrea Fronzetti","non-dropping-particle":"","parse-names":false,"suffix":""},{"dropping-particle":"","family":"Saint-Charles","given":"Johanne","non-dropping-particle":"","parse-names":false,"suffix":""},{"dropping-particle":"","family":"Mongeau","given":"Pierre","non-dropping-particle":"","parse-names":false,"suffix":""}],"container-title":"Journal of Information Science","id":"ITEM-1","issue":"6","issued":{"date-parts":[["2021"]]},"page":"699-711","title":"From Words to Connections: Word Use Similarity as an Honest Signal Conducive to Employees’ Digital Communication","type":"article-journal","volume":"47"},"suppress-author":1,"uris":["http://www.mendeley.com/documents/?uuid=09c3bf34-1005-4ef6-a7e8-97f1962a66ce"]}],"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2EF64FEE" w14:textId="11EC551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Information Science</w:t>
            </w:r>
          </w:p>
        </w:tc>
        <w:tc>
          <w:tcPr>
            <w:tcW w:w="2268" w:type="dxa"/>
            <w:hideMark/>
          </w:tcPr>
          <w:p w14:paraId="3A6537C0" w14:textId="6AFE41C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“Bringing together considerations from three research trends [… the authors] hypothesise that word use similarity and having similar social network positions are linked with the level of employees’ digital interaction” (p. 699).</w:t>
            </w:r>
          </w:p>
        </w:tc>
        <w:tc>
          <w:tcPr>
            <w:tcW w:w="2693" w:type="dxa"/>
            <w:hideMark/>
          </w:tcPr>
          <w:p w14:paraId="581895DE" w14:textId="529ECF0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“find that word use similarity is the main driver of interaction, much more than other language characteristics or similarity in network position” (p. 699).</w:t>
            </w:r>
          </w:p>
        </w:tc>
        <w:tc>
          <w:tcPr>
            <w:tcW w:w="1276" w:type="dxa"/>
            <w:hideMark/>
          </w:tcPr>
          <w:p w14:paraId="519C5952" w14:textId="55519D1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More than 23,000 posts (news &amp; comments) by 1,600 employees working for a large company</w:t>
            </w:r>
          </w:p>
        </w:tc>
        <w:tc>
          <w:tcPr>
            <w:tcW w:w="1276" w:type="dxa"/>
          </w:tcPr>
          <w:p w14:paraId="0E0B6CE7" w14:textId="4750283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Single case study: Automated network analysis, content analysis, correlation analysis</w:t>
            </w:r>
          </w:p>
        </w:tc>
        <w:tc>
          <w:tcPr>
            <w:tcW w:w="995" w:type="dxa"/>
            <w:hideMark/>
          </w:tcPr>
          <w:p w14:paraId="16217FB2" w14:textId="5D0E70D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Posts (news + comments)</w:t>
            </w:r>
          </w:p>
        </w:tc>
      </w:tr>
      <w:tr w:rsidR="004B3FDE" w:rsidRPr="002E6D00" w14:paraId="37F1F8FC" w14:textId="77777777" w:rsidTr="45483B6E">
        <w:trPr>
          <w:trHeight w:val="960"/>
          <w:jc w:val="center"/>
        </w:trPr>
        <w:tc>
          <w:tcPr>
            <w:tcW w:w="1129" w:type="dxa"/>
            <w:noWrap/>
            <w:hideMark/>
          </w:tcPr>
          <w:p w14:paraId="2D4DE6A3" w14:textId="0036F6C5" w:rsidR="003A2397" w:rsidRPr="002E6D00" w:rsidRDefault="003A2397" w:rsidP="00071683">
            <w:pPr>
              <w:rPr>
                <w:rFonts w:ascii="Times New Roman" w:eastAsia="Times New Roman" w:hAnsi="Times New Roman" w:cs="Times New Roman"/>
                <w:color w:val="000000" w:themeColor="text1"/>
                <w:kern w:val="0"/>
                <w:sz w:val="16"/>
                <w:szCs w:val="16"/>
                <w14:ligatures w14:val="none"/>
              </w:rPr>
            </w:pPr>
            <w:r w:rsidRPr="002E6D00">
              <w:rPr>
                <w:rFonts w:ascii="Times New Roman" w:eastAsia="Times New Roman" w:hAnsi="Times New Roman" w:cs="Times New Roman"/>
                <w:color w:val="000000" w:themeColor="text1"/>
                <w:kern w:val="0"/>
                <w:sz w:val="16"/>
                <w:szCs w:val="16"/>
                <w14:ligatures w14:val="none"/>
              </w:rPr>
              <w:t>Baradei, L.E., Kadry, M., &amp; Ahmed, G.</w:t>
            </w:r>
          </w:p>
        </w:tc>
        <w:tc>
          <w:tcPr>
            <w:tcW w:w="1418" w:type="dxa"/>
            <w:hideMark/>
          </w:tcPr>
          <w:p w14:paraId="2095D821" w14:textId="117E77B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Governmental Social Media Communication Strategies During the Covid-19 Pandemic: The Case of Egypt.</w:t>
            </w:r>
          </w:p>
        </w:tc>
        <w:tc>
          <w:tcPr>
            <w:tcW w:w="585" w:type="dxa"/>
            <w:noWrap/>
            <w:hideMark/>
          </w:tcPr>
          <w:p w14:paraId="2F912675" w14:textId="6AD0274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{"citationItems":[{"id":"ITEM-1","itemData":{"DOI":"10.1080/01900692.2021.1915729","ISSN":"15324265","abstract":"The research tried to figure out the effectiveness of governmental social media communication strategies during the COVID-19 pandemic. The methodology relied on a case study approach, focusing on Egypt. A special software, made available by the Facebook administration to academics, “CrowdTangle,” was used to analyze the contents of the official Facebook pages for four Government of Egypt authorities, using an assessment matrix, with seven different dimensions for communication effectiveness. The study findings showed that the government of Egypt did well in informing the public, but that transparency was lacking and that more effort must be exerted to encourage appropriate behavior by citizens.","author":[{"dropping-particle":"","family":"Baradei","given":"Laila","non-dropping-particle":"El","parse-names":false,"suffix":""},{"dropping-particle":"","family":"Kadry","given":"Mohamed","non-dropping-particle":"","parse-names":false,"suffix":""},{"dropping-particle":"","family":"Ahmed","given":"Ghadeer","non-dropping-particle":"","parse-names":false,"suffix":""}],"container-title":"International Journal of Public Administration","id":"ITEM-1","issue":"11-12","issued":{"date-parts":[["2021"]]},"page":"907-919","publisher":"Routledge","title":"Governmental Social Media Communication Strategies During the COVID-19 Pandemic: The Case of Egypt","type":"article-journal","volume":"44"},"suppress-author":1,"uris":["http://www.mendeley.com/documents/?uuid=0398312d-1ff1-481f-b8d7-048ad57d6b51"]}],"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E7D2061" w14:textId="132D1C6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International Journal of Public Administration</w:t>
            </w:r>
          </w:p>
        </w:tc>
        <w:tc>
          <w:tcPr>
            <w:tcW w:w="2268" w:type="dxa"/>
            <w:hideMark/>
          </w:tcPr>
          <w:p w14:paraId="51502D30" w14:textId="66C866C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“figure out the effectiveness of governmental social media communication strategies during the COVID-19 pandemic” (p. 907).</w:t>
            </w:r>
          </w:p>
        </w:tc>
        <w:tc>
          <w:tcPr>
            <w:tcW w:w="2693" w:type="dxa"/>
            <w:hideMark/>
          </w:tcPr>
          <w:p w14:paraId="0BE25F56" w14:textId="4C673BF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They show “that the government of Egypt did well in informing the public, but that transparency was lacking and that more effort must be exerted to encourage appropriate behavior by citizens” (p. 907).</w:t>
            </w:r>
          </w:p>
        </w:tc>
        <w:tc>
          <w:tcPr>
            <w:tcW w:w="1276" w:type="dxa"/>
            <w:hideMark/>
          </w:tcPr>
          <w:p w14:paraId="146F66D7" w14:textId="3A48A16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Not specified number of posts between March to August 2020 from 4 Egyptian government pages on Facebook</w:t>
            </w:r>
          </w:p>
        </w:tc>
        <w:tc>
          <w:tcPr>
            <w:tcW w:w="1276" w:type="dxa"/>
          </w:tcPr>
          <w:p w14:paraId="571B2775" w14:textId="4A2FE7E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Case study: Automated content analysis</w:t>
            </w:r>
          </w:p>
        </w:tc>
        <w:tc>
          <w:tcPr>
            <w:tcW w:w="995" w:type="dxa"/>
            <w:hideMark/>
          </w:tcPr>
          <w:p w14:paraId="247BAEE9" w14:textId="5F0B7F2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w:t>
            </w:r>
          </w:p>
        </w:tc>
      </w:tr>
      <w:tr w:rsidR="004B3FDE" w:rsidRPr="002E6D00" w14:paraId="19BD8839" w14:textId="77777777" w:rsidTr="45483B6E">
        <w:trPr>
          <w:trHeight w:val="1134"/>
          <w:jc w:val="center"/>
        </w:trPr>
        <w:tc>
          <w:tcPr>
            <w:tcW w:w="1129" w:type="dxa"/>
            <w:noWrap/>
            <w:hideMark/>
          </w:tcPr>
          <w:p w14:paraId="58E9BB4E" w14:textId="4D835C6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Pantano, E., Dennis, C., &amp; De Pietro, M.</w:t>
            </w:r>
          </w:p>
        </w:tc>
        <w:tc>
          <w:tcPr>
            <w:tcW w:w="1418" w:type="dxa"/>
            <w:hideMark/>
          </w:tcPr>
          <w:p w14:paraId="19C37E6C" w14:textId="602E82D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Shopping Centers Revisited: The Interplay Between Consumers’ Spontaneous Online Communications and Retail Planning.</w:t>
            </w:r>
          </w:p>
        </w:tc>
        <w:tc>
          <w:tcPr>
            <w:tcW w:w="585" w:type="dxa"/>
            <w:noWrap/>
            <w:hideMark/>
          </w:tcPr>
          <w:p w14:paraId="7BD5BBF7" w14:textId="4CF41121"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{"citationItems":[{"id":"ITEM-1","itemData":{"DOI":"10.1016/j.jretconser.2021.102576","ISSN":"09696989","abstract":"This paper revisits shopping centers' characteristics in the light of consumers' choices of actual centers in spontaneous online communications. We argue that modes of shopping centers marketing, which comprise a certain set of attributes to ensure consumers' choice, need to be updated to relate to new specific consumers' needs and choices, taking into account the recent increasing role of technologies, leisure activities and changes in consumer behavior. To this end, the paper considers consumers' unsolicited communications on Twitter as an effective source of insights. Drawing upon 10,544 consumers' tweets relating to the 19 main shopping centers in UK posted in May 2019 analyzed through machine learning algorithms. Results report the interplay between consumers' unsolicited online judgments and retail planning, while suggesting new methods for understanding consumers’ insights.","author":[{"dropping-particle":"","family":"Pantano","given":"Eleonora","non-dropping-particle":"","parse-names":false,"suffix":""},{"dropping-particle":"","family":"Dennis","given":"Charles","non-dropping-particle":"","parse-names":false,"suffix":""},{"dropping-particle":"","family":"Pietro","given":"Michela","non-dropping-particle":"De","parse-names":false,"suffix":""}],"container-title":"Journal of Retailing and Consumer Services","id":"ITEM-1","issue":"April","issued":{"date-parts":[["2021"]]},"page":"102576","publisher":"Elsevier Ltd","title":"Shopping Centers Revisited: The Interplay between Consumers’ Spontaneous Online Communications and Retail Planning","type":"article-journal","volume":"61"},"suppress-author":1,"uris":["http://www.mendeley.com/documents/?uuid=d7d12034-4650-4b25-b501-f4adc605f80b"]}],"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5198DE8D" w14:textId="396665D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Retailing &amp; Consumer Services</w:t>
            </w:r>
          </w:p>
        </w:tc>
        <w:tc>
          <w:tcPr>
            <w:tcW w:w="2268" w:type="dxa"/>
            <w:hideMark/>
          </w:tcPr>
          <w:p w14:paraId="709EAFBF" w14:textId="7F9E435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authors answer the research questions (RQs): “What are the attributes characterizing modern shopping centers according to consumers’ perspectives? […] How can new methods based on consumers’ online spontaneous communications be integrated into the existing list of consumer-relevant attributes of shopping centers?” (p. 2)</w:t>
            </w:r>
          </w:p>
        </w:tc>
        <w:tc>
          <w:tcPr>
            <w:tcW w:w="2693" w:type="dxa"/>
            <w:hideMark/>
          </w:tcPr>
          <w:p w14:paraId="12C91B24" w14:textId="12FB3A4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“Results report the interplay between consumers’ unsolicited online judgments and retail planning, while suggesting new methods for understanding consumers’ insights” (p. 1).</w:t>
            </w:r>
          </w:p>
        </w:tc>
        <w:tc>
          <w:tcPr>
            <w:tcW w:w="1276" w:type="dxa"/>
            <w:hideMark/>
          </w:tcPr>
          <w:p w14:paraId="7DBE0865" w14:textId="2986873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10,544 tweets posted by unique twitter accounts that used the name of one of 19 shopping center in the UK</w:t>
            </w:r>
          </w:p>
        </w:tc>
        <w:tc>
          <w:tcPr>
            <w:tcW w:w="1276" w:type="dxa"/>
          </w:tcPr>
          <w:p w14:paraId="66571916" w14:textId="2D58D49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Automated content analysis (sentiment analysis)</w:t>
            </w:r>
          </w:p>
        </w:tc>
        <w:tc>
          <w:tcPr>
            <w:tcW w:w="995" w:type="dxa"/>
            <w:hideMark/>
          </w:tcPr>
          <w:p w14:paraId="44A56FC4" w14:textId="1241188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456F22FD" w14:textId="77777777" w:rsidTr="45483B6E">
        <w:trPr>
          <w:trHeight w:val="1134"/>
          <w:jc w:val="center"/>
        </w:trPr>
        <w:tc>
          <w:tcPr>
            <w:tcW w:w="1129" w:type="dxa"/>
            <w:noWrap/>
            <w:hideMark/>
          </w:tcPr>
          <w:p w14:paraId="171FBA44" w14:textId="2F39ABF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Vural C.A., Bastug, S., &amp; Gülmez, S.</w:t>
            </w:r>
          </w:p>
        </w:tc>
        <w:tc>
          <w:tcPr>
            <w:tcW w:w="1418" w:type="dxa"/>
            <w:hideMark/>
          </w:tcPr>
          <w:p w14:paraId="37398816" w14:textId="2639580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Sustainable Brand Positioning by Container Shipping Firms: Evidence from Social Media Communications</w:t>
            </w:r>
          </w:p>
        </w:tc>
        <w:tc>
          <w:tcPr>
            <w:tcW w:w="585" w:type="dxa"/>
            <w:noWrap/>
            <w:hideMark/>
          </w:tcPr>
          <w:p w14:paraId="3526957A" w14:textId="474B47D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{"citationItems":[{"id":"ITEM-1","itemData":{"DOI":"10.1016/j.trd.2021.102938","ISSN":"13619209","abstract":"This study contributes to shipping research by profiling container shipping lines with respect to their sustainability related brand positioning strategies through their social media communications. Longitudinal content analysis is combined with multiple correspondence analysis (MCA) to map branding strategies of selected lines in relation to the triple bottom line (TBL) dimensions and functional versus emotional sustainability benefits. Results indicate that shipping lines position their brands closer to either economic or environmental sustainability where a win-win focus in the messages is highly prevalent. Social sustainability constitutes a market gap and an opportunity for the sustainability positioning of these brands. Furthermore, despite a few that recognize the potential in emotional benefits, majority of the lines use functional sustainability benefits in brand positioning. Emotional sustainability benefits provide wider opportunities with respect to brand differentiation and effective customer engagement in shipping lines’ sustainability initiatives.","author":[{"dropping-particle":"","family":"Vural","given":"Ceren Altuntaş","non-dropping-particle":"","parse-names":false,"suffix":""},{"dropping-particle":"","family":"Baştuğ","given":"Sedat","non-dropping-particle":"","parse-names":false,"suffix":""},{"dropping-particle":"","family":"Gülmez","given":"Seçil","non-dropping-particle":"","parse-names":false,"suffix":""}],"container-title":"Transportation Research Part D: Transport and Environment","id":"ITEM-1","issued":{"date-parts":[["2021","8"]]},"title":"Sustainable Brand Positioning by Container Shipping Firms: Evidence from Social Media Communications","type":"article-journal","volume":"97"},"suppress-author":1,"uris":["http://www.mendeley.com/documents/?uuid=ebdbb07b-d582-46f3-916a-a2d232a403c2"]}],"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244128DD" w14:textId="669FA503"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Transportation Research Part D: Transport and Environment</w:t>
            </w:r>
          </w:p>
        </w:tc>
        <w:tc>
          <w:tcPr>
            <w:tcW w:w="2268" w:type="dxa"/>
            <w:hideMark/>
          </w:tcPr>
          <w:p w14:paraId="72C95AF5" w14:textId="67AF0820" w:rsidR="003A2397" w:rsidRPr="002E6D00" w:rsidRDefault="003A2397" w:rsidP="058E435C">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 xml:space="preserve">“Profiling container shipping lines with respect to their sustainability related brand positioning strategies through their social media </w:t>
            </w:r>
            <w:r w:rsidRPr="002E6D00">
              <w:rPr>
                <w:rFonts w:ascii="Times New Roman" w:hAnsi="Times New Roman" w:cs="Times New Roman"/>
                <w:color w:val="000000" w:themeColor="text1"/>
                <w:sz w:val="16"/>
                <w:szCs w:val="16"/>
                <w:lang w:val="en-US"/>
              </w:rPr>
              <w:t>communications” (p. 1)</w:t>
            </w:r>
            <w:r>
              <w:rPr>
                <w:rFonts w:ascii="Times New Roman" w:hAnsi="Times New Roman" w:cs="Times New Roman"/>
                <w:color w:val="000000" w:themeColor="text1"/>
                <w:sz w:val="16"/>
                <w:szCs w:val="16"/>
                <w:lang w:val="en-US"/>
              </w:rPr>
              <w:t>.</w:t>
            </w:r>
          </w:p>
        </w:tc>
        <w:tc>
          <w:tcPr>
            <w:tcW w:w="2693" w:type="dxa"/>
            <w:hideMark/>
          </w:tcPr>
          <w:p w14:paraId="31B35D72" w14:textId="40D795E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“Shipping lines position their brands closer to either economic or environmental sustainability where a win-win focus in the messages is highly prevalent. Social sustainability constitutes a market gap and an opportunity for the sustainability positioning of these brands. Furthermore, despite a few that recognize the potential in emotional benefits, majority of the lines use functional sustainability benefits in brand positioning. Emotional sustainability benefits provide wider opportunities with respect to brand differentiation and effective customer engagement in shipping lines’ sustainability initiatives” (p. 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36C01765" w14:textId="517A1C5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10 brands; max. 64,924 Tweets</w:t>
            </w:r>
          </w:p>
        </w:tc>
        <w:tc>
          <w:tcPr>
            <w:tcW w:w="1276" w:type="dxa"/>
          </w:tcPr>
          <w:p w14:paraId="205C45BA" w14:textId="0100403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Manual content analysis, multiple correspondence analysis</w:t>
            </w:r>
          </w:p>
        </w:tc>
        <w:tc>
          <w:tcPr>
            <w:tcW w:w="995" w:type="dxa"/>
            <w:hideMark/>
          </w:tcPr>
          <w:p w14:paraId="3F47ED80" w14:textId="74D166A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0F2279B0" w14:textId="77777777" w:rsidTr="45483B6E">
        <w:trPr>
          <w:trHeight w:val="1134"/>
          <w:jc w:val="center"/>
        </w:trPr>
        <w:tc>
          <w:tcPr>
            <w:tcW w:w="1129" w:type="dxa"/>
            <w:noWrap/>
            <w:hideMark/>
          </w:tcPr>
          <w:p w14:paraId="539E156E" w14:textId="01DD9FBE"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Bang,</w:t>
            </w:r>
            <w:r>
              <w:rPr>
                <w:rFonts w:ascii="Times New Roman" w:eastAsia="Times New Roman" w:hAnsi="Times New Roman" w:cs="Times New Roman"/>
                <w:kern w:val="0"/>
                <w:sz w:val="16"/>
                <w:szCs w:val="16"/>
                <w:lang w:val="en-US"/>
                <w14:ligatures w14:val="none"/>
              </w:rPr>
              <w:t xml:space="preserve"> C.C.</w:t>
            </w:r>
            <w:r w:rsidRPr="002E6D00">
              <w:rPr>
                <w:rFonts w:ascii="Times New Roman" w:eastAsia="Times New Roman" w:hAnsi="Times New Roman" w:cs="Times New Roman"/>
                <w:kern w:val="0"/>
                <w:sz w:val="16"/>
                <w:szCs w:val="16"/>
                <w:lang w:val="en-US"/>
                <w14:ligatures w14:val="none"/>
              </w:rPr>
              <w:t xml:space="preserve">, </w:t>
            </w:r>
            <w:r>
              <w:rPr>
                <w:rFonts w:ascii="Times New Roman" w:eastAsia="Times New Roman" w:hAnsi="Times New Roman" w:cs="Times New Roman"/>
                <w:kern w:val="0"/>
                <w:sz w:val="16"/>
                <w:szCs w:val="16"/>
                <w:lang w:val="en-US"/>
                <w14:ligatures w14:val="none"/>
              </w:rPr>
              <w:t>Lee, J., &amp; Rao, H.R.</w:t>
            </w:r>
          </w:p>
        </w:tc>
        <w:tc>
          <w:tcPr>
            <w:tcW w:w="1418" w:type="dxa"/>
            <w:hideMark/>
          </w:tcPr>
          <w:p w14:paraId="72A90EC6" w14:textId="25B2406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Egyptian Protest Movement in the Twittersphere: An Investigation of Dual Sentiment Pathways of Communication</w:t>
            </w:r>
          </w:p>
        </w:tc>
        <w:tc>
          <w:tcPr>
            <w:tcW w:w="585" w:type="dxa"/>
            <w:noWrap/>
            <w:hideMark/>
          </w:tcPr>
          <w:p w14:paraId="5AA8BEC2" w14:textId="69B6C8E9"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{"citationItems":[{"id":"ITEM-1","itemData":{"DOI":"10.1016/j.ijinfomgt.2021.102328","ISSN":"02684012","abstract":"During the course of the Egyptian civil movement in 2011, excessive suppression of the protesters caused a great deal of humanitarian concerns across the world. Egyptian protesters were supported not only in the Arabic-speaking world, but also throughout the English speaking world. The Twittersphere1 became a valuable arena for individuals to communicate amongst each other regarding important social movement issues. This paper is a study of the communication on Twitterverse consisting of both English and Arabic tweets and the sentiments expressed therein during the Egyptian protest movement. We focus on the research questions: what sentiments of Tweeters relate to signals of protest communication?, and how do protest related tweets in two languages in the Twitter sphere, that are a proxy of two different and important cultural groups, compare with each other? In order to understand the protest communications in Twittersphere, we examine a dual pathways model that relates to emotional and goal related sentiments. We apply this model to examine the online protest in Egypt. Our findings reveal the emotions and goal related sentiments that are fundamental for intention to protest across the two languages. We find that anger, fear, pride and hope were the prime sentiments regarding intention to or support of protest, regardless of language.","author":[{"dropping-particle":"","family":"Bang","given":"Chulhwan Chris","non-dropping-particle":"","parse-names":false,"suffix":""},{"dropping-particle":"","family":"Lee","given":"Jaeung","non-dropping-particle":"","parse-names":false,"suffix":""},{"dropping-particle":"","family":"Rao","given":"H. Raghav","non-dropping-particle":"","parse-names":false,"suffix":""}],"container-title":"International Journal of Information Management","id":"ITEM-1","issued":{"date-parts":[["2021"]]},"page":"102328","publisher":"Elsevier Ltd","title":"The Egyptian Protest Movement in the Twittersphere: An Investigation of Dual Sentiment Pathways of Communication","type":"article-journal","volume":"58"},"suppress-author":1,"uris":["http://www.mendeley.com/documents/?uuid=c78f5b45-5fde-44c2-ba29-a7a3d47c8f48"]}],"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6AB09FF" w14:textId="250238A3"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International Journal of Information Management</w:t>
            </w:r>
          </w:p>
        </w:tc>
        <w:tc>
          <w:tcPr>
            <w:tcW w:w="2268" w:type="dxa"/>
            <w:hideMark/>
          </w:tcPr>
          <w:p w14:paraId="3AAB363B" w14:textId="61A7C7E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“What sentiments of Tweeters relate to signals of protest communication?”; “How do protest related tweets in two languages in the Twitter sphere, that are a proxy of two different and important cultural groups, compare with each other?” (p. 1)</w:t>
            </w:r>
          </w:p>
        </w:tc>
        <w:tc>
          <w:tcPr>
            <w:tcW w:w="2693" w:type="dxa"/>
            <w:hideMark/>
          </w:tcPr>
          <w:p w14:paraId="554C50EC" w14:textId="22DF570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“Emotions and goal related sentiments that are fundamental for intention to protest across the two languages. Anger, fear, pride and hope were the prime sentiments regarding intention to or support of protest, regardless of language”</w:t>
            </w:r>
            <w:r>
              <w:rPr>
                <w:rFonts w:ascii="Times New Roman" w:eastAsia="Times New Roman" w:hAnsi="Times New Roman" w:cs="Times New Roman"/>
                <w:color w:val="000000" w:themeColor="text1"/>
                <w:kern w:val="0"/>
                <w:sz w:val="16"/>
                <w:szCs w:val="16"/>
                <w:lang w:val="en-US"/>
                <w14:ligatures w14:val="none"/>
              </w:rPr>
              <w:t xml:space="preserve"> (p. 1).</w:t>
            </w:r>
          </w:p>
        </w:tc>
        <w:tc>
          <w:tcPr>
            <w:tcW w:w="1276" w:type="dxa"/>
            <w:hideMark/>
          </w:tcPr>
          <w:p w14:paraId="228C926E" w14:textId="7777777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10,716 English and Arabic Tweets</w:t>
            </w:r>
          </w:p>
        </w:tc>
        <w:tc>
          <w:tcPr>
            <w:tcW w:w="1276" w:type="dxa"/>
          </w:tcPr>
          <w:p w14:paraId="7037E68B" w14:textId="7E12DE7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Manual content analysis</w:t>
            </w:r>
          </w:p>
        </w:tc>
        <w:tc>
          <w:tcPr>
            <w:tcW w:w="995" w:type="dxa"/>
            <w:hideMark/>
          </w:tcPr>
          <w:p w14:paraId="2DDCEAA5" w14:textId="64B78A0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Tweets </w:t>
            </w:r>
          </w:p>
        </w:tc>
      </w:tr>
      <w:tr w:rsidR="004B3FDE" w:rsidRPr="002E6D00" w14:paraId="3C70EB5F" w14:textId="77777777" w:rsidTr="45483B6E">
        <w:trPr>
          <w:trHeight w:val="975"/>
          <w:jc w:val="center"/>
        </w:trPr>
        <w:tc>
          <w:tcPr>
            <w:tcW w:w="1129" w:type="dxa"/>
            <w:noWrap/>
            <w:hideMark/>
          </w:tcPr>
          <w:p w14:paraId="38A2FBD3" w14:textId="4B34CE04" w:rsidR="003A2397" w:rsidRPr="0091340D" w:rsidRDefault="003A2397" w:rsidP="00071683">
            <w:pPr>
              <w:rPr>
                <w:rFonts w:ascii="Times New Roman" w:eastAsia="Times New Roman" w:hAnsi="Times New Roman" w:cs="Times New Roman"/>
                <w:kern w:val="0"/>
                <w:sz w:val="16"/>
                <w:szCs w:val="16"/>
                <w14:ligatures w14:val="none"/>
              </w:rPr>
            </w:pPr>
            <w:r w:rsidRPr="0091340D">
              <w:rPr>
                <w:rFonts w:ascii="Times New Roman" w:eastAsia="Times New Roman" w:hAnsi="Times New Roman" w:cs="Times New Roman"/>
                <w:kern w:val="0"/>
                <w:sz w:val="16"/>
                <w:szCs w:val="16"/>
                <w14:ligatures w14:val="none"/>
              </w:rPr>
              <w:t>Paul, J., Parameswar, N., Sind</w:t>
            </w:r>
            <w:r>
              <w:rPr>
                <w:rFonts w:ascii="Times New Roman" w:eastAsia="Times New Roman" w:hAnsi="Times New Roman" w:cs="Times New Roman"/>
                <w:kern w:val="0"/>
                <w:sz w:val="16"/>
                <w:szCs w:val="16"/>
                <w14:ligatures w14:val="none"/>
              </w:rPr>
              <w:t>hani, M., &amp; Dhir, S.</w:t>
            </w:r>
          </w:p>
        </w:tc>
        <w:tc>
          <w:tcPr>
            <w:tcW w:w="1418" w:type="dxa"/>
            <w:hideMark/>
          </w:tcPr>
          <w:p w14:paraId="5FA3B1E8" w14:textId="7BFD5E2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Use of Microblogging Platform for Digital Communication in Politics</w:t>
            </w:r>
          </w:p>
        </w:tc>
        <w:tc>
          <w:tcPr>
            <w:tcW w:w="585" w:type="dxa"/>
            <w:noWrap/>
            <w:hideMark/>
          </w:tcPr>
          <w:p w14:paraId="25ECEC79" w14:textId="5B8CE241"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{"citationItems":[{"id":"ITEM-1","itemData":{"DOI":"10.1016/j.jbusres.2021.01.046","ISSN":"01482963","abstract":"The growing influence of digital media has motivated many organizations, including political parties, to adopt it to promote their agendas, share political and professional viewpoints, and indulge in social interactions. Twitter is one of the microblogging platforms that stands out nowadays due to its important and influential role in the interactions related to politics and world crises, especially in spreading short transitory news across the world. This study examines the composition of the tweets of political organizations and their respective leaders, as well as the effect of these tweets on the people involved in the Indian 17th Parliament elections 2019. In addition, this work highlights the advantageous and disadvantageous strategies of the political parties, including the allegation of corruption against their opponents, are highlighted. The analysis demonstrates how political parties utilize Twitter to drive the public sentiment and use digital media to function.","author":[{"dropping-particle":"","family":"Paul","given":"Justin","non-dropping-particle":"","parse-names":false,"suffix":""},{"dropping-particle":"","family":"Parameswar","given":"Nakul","non-dropping-particle":"","parse-names":false,"suffix":""},{"dropping-particle":"","family":"Sindhani","given":"Mohit","non-dropping-particle":"","parse-names":false,"suffix":""},{"dropping-particle":"","family":"Dhir","given":"Sanjay","non-dropping-particle":"","parse-names":false,"suffix":""}],"container-title":"Journal of Business Research","id":"ITEM-1","issue":"February","issued":{"date-parts":[["2021"]]},"page":"322-331","publisher":"Elsevier Inc.","title":"Use of Microblogging Platform for Digital Communication in Politics","type":"article-journal","volume":"127"},"suppress-author":1,"uris":["http://www.mendeley.com/documents/?uuid=9e44ae59-28b9-4449-a3fc-7f95de0b1cbb"]}],"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D38939C" w14:textId="48CF4F9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Business Research</w:t>
            </w:r>
          </w:p>
        </w:tc>
        <w:tc>
          <w:tcPr>
            <w:tcW w:w="2268" w:type="dxa"/>
            <w:hideMark/>
          </w:tcPr>
          <w:p w14:paraId="4E837D3F" w14:textId="30B3401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“Composition of the tweets of political organizations and their respective leaders, as well as the effect of these tweets on the people involved in the Indian 17th Parliament elections 2019” (p. 322)</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2568AEDB" w14:textId="6D1B0135" w:rsidR="003A2397" w:rsidRPr="002E6D00" w:rsidRDefault="003A2397" w:rsidP="7B1E6813">
            <w:pPr>
              <w:spacing w:line="278" w:lineRule="auto"/>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“Diverse themes of the tweets, as well as the prominence of the corruption theme”; “effectiveness of Twitter in political communication and demonstrates the shift from traditional communication to digital communication”; “political parties which plan to utilize Twitter as a mode of communication must conceptualize thematic communication to engage with the public” (p. 328)</w:t>
            </w:r>
            <w:r>
              <w:rPr>
                <w:rFonts w:ascii="Times New Roman" w:hAnsi="Times New Roman" w:cs="Times New Roman"/>
                <w:color w:val="000000" w:themeColor="text1"/>
                <w:sz w:val="16"/>
                <w:szCs w:val="16"/>
                <w:lang w:val="en-US"/>
              </w:rPr>
              <w:t>.</w:t>
            </w:r>
          </w:p>
        </w:tc>
        <w:tc>
          <w:tcPr>
            <w:tcW w:w="1276" w:type="dxa"/>
            <w:hideMark/>
          </w:tcPr>
          <w:p w14:paraId="3B9F1905" w14:textId="7D68B93B" w:rsidR="003A2397" w:rsidRPr="002E6D00" w:rsidRDefault="003A2397" w:rsidP="64F80794">
            <w:pPr>
              <w:rPr>
                <w:rFonts w:ascii="Times New Roman" w:hAnsi="Times New Roman" w:cs="Times New Roman"/>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589,871 Tweets from: 3 </w:t>
            </w:r>
            <w:r w:rsidRPr="002E6D00">
              <w:rPr>
                <w:rFonts w:ascii="Times New Roman" w:eastAsia="Times New Roman" w:hAnsi="Times New Roman" w:cs="Times New Roman"/>
                <w:sz w:val="16"/>
                <w:szCs w:val="16"/>
                <w:lang w:val="en-US"/>
              </w:rPr>
              <w:t>top political parties and their leaders and keywords associated with the 17th Lok Sabha elections</w:t>
            </w:r>
          </w:p>
        </w:tc>
        <w:tc>
          <w:tcPr>
            <w:tcW w:w="1276" w:type="dxa"/>
          </w:tcPr>
          <w:p w14:paraId="64D0FFF5" w14:textId="32C1ABA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Automated content analysis (sentiment analysis, content analysis)</w:t>
            </w:r>
          </w:p>
        </w:tc>
        <w:tc>
          <w:tcPr>
            <w:tcW w:w="995" w:type="dxa"/>
            <w:hideMark/>
          </w:tcPr>
          <w:p w14:paraId="63BBF348" w14:textId="77E69AE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63C549DD" w14:textId="77777777" w:rsidTr="00F711FA">
        <w:trPr>
          <w:trHeight w:val="1432"/>
          <w:jc w:val="center"/>
        </w:trPr>
        <w:tc>
          <w:tcPr>
            <w:tcW w:w="1129" w:type="dxa"/>
            <w:noWrap/>
            <w:hideMark/>
          </w:tcPr>
          <w:p w14:paraId="530269A9" w14:textId="35338C10" w:rsidR="003A2397" w:rsidRPr="002E6D00" w:rsidRDefault="003A2397" w:rsidP="00071683">
            <w:pP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Wang, N., Liang, H., Xue, Y., &amp; Ge, S.</w:t>
            </w:r>
          </w:p>
        </w:tc>
        <w:tc>
          <w:tcPr>
            <w:tcW w:w="1418" w:type="dxa"/>
            <w:hideMark/>
          </w:tcPr>
          <w:p w14:paraId="1E9C638B" w14:textId="2842BDF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Mitigating Information Asymmetry to Achieve Crowdfunding Success: Signaling and Online Communication</w:t>
            </w:r>
          </w:p>
        </w:tc>
        <w:tc>
          <w:tcPr>
            <w:tcW w:w="585" w:type="dxa"/>
            <w:noWrap/>
            <w:hideMark/>
          </w:tcPr>
          <w:p w14:paraId="70A39B97" w14:textId="0F77F080"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{"citationItems":[{"id":"ITEM-1","itemData":{"DOI":"10.17705/1jais.00679","ISSN":"15369323","abstract":"This paper examines how signals and the herding factor originating from multiple sources complement or substitute for each other’s effects in the crowdfunding context. Drawing on the elaboration likelihood model, we propose that signals from campaigns (videos) and creators (experience) can mitigate information asymmetry concerns about project quality and creator credibility and that creator-originating signals offset the effect of campaign-originating signals on crowdfunding success. Further, we posit that online communication between creators and backers (backer comments and creator replies) complements or substitutes for the effects of signals originating from the campaign or creator. We collected and analyzed objective data on 9,884 crowdfunding projects from a major reward-based crowdfunding platform in China and were able to confirm most of our hypotheses.","author":[{"dropping-particle":"","family":"Wang","given":"Nianxin","non-dropping-particle":"","parse-names":false,"suffix":""},{"dropping-particle":"","family":"Liang","given":"Huigang","non-dropping-particle":"","parse-names":false,"suffix":""},{"dropping-particle":"","family":"Xue","given":"Yajiong","non-dropping-particle":"","parse-names":false,"suffix":""},{"dropping-particle":"","family":"Ge","given":"Shilun","non-dropping-particle":"","parse-names":false,"suffix":""}],"container-title":"Journal of the Association for Information Systems","id":"ITEM-1","issue":"3","issued":{"date-parts":[["2021"]]},"page":"773-796","title":"Mitigating Information Asymmetry to Achieve Crowdfunding Success: Signaling and Online Communication","type":"article-journal","volume":"22"},"suppress-author":1,"uris":["http://www.mendeley.com/documents/?uuid=d3ac3b34-ae31-4e57-8315-5cf5b1dfae77"]}],"mendeley":{"formattedCitation":"(2021)","manualFormatting":"2021","plainTextFormattedCitation":"(2021)","previouslyFormattedCitation":"(2021)"},"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2021</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F94F6BA" w14:textId="7FFDEA2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the Association for Information Systems</w:t>
            </w:r>
          </w:p>
        </w:tc>
        <w:tc>
          <w:tcPr>
            <w:tcW w:w="2268" w:type="dxa"/>
            <w:hideMark/>
          </w:tcPr>
          <w:p w14:paraId="20CA159D" w14:textId="69F1E55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Investigate “how signals and the herding factor originating from multiple sources complement or substitute for each other’s effects in the crowdfunding context” (p. 773)</w:t>
            </w:r>
          </w:p>
        </w:tc>
        <w:tc>
          <w:tcPr>
            <w:tcW w:w="2693" w:type="dxa"/>
            <w:hideMark/>
          </w:tcPr>
          <w:p w14:paraId="03ABEBED" w14:textId="774B826C" w:rsidR="003A2397" w:rsidRPr="002E6D00" w:rsidRDefault="003A2397" w:rsidP="00071683">
            <w:pPr>
              <w:rPr>
                <w:rFonts w:ascii="Times New Roman" w:eastAsia="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“[B]</w:t>
            </w:r>
            <w:r w:rsidRPr="002E6D00">
              <w:rPr>
                <w:rFonts w:ascii="Times New Roman" w:hAnsi="Times New Roman" w:cs="Times New Roman"/>
                <w:color w:val="000000" w:themeColor="text1"/>
                <w:sz w:val="16"/>
                <w:szCs w:val="16"/>
                <w:lang w:val="en-US"/>
              </w:rPr>
              <w:t>oth signals from the campaign and creator and online backer-creator communication influence the likelihood of crowdfunding success. More importantly, signals and online communication between creators and backers jointly influence crowdfunding success</w:t>
            </w:r>
            <w:r>
              <w:rPr>
                <w:rFonts w:ascii="Times New Roman" w:hAnsi="Times New Roman" w:cs="Times New Roman"/>
                <w:color w:val="000000" w:themeColor="text1"/>
                <w:sz w:val="16"/>
                <w:szCs w:val="16"/>
                <w:lang w:val="en-US"/>
              </w:rPr>
              <w:t>” (p. 790).</w:t>
            </w:r>
          </w:p>
        </w:tc>
        <w:tc>
          <w:tcPr>
            <w:tcW w:w="1276" w:type="dxa"/>
            <w:hideMark/>
          </w:tcPr>
          <w:p w14:paraId="26BC72B6" w14:textId="6D3A634C" w:rsidR="003A2397" w:rsidRPr="002E6D00" w:rsidRDefault="003A2397" w:rsidP="469F10B7">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sz w:val="16"/>
                <w:szCs w:val="16"/>
                <w:lang w:val="en-US"/>
              </w:rPr>
              <w:t>9,984 crowdfunding projects</w:t>
            </w:r>
          </w:p>
          <w:p w14:paraId="44CD33C9" w14:textId="094F6A8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p>
        </w:tc>
        <w:tc>
          <w:tcPr>
            <w:tcW w:w="1276" w:type="dxa"/>
          </w:tcPr>
          <w:p w14:paraId="6E411F42" w14:textId="4C15C63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Multicollineari</w:t>
            </w:r>
            <w:r w:rsidR="0069314C">
              <w:rPr>
                <w:rFonts w:ascii="Times New Roman" w:eastAsia="Times New Roman" w:hAnsi="Times New Roman" w:cs="Times New Roman"/>
                <w:color w:val="000000" w:themeColor="text1"/>
                <w:sz w:val="16"/>
                <w:szCs w:val="16"/>
                <w:lang w:val="en-US"/>
              </w:rPr>
              <w:t>t</w:t>
            </w:r>
            <w:r w:rsidRPr="002E6D00">
              <w:rPr>
                <w:rFonts w:ascii="Times New Roman" w:eastAsia="Times New Roman" w:hAnsi="Times New Roman" w:cs="Times New Roman"/>
                <w:color w:val="000000" w:themeColor="text1"/>
                <w:sz w:val="16"/>
                <w:szCs w:val="16"/>
                <w:lang w:val="en-US"/>
              </w:rPr>
              <w:t>y analysis, regression analysis</w:t>
            </w:r>
          </w:p>
        </w:tc>
        <w:tc>
          <w:tcPr>
            <w:tcW w:w="995" w:type="dxa"/>
            <w:hideMark/>
          </w:tcPr>
          <w:p w14:paraId="5E2F9DCA" w14:textId="5D577DE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Crowdfunding projects</w:t>
            </w:r>
          </w:p>
        </w:tc>
      </w:tr>
      <w:tr w:rsidR="004B3FDE" w:rsidRPr="00F711FA" w14:paraId="7C856D17" w14:textId="77777777" w:rsidTr="45483B6E">
        <w:trPr>
          <w:trHeight w:val="945"/>
          <w:jc w:val="center"/>
        </w:trPr>
        <w:tc>
          <w:tcPr>
            <w:tcW w:w="1129" w:type="dxa"/>
            <w:noWrap/>
            <w:hideMark/>
          </w:tcPr>
          <w:p w14:paraId="22AF8A50" w14:textId="24B4D3F3" w:rsidR="003A2397" w:rsidRPr="00F321DC" w:rsidRDefault="003A2397" w:rsidP="00071683">
            <w:pPr>
              <w:rPr>
                <w:rFonts w:ascii="Times New Roman" w:eastAsia="Times New Roman" w:hAnsi="Times New Roman" w:cs="Times New Roman"/>
                <w:kern w:val="0"/>
                <w:sz w:val="16"/>
                <w:szCs w:val="16"/>
                <w14:ligatures w14:val="none"/>
              </w:rPr>
            </w:pPr>
            <w:r w:rsidRPr="00F321DC">
              <w:rPr>
                <w:rFonts w:ascii="Times New Roman" w:eastAsia="Times New Roman" w:hAnsi="Times New Roman" w:cs="Times New Roman"/>
                <w:kern w:val="0"/>
                <w:sz w:val="16"/>
                <w:szCs w:val="16"/>
                <w14:ligatures w14:val="none"/>
              </w:rPr>
              <w:t>Paxton, A., Varoquaux, N., Holdgraf, C., &amp; Gei</w:t>
            </w:r>
            <w:r>
              <w:rPr>
                <w:rFonts w:ascii="Times New Roman" w:eastAsia="Times New Roman" w:hAnsi="Times New Roman" w:cs="Times New Roman"/>
                <w:kern w:val="0"/>
                <w:sz w:val="16"/>
                <w:szCs w:val="16"/>
                <w14:ligatures w14:val="none"/>
              </w:rPr>
              <w:t>er, R.S.</w:t>
            </w:r>
          </w:p>
        </w:tc>
        <w:tc>
          <w:tcPr>
            <w:tcW w:w="1418" w:type="dxa"/>
            <w:hideMark/>
          </w:tcPr>
          <w:p w14:paraId="4359EF89" w14:textId="0AB8B09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Community, Time, </w:t>
            </w:r>
            <w:r>
              <w:rPr>
                <w:rFonts w:ascii="Times New Roman" w:eastAsia="Times New Roman" w:hAnsi="Times New Roman" w:cs="Times New Roman"/>
                <w:color w:val="000000" w:themeColor="text1"/>
                <w:kern w:val="0"/>
                <w:sz w:val="16"/>
                <w:szCs w:val="16"/>
                <w:lang w:val="en-US"/>
                <w14:ligatures w14:val="none"/>
              </w:rPr>
              <w:t>a</w:t>
            </w:r>
            <w:r w:rsidRPr="002E6D00">
              <w:rPr>
                <w:rFonts w:ascii="Times New Roman" w:eastAsia="Times New Roman" w:hAnsi="Times New Roman" w:cs="Times New Roman"/>
                <w:color w:val="000000" w:themeColor="text1"/>
                <w:kern w:val="0"/>
                <w:sz w:val="16"/>
                <w:szCs w:val="16"/>
                <w:lang w:val="en-US"/>
                <w14:ligatures w14:val="none"/>
              </w:rPr>
              <w:t>nd (Con)Text: A Dynamical Systems Analysis of Online Communication and Community Health Among Open-Source Software Communities</w:t>
            </w:r>
          </w:p>
        </w:tc>
        <w:tc>
          <w:tcPr>
            <w:tcW w:w="585" w:type="dxa"/>
            <w:noWrap/>
            <w:hideMark/>
          </w:tcPr>
          <w:p w14:paraId="6C4737C1" w14:textId="4DB15DE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{"citationItems":[{"id":"ITEM-1","itemData":{"DOI":"10.1111/cogs.13134","ISSN":"15516709","PMID":"35579857","abstract":"Free and open-source software projects have become essential digital infrastructure over the past decade. These projects are largely created and maintained by unpaid volunteers, presenting a potential vulnerability if the projects cannot recruit and retain new volunteers. At the same time, their development on open collaborative development platforms provides a nearly complete record of the community's interactions; this affords the opportunity to study naturally occurring language dynamics at scale and in a context with massive real-world impact. The present work takes a dynamical systems view of language to understand the ways in which communicative context and community membership shape the emergence and impact of language use—specifically, sentiment and expressions of gratitude. We then present evidence that these language dynamics shape newcomers' likelihood of returning, although the specific impacts of different community responses are crucially modulated by the context of the newcomer's first contact with the community.","author":[{"dropping-particle":"","family":"Paxton","given":"Alexandra","non-dropping-particle":"","parse-names":false,"suffix":""},{"dropping-particle":"","family":"Varoquaux","given":"Nelle","non-dropping-particle":"","parse-names":false,"suffix":""},{"dropping-particle":"","family":"Holdgraf","given":"Chris","non-dropping-particle":"","parse-names":false,"suffix":""},{"dropping-particle":"","family":"Geiger","given":"R. Stuart","non-dropping-particle":"","parse-names":false,"suffix":""}],"container-title":"Cognitive Science","id":"ITEM-1","issue":"5","issued":{"date-parts":[["2022"]]},"page":"1-27","title":"Community, Time, and (Con)text: A Dynamical Systems Analysis of Online Communication and Community Health among Open-Source Software Communities","type":"article-journal","volume":"46"},"suppress-author":1,"uris":["http://www.mendeley.com/documents/?uuid=d801d355-7943-47fd-9d07-7751558bb57d"]}],"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332D0EB" w14:textId="49BED390"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Cognitive Science</w:t>
            </w:r>
          </w:p>
        </w:tc>
        <w:tc>
          <w:tcPr>
            <w:tcW w:w="2268" w:type="dxa"/>
            <w:hideMark/>
          </w:tcPr>
          <w:p w14:paraId="4F8566C4" w14:textId="05685FC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“Understand the ways in which communicative context and community membership shape the emergence and impact of language use”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4BC44B2A" w14:textId="4909184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“Language dynamics shape newcomers’ likelihood of returning, although the specific impacts of different community responses are crucially modulated by the context of the newcomer’s first contact with the community” (p. 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282BABCC" w14:textId="4A02266B"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8 projects with 19,430 users; “36,538 posted pull requests; 253,495 comments on PRs; 32,133 posted issues; and 185,529 comments on issues” (p. 10) (uncleaned dataset)</w:t>
            </w:r>
          </w:p>
        </w:tc>
        <w:tc>
          <w:tcPr>
            <w:tcW w:w="1276" w:type="dxa"/>
          </w:tcPr>
          <w:p w14:paraId="225E93B7" w14:textId="2670381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Automated content analysis (sentiment analysis)</w:t>
            </w:r>
          </w:p>
        </w:tc>
        <w:tc>
          <w:tcPr>
            <w:tcW w:w="995" w:type="dxa"/>
            <w:hideMark/>
          </w:tcPr>
          <w:p w14:paraId="3B927453" w14:textId="2A6290E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Posts and comments, pull requests, posted issues, comments on issues</w:t>
            </w:r>
          </w:p>
        </w:tc>
      </w:tr>
      <w:tr w:rsidR="004B3FDE" w:rsidRPr="00F711FA" w14:paraId="05A6656E" w14:textId="77777777" w:rsidTr="45483B6E">
        <w:trPr>
          <w:trHeight w:val="1134"/>
          <w:jc w:val="center"/>
        </w:trPr>
        <w:tc>
          <w:tcPr>
            <w:tcW w:w="1129" w:type="dxa"/>
            <w:noWrap/>
            <w:hideMark/>
          </w:tcPr>
          <w:p w14:paraId="25B6FC80" w14:textId="17977482" w:rsidR="003A2397" w:rsidRPr="002E6D00" w:rsidRDefault="003A2397" w:rsidP="00071683">
            <w:pPr>
              <w:rPr>
                <w:rFonts w:ascii="Times New Roman" w:eastAsia="Times New Roman" w:hAnsi="Times New Roman" w:cs="Times New Roman"/>
                <w:kern w:val="0"/>
                <w:sz w:val="16"/>
                <w:szCs w:val="16"/>
                <w14:ligatures w14:val="none"/>
              </w:rPr>
            </w:pPr>
            <w:r>
              <w:rPr>
                <w:rFonts w:ascii="Times New Roman" w:eastAsia="Times New Roman" w:hAnsi="Times New Roman" w:cs="Times New Roman"/>
                <w:sz w:val="16"/>
                <w:szCs w:val="16"/>
              </w:rPr>
              <w:t>Schoch, M., Gimpel, H., Maier, A., &amp; Neumeier, K.</w:t>
            </w:r>
          </w:p>
        </w:tc>
        <w:tc>
          <w:tcPr>
            <w:tcW w:w="1418" w:type="dxa"/>
            <w:hideMark/>
          </w:tcPr>
          <w:p w14:paraId="780178C3" w14:textId="128B9B0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From Broken Habits to New Intentions: How Covid-19 Expands Our Knowledge on Post-Adoptive Use Behaviour of Digital Communication and Collaboration</w:t>
            </w:r>
          </w:p>
        </w:tc>
        <w:tc>
          <w:tcPr>
            <w:tcW w:w="585" w:type="dxa"/>
            <w:noWrap/>
            <w:hideMark/>
          </w:tcPr>
          <w:p w14:paraId="6B82CEDE" w14:textId="7C7F84E5"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{"citationItems":[{"id":"ITEM-1","itemData":{"DOI":"10.1080/0960085X.2022.2096489","ISSN":"14769344","abstract":"The COVID-19 pandemic has caused an unprecedented surge in digital communication and collaboration. While a rich body of knowledge exists on IS use, our understanding of changes in post-adoptive use behaviour regarding communication and collaboration is comparatively limited. Existing models assume decreasing growth rates over time and are not designed to capture spikes in use behaviour such as the one observed during the pandemic. In this mixed methods study, we propose a hybrid model of sensemaking and post-adoptive communication and collaboration use that explains changes in use behaviour and outlines the influence of external trigger events. Based on real-world data from MS Teams, we show that individual feature use varies over time, with an increasing growth rate triggered by COVID-19. To understand drivers for the heterogeneous changes, we further conduct qualitative interviews. We find habits were deliberately altered during COVID-19 and replaced with new intentions through sensemaking. We derive propositions that may encourage further research into the subject. Extended knowledge of post-adoptive behaviour and its triggers assists practitioners in adjusting to the new normal or reacting to new situations beyond COVID-19.","author":[{"dropping-particle":"","family":"Schoch","given":"Manfred","non-dropping-particle":"","parse-names":false,"suffix":""},{"dropping-particle":"","family":"Gimpel","given":"Henner","non-dropping-particle":"","parse-names":false,"suffix":""},{"dropping-particle":"","family":"Maier","given":"Andreas","non-dropping-particle":"","parse-names":false,"suffix":""},{"dropping-particle":"","family":"Neumeier","given":"Kathrin","non-dropping-particle":"","parse-names":false,"suffix":""}],"container-title":"European Journal of Information Systems","id":"ITEM-1","issue":"6","issued":{"date-parts":[["2022"]]},"page":"989-1010","publisher":"Taylor &amp; Francis","title":"From Broken Habits to New Intentions: How COVID-19 Expands our Knowledge on Post-Adoptive use Behaviour of Digital Communication and Collaboration","type":"article-journal","volume":"32"},"suppress-author":1,"uris":["http://www.mendeley.com/documents/?uuid=e8e999de-a662-4c7a-83f4-c047f735a826"]}],"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4470892" w14:textId="5F1DD0C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European Journal of Information Systems</w:t>
            </w:r>
          </w:p>
        </w:tc>
        <w:tc>
          <w:tcPr>
            <w:tcW w:w="2268" w:type="dxa"/>
            <w:hideMark/>
          </w:tcPr>
          <w:p w14:paraId="04208E80" w14:textId="16D83094"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Extend the “understanding of changes in post-adoptive use behaviour regarding communication and collaboration” (p. 989)</w:t>
            </w:r>
            <w:r>
              <w:rPr>
                <w:rFonts w:ascii="Times New Roman" w:hAnsi="Times New Roman" w:cs="Times New Roman"/>
                <w:color w:val="000000" w:themeColor="text1"/>
                <w:sz w:val="16"/>
                <w:szCs w:val="16"/>
                <w:lang w:val="en-US"/>
              </w:rPr>
              <w:t>.</w:t>
            </w:r>
          </w:p>
        </w:tc>
        <w:tc>
          <w:tcPr>
            <w:tcW w:w="2693" w:type="dxa"/>
            <w:hideMark/>
          </w:tcPr>
          <w:p w14:paraId="70078696" w14:textId="7ECC6EAF"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“Individual feature use varies over time, with an increasing growth rate triggered by COVID-19”; “habits were deliberately altered during COVID-19 and replaced with new intentions through sensemaking” (p. 989)</w:t>
            </w:r>
            <w:r>
              <w:rPr>
                <w:rFonts w:ascii="Times New Roman" w:hAnsi="Times New Roman" w:cs="Times New Roman"/>
                <w:color w:val="000000" w:themeColor="text1"/>
                <w:sz w:val="16"/>
                <w:szCs w:val="16"/>
                <w:lang w:val="en-US"/>
              </w:rPr>
              <w:t>.</w:t>
            </w:r>
          </w:p>
        </w:tc>
        <w:tc>
          <w:tcPr>
            <w:tcW w:w="1276" w:type="dxa"/>
            <w:hideMark/>
          </w:tcPr>
          <w:p w14:paraId="346DFAEB" w14:textId="134BEB02"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1 German organization; 158-181 employees</w:t>
            </w:r>
          </w:p>
        </w:tc>
        <w:tc>
          <w:tcPr>
            <w:tcW w:w="1276" w:type="dxa"/>
          </w:tcPr>
          <w:p w14:paraId="6DB56C7C" w14:textId="636C6E5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Hierarchical clustering, interviews</w:t>
            </w:r>
          </w:p>
        </w:tc>
        <w:tc>
          <w:tcPr>
            <w:tcW w:w="995" w:type="dxa"/>
            <w:hideMark/>
          </w:tcPr>
          <w:p w14:paraId="2DC5504D" w14:textId="4A97B09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Number of MS Teams features used, intensity of feature usage (channel, chat, call, meeting)</w:t>
            </w:r>
          </w:p>
        </w:tc>
      </w:tr>
      <w:tr w:rsidR="004B3FDE" w:rsidRPr="002E6D00" w14:paraId="3F8B0843" w14:textId="77777777" w:rsidTr="45483B6E">
        <w:trPr>
          <w:trHeight w:val="1134"/>
          <w:jc w:val="center"/>
        </w:trPr>
        <w:tc>
          <w:tcPr>
            <w:tcW w:w="1129" w:type="dxa"/>
            <w:noWrap/>
            <w:hideMark/>
          </w:tcPr>
          <w:p w14:paraId="5B8DDD10" w14:textId="34FA4E0E" w:rsidR="003A2397" w:rsidRPr="002E6D00" w:rsidRDefault="003A2397" w:rsidP="00071683">
            <w:pPr>
              <w:rPr>
                <w:rFonts w:ascii="Times New Roman" w:eastAsia="Times New Roman" w:hAnsi="Times New Roman" w:cs="Times New Roman"/>
                <w:kern w:val="0"/>
                <w:sz w:val="16"/>
                <w:szCs w:val="16"/>
                <w14:ligatures w14:val="none"/>
              </w:rPr>
            </w:pPr>
            <w:r w:rsidRPr="002E6D00">
              <w:rPr>
                <w:rFonts w:ascii="Times New Roman" w:eastAsia="Times New Roman" w:hAnsi="Times New Roman" w:cs="Times New Roman"/>
                <w:kern w:val="0"/>
                <w:sz w:val="16"/>
                <w:szCs w:val="16"/>
                <w14:ligatures w14:val="none"/>
              </w:rPr>
              <w:t xml:space="preserve">Ko, </w:t>
            </w:r>
            <w:r>
              <w:rPr>
                <w:rFonts w:ascii="Times New Roman" w:eastAsia="Times New Roman" w:hAnsi="Times New Roman" w:cs="Times New Roman"/>
                <w:kern w:val="0"/>
                <w:sz w:val="16"/>
                <w:szCs w:val="16"/>
                <w14:ligatures w14:val="none"/>
              </w:rPr>
              <w:t xml:space="preserve">E.E., </w:t>
            </w:r>
            <w:r w:rsidRPr="002E6D00">
              <w:rPr>
                <w:rFonts w:ascii="Times New Roman" w:eastAsia="Times New Roman" w:hAnsi="Times New Roman" w:cs="Times New Roman"/>
                <w:kern w:val="0"/>
                <w:sz w:val="16"/>
                <w:szCs w:val="16"/>
                <w14:ligatures w14:val="none"/>
              </w:rPr>
              <w:t>Kim</w:t>
            </w:r>
            <w:r>
              <w:rPr>
                <w:rFonts w:ascii="Times New Roman" w:eastAsia="Times New Roman" w:hAnsi="Times New Roman" w:cs="Times New Roman"/>
                <w:kern w:val="0"/>
                <w:sz w:val="16"/>
                <w:szCs w:val="16"/>
                <w14:ligatures w14:val="none"/>
              </w:rPr>
              <w:t>, D.,</w:t>
            </w:r>
            <w:r w:rsidRPr="002E6D00">
              <w:rPr>
                <w:rFonts w:ascii="Times New Roman" w:eastAsia="Times New Roman" w:hAnsi="Times New Roman" w:cs="Times New Roman"/>
                <w:kern w:val="0"/>
                <w:sz w:val="16"/>
                <w:szCs w:val="16"/>
                <w14:ligatures w14:val="none"/>
              </w:rPr>
              <w:t xml:space="preserve"> &amp; Kim</w:t>
            </w:r>
            <w:r>
              <w:rPr>
                <w:rFonts w:ascii="Times New Roman" w:eastAsia="Times New Roman" w:hAnsi="Times New Roman" w:cs="Times New Roman"/>
                <w:kern w:val="0"/>
                <w:sz w:val="16"/>
                <w:szCs w:val="16"/>
                <w14:ligatures w14:val="none"/>
              </w:rPr>
              <w:t>, G.</w:t>
            </w:r>
          </w:p>
        </w:tc>
        <w:tc>
          <w:tcPr>
            <w:tcW w:w="1418" w:type="dxa"/>
            <w:hideMark/>
          </w:tcPr>
          <w:p w14:paraId="6C66A02D" w14:textId="1CC3FC9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Influence of Emojis on User Engagement in Brand-Related User Generated Content</w:t>
            </w:r>
          </w:p>
        </w:tc>
        <w:tc>
          <w:tcPr>
            <w:tcW w:w="585" w:type="dxa"/>
            <w:noWrap/>
            <w:hideMark/>
          </w:tcPr>
          <w:p w14:paraId="381BD7BB" w14:textId="496E93F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{"citationItems":[{"id":"ITEM-1","itemData":{"DOI":"10.1016/j.chb.2022.107387","ISSN":"07475632","abstract":"Emojis are increasingly adopted in various platforms, such as text messages, social media, or blogs, as part of other digital communications. Recently, emojis have been used in brand-related user-generated content (UGC) as a strategic communication tool to promote positive outcomes. In spite of their increasing importance, little is known about the impact of incorporating emojis in brand-related UGC on consumer reactions. In particular, few research studies have investigated the joint effect of emojis with texts, which is the most important context where emojis function, and the contextual conditions that affect the influence of emojis on consumer reactions. To fill this research gap, we study brand-related UGC, focusing on the effect of emojis and the contextual conditions (e.g., texts). Using large-scale brand-related social media posts from Instagram, we find that, overall, the presence of emojis is positively associated with consumer engagement. Economically, the presence of emojis increases the average number of likes by 72% and the average number of comments by 70% in comparison to posts without any emojis. The interaction effects between emojis and texts reveal that emotional emojis have a positive and significant relationship with consumer engagement only when the texts in brand-related UGC are being skewed toward positive sentiments. However, informational emojis are negatively related with consumer engagement in the similar context. Additionally, the investigations regarding the contextual conditions show that using more emotional emojis has a positive influence on consumer engagement in commercial posts but a negative influence in general posts.","author":[{"dropping-particle":"","family":"Ko","given":"Eunhee (Emily)","non-dropping-particle":"","parse-names":false,"suffix":""},{"dropping-particle":"","family":"Kim","given":"Daewook","non-dropping-particle":"","parse-names":false,"suffix":""},{"dropping-particle":"","family":"Kim","given":"Gosu","non-dropping-particle":"","parse-names":false,"suffix":""}],"container-title":"Computers in Human Behavior","id":"ITEM-1","issued":{"date-parts":[["2022","11"]]},"page":"107387","publisher":"Elsevier Ltd","title":"Influence of Emojis on User Engagement in Brand-Related User Generated Content","type":"article-journal","volume":"136"},"suppress-author":1,"uris":["http://www.mendeley.com/documents/?uuid=ff04c2fe-a728-4ad6-85ba-247c8e999b87"]}],"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F3004AA" w14:textId="778F4A5C" w:rsidR="003A2397" w:rsidRPr="004B3FDE" w:rsidRDefault="003A2397" w:rsidP="00071683">
            <w:pPr>
              <w:rPr>
                <w:rFonts w:ascii="Times New Roman" w:eastAsia="Times New Roman" w:hAnsi="Times New Roman" w:cs="Times New Roman"/>
                <w:i/>
                <w:iCs/>
                <w:color w:val="000000" w:themeColor="text1"/>
                <w:sz w:val="16"/>
                <w:szCs w:val="16"/>
                <w:lang w:val="en-US"/>
              </w:rPr>
            </w:pPr>
            <w:r w:rsidRPr="004B3FDE">
              <w:rPr>
                <w:rFonts w:ascii="Times New Roman" w:hAnsi="Times New Roman" w:cs="Times New Roman"/>
                <w:i/>
                <w:iCs/>
                <w:color w:val="000000" w:themeColor="text1"/>
                <w:sz w:val="16"/>
                <w:szCs w:val="16"/>
                <w:lang w:val="en-US"/>
              </w:rPr>
              <w:t>Computers in Human Behavior</w:t>
            </w:r>
          </w:p>
        </w:tc>
        <w:tc>
          <w:tcPr>
            <w:tcW w:w="2268" w:type="dxa"/>
            <w:hideMark/>
          </w:tcPr>
          <w:p w14:paraId="102FBE89" w14:textId="686BCDFA"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Investigate “the impact of incorporating emojis in brand-related UGC on consumer reactions”, especially “the joint effect of emojis with text” (p.1)</w:t>
            </w:r>
            <w:r>
              <w:rPr>
                <w:rFonts w:ascii="Times New Roman" w:hAnsi="Times New Roman" w:cs="Times New Roman"/>
                <w:color w:val="000000" w:themeColor="text1"/>
                <w:sz w:val="16"/>
                <w:szCs w:val="16"/>
                <w:lang w:val="en-US"/>
              </w:rPr>
              <w:t>.</w:t>
            </w:r>
          </w:p>
        </w:tc>
        <w:tc>
          <w:tcPr>
            <w:tcW w:w="2693" w:type="dxa"/>
            <w:hideMark/>
          </w:tcPr>
          <w:p w14:paraId="12AD39E8" w14:textId="0AC9EA7B"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“The presence of emojis is positively associated with consumer engagement. Economically, the presence of emojis increases the average number of likes by 72% and the average number of comments by 70% in comparison to posts without any emojis. The interaction effects between emojis and texts reveal that emotional emojis have a positive and significant relationship with consumer engagement only when the texts in brand-related UGC are being skewed toward positive sentiments. However, informational emojis are negatively related with consumer engagement in the similar context. Additionally, the investigations regarding the contextual conditions show that using more emotional emojis has a positive influence on consumer engagement in commercial posts but a negative influence in general posts” (p. 1)</w:t>
            </w:r>
            <w:r>
              <w:rPr>
                <w:rFonts w:ascii="Times New Roman" w:hAnsi="Times New Roman" w:cs="Times New Roman"/>
                <w:color w:val="000000" w:themeColor="text1"/>
                <w:sz w:val="16"/>
                <w:szCs w:val="16"/>
                <w:lang w:val="en-US"/>
              </w:rPr>
              <w:t>.</w:t>
            </w:r>
          </w:p>
        </w:tc>
        <w:tc>
          <w:tcPr>
            <w:tcW w:w="1276" w:type="dxa"/>
            <w:hideMark/>
          </w:tcPr>
          <w:p w14:paraId="1B14C10E" w14:textId="77777777"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86 brands</w:t>
            </w:r>
          </w:p>
        </w:tc>
        <w:tc>
          <w:tcPr>
            <w:tcW w:w="1276" w:type="dxa"/>
          </w:tcPr>
          <w:p w14:paraId="0772AEEA" w14:textId="77777777" w:rsidR="003A2397" w:rsidRPr="002E6D00" w:rsidRDefault="003A2397" w:rsidP="3E09F101">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sz w:val="16"/>
                <w:szCs w:val="16"/>
                <w:lang w:val="en-US"/>
              </w:rPr>
              <w:t>Automated content analysis</w:t>
            </w:r>
          </w:p>
          <w:p w14:paraId="27C67B20" w14:textId="7E7FA99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p>
        </w:tc>
        <w:tc>
          <w:tcPr>
            <w:tcW w:w="995" w:type="dxa"/>
            <w:hideMark/>
          </w:tcPr>
          <w:p w14:paraId="04580380" w14:textId="2BF3170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Instagram posts  </w:t>
            </w:r>
          </w:p>
        </w:tc>
      </w:tr>
      <w:tr w:rsidR="004B3FDE" w:rsidRPr="002E6D00" w14:paraId="5FC5E54C" w14:textId="77777777" w:rsidTr="45483B6E">
        <w:trPr>
          <w:trHeight w:val="1134"/>
          <w:jc w:val="center"/>
        </w:trPr>
        <w:tc>
          <w:tcPr>
            <w:tcW w:w="1129" w:type="dxa"/>
            <w:noWrap/>
            <w:hideMark/>
          </w:tcPr>
          <w:p w14:paraId="53C8C61C" w14:textId="2B4CA538" w:rsidR="003A2397" w:rsidRPr="002E6D00" w:rsidRDefault="003A2397" w:rsidP="00071683">
            <w:pPr>
              <w:rPr>
                <w:rFonts w:ascii="Times New Roman" w:eastAsia="Times New Roman" w:hAnsi="Times New Roman" w:cs="Times New Roman"/>
                <w:kern w:val="0"/>
                <w:sz w:val="16"/>
                <w:szCs w:val="16"/>
                <w:lang w:val="en-US"/>
                <w14:ligatures w14:val="none"/>
              </w:rPr>
            </w:pPr>
            <w:r>
              <w:rPr>
                <w:rFonts w:ascii="Times New Roman" w:eastAsia="Times New Roman" w:hAnsi="Times New Roman" w:cs="Times New Roman"/>
                <w:kern w:val="0"/>
                <w:sz w:val="16"/>
                <w:szCs w:val="16"/>
                <w:lang w:val="en-US"/>
                <w14:ligatures w14:val="none"/>
              </w:rPr>
              <w:t>Bularca, M.C., Nechita, F., Sargu, L., Motoi, G., Otovescu, A., &amp; Coman, C.</w:t>
            </w:r>
          </w:p>
        </w:tc>
        <w:tc>
          <w:tcPr>
            <w:tcW w:w="1418" w:type="dxa"/>
            <w:hideMark/>
          </w:tcPr>
          <w:p w14:paraId="5864FCDB" w14:textId="3F70382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Looking for the Sustainability Messages of European Universities’ Social Media Communication During the Covid‐19 Pandemic</w:t>
            </w:r>
          </w:p>
        </w:tc>
        <w:tc>
          <w:tcPr>
            <w:tcW w:w="585" w:type="dxa"/>
            <w:noWrap/>
            <w:hideMark/>
          </w:tcPr>
          <w:p w14:paraId="354551D9" w14:textId="6BEC9E2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{"citationItems":[{"id":"ITEM-1","itemData":{"DOI":"10.3390/su14031554","ISSN":"20711050","abstract":"Organizations in general, and higher education institutions in particular, had to face many challenges during the pandemic in order to carry out their usual activities. Since communications and interactions between universities and students were required to take place online, the messages sent by universities on their social media platforms held greater importance. In this regard, the purpose of the paper was to identify the promotion strategies used by European universities on Face-book and Instagram in the context of the COVID‐19 pandemic. Thus, we were interested in identifying differences and similarities in the types of messages European universities sent on the two social networks, regarding the way they communicated about sustainability. The method used in order to conduct the research was content analysis, while having as an instrument a content analysis grid. We analyzed the activity of 20 European universities included in the World University Rankings 2021. The results of the research revealed that universities communicated more on Facebook than on Instagram, that the most frequent messages regarding sustainability were the ones about the actions carried out by universities in order to protect the environment, and that they registered a higher engagement rate on Instagram than on Facebook.","author":[{"dropping-particle":"","family":"Bularca","given":"Maria Cristina","non-dropping-particle":"","parse-names":false,"suffix":""},{"dropping-particle":"","family":"Nechita","given":"Florin","non-dropping-particle":"","parse-names":false,"suffix":""},{"dropping-particle":"","family":"Sargu","given":"Lilia","non-dropping-particle":"","parse-names":false,"suffix":""},{"dropping-particle":"","family":"Motoi","given":"Gabriela","non-dropping-particle":"","parse-names":false,"suffix":""},{"dropping-particle":"","family":"Otovescu","given":"Adrian","non-dropping-particle":"","parse-names":false,"suffix":""},{"dropping-particle":"","family":"Coman","given":"Claudiu","non-dropping-particle":"","parse-names":false,"suffix":""}],"container-title":"Sustainability (Switzerland)","id":"ITEM-1","issue":"3","issued":{"date-parts":[["2022"]]},"page":"1554","title":"Looking for the Sustainability Messages of European Universities’ Social Media Communication During the COVID‐19 Pandemic","type":"article-journal","volume":"14"},"suppress-author":1,"uris":["http://www.mendeley.com/documents/?uuid=7212dd8d-639d-485c-988d-dea9b19f82bb"]}],"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F61C813" w14:textId="064A10E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Sustainability (Switzerland)</w:t>
            </w:r>
          </w:p>
        </w:tc>
        <w:tc>
          <w:tcPr>
            <w:tcW w:w="2268" w:type="dxa"/>
            <w:hideMark/>
          </w:tcPr>
          <w:p w14:paraId="25455D5E" w14:textId="74F1C22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“Identify promotion strategies used by European universities on Facebook and Instagram in the context of the COVID-19 pandemic”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711B982B" w14:textId="39FAAE5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"Universities communicated more on Facebook than on Instagram, that the most frequent messages regarding sustainability were the ones about the actions carried out by universities in order to protect the environment, and that they registered a higher engagement rate on Instagram than on Facebook”</w:t>
            </w:r>
            <w:r>
              <w:rPr>
                <w:rFonts w:ascii="Times New Roman" w:eastAsia="Times New Roman" w:hAnsi="Times New Roman" w:cs="Times New Roman"/>
                <w:color w:val="000000" w:themeColor="text1"/>
                <w:kern w:val="0"/>
                <w:sz w:val="16"/>
                <w:szCs w:val="16"/>
                <w:lang w:val="en-US"/>
                <w14:ligatures w14:val="none"/>
              </w:rPr>
              <w:t xml:space="preserve"> (p. 1).</w:t>
            </w:r>
          </w:p>
        </w:tc>
        <w:tc>
          <w:tcPr>
            <w:tcW w:w="1276" w:type="dxa"/>
            <w:hideMark/>
          </w:tcPr>
          <w:p w14:paraId="3C981355" w14:textId="79C61261"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20 European universities; </w:t>
            </w:r>
            <w:r w:rsidRPr="002E6D00">
              <w:rPr>
                <w:rFonts w:ascii="Times New Roman" w:eastAsia="Times New Roman" w:hAnsi="Times New Roman" w:cs="Times New Roman"/>
                <w:color w:val="000000" w:themeColor="text1"/>
                <w:sz w:val="16"/>
                <w:szCs w:val="16"/>
                <w:lang w:val="en-US"/>
              </w:rPr>
              <w:t>700 Facebook posts, 305 Instagram posts</w:t>
            </w:r>
          </w:p>
          <w:p w14:paraId="65756868" w14:textId="0CBDD7E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p>
        </w:tc>
        <w:tc>
          <w:tcPr>
            <w:tcW w:w="1276" w:type="dxa"/>
          </w:tcPr>
          <w:p w14:paraId="501D1358" w14:textId="3B2A5AF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Manual content analysis</w:t>
            </w:r>
          </w:p>
        </w:tc>
        <w:tc>
          <w:tcPr>
            <w:tcW w:w="995" w:type="dxa"/>
            <w:hideMark/>
          </w:tcPr>
          <w:p w14:paraId="09DF8A36" w14:textId="2D2719F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Facebook &amp; Instagram posts</w:t>
            </w:r>
          </w:p>
        </w:tc>
      </w:tr>
      <w:tr w:rsidR="004B3FDE" w:rsidRPr="002E6D00" w14:paraId="2B31AF99" w14:textId="77777777" w:rsidTr="00F711FA">
        <w:trPr>
          <w:trHeight w:val="551"/>
          <w:jc w:val="center"/>
        </w:trPr>
        <w:tc>
          <w:tcPr>
            <w:tcW w:w="1129" w:type="dxa"/>
            <w:noWrap/>
            <w:hideMark/>
          </w:tcPr>
          <w:p w14:paraId="45FA90D7" w14:textId="43AE12A8" w:rsidR="003A2397" w:rsidRPr="002E6D00" w:rsidRDefault="003A2397" w:rsidP="00071683">
            <w:pPr>
              <w:spacing w:line="278" w:lineRule="auto"/>
              <w:rPr>
                <w:rFonts w:ascii="Times New Roman" w:eastAsia="Times New Roman" w:hAnsi="Times New Roman" w:cs="Times New Roman"/>
                <w:sz w:val="16"/>
                <w:szCs w:val="16"/>
              </w:rPr>
            </w:pPr>
            <w:r w:rsidRPr="002E6D00">
              <w:rPr>
                <w:rFonts w:ascii="Times New Roman" w:eastAsia="Times New Roman" w:hAnsi="Times New Roman" w:cs="Times New Roman"/>
                <w:sz w:val="16"/>
                <w:szCs w:val="16"/>
              </w:rPr>
              <w:t>Chaparro-Peláez,</w:t>
            </w:r>
            <w:r>
              <w:rPr>
                <w:rFonts w:ascii="Times New Roman" w:eastAsia="Times New Roman" w:hAnsi="Times New Roman" w:cs="Times New Roman"/>
                <w:sz w:val="16"/>
                <w:szCs w:val="16"/>
              </w:rPr>
              <w:t xml:space="preserve"> J.,</w:t>
            </w:r>
            <w:r w:rsidRPr="002E6D00">
              <w:rPr>
                <w:rFonts w:ascii="Times New Roman" w:eastAsia="Times New Roman" w:hAnsi="Times New Roman" w:cs="Times New Roman"/>
                <w:sz w:val="16"/>
                <w:szCs w:val="16"/>
              </w:rPr>
              <w:t xml:space="preserve"> Hernández-García</w:t>
            </w:r>
            <w:r>
              <w:rPr>
                <w:rFonts w:ascii="Times New Roman" w:eastAsia="Times New Roman" w:hAnsi="Times New Roman" w:cs="Times New Roman"/>
                <w:sz w:val="16"/>
                <w:szCs w:val="16"/>
              </w:rPr>
              <w:t>, Á.,</w:t>
            </w:r>
            <w:r w:rsidRPr="002E6D00">
              <w:rPr>
                <w:rFonts w:ascii="Times New Roman" w:eastAsia="Times New Roman" w:hAnsi="Times New Roman" w:cs="Times New Roman"/>
                <w:sz w:val="16"/>
                <w:szCs w:val="16"/>
              </w:rPr>
              <w:t xml:space="preserve"> &amp; Lorente-Páramo</w:t>
            </w:r>
            <w:r>
              <w:rPr>
                <w:rFonts w:ascii="Times New Roman" w:eastAsia="Times New Roman" w:hAnsi="Times New Roman" w:cs="Times New Roman"/>
                <w:sz w:val="16"/>
                <w:szCs w:val="16"/>
              </w:rPr>
              <w:t>, Á.-J.</w:t>
            </w:r>
          </w:p>
        </w:tc>
        <w:tc>
          <w:tcPr>
            <w:tcW w:w="1418" w:type="dxa"/>
            <w:hideMark/>
          </w:tcPr>
          <w:p w14:paraId="38936817" w14:textId="16BC531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May I Have Your Attention, Please? An Investigation on Opening Effectiveness in E-Mail Marketing</w:t>
            </w:r>
          </w:p>
        </w:tc>
        <w:tc>
          <w:tcPr>
            <w:tcW w:w="585" w:type="dxa"/>
            <w:noWrap/>
            <w:hideMark/>
          </w:tcPr>
          <w:p w14:paraId="0A0D07FC" w14:textId="57655E67"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{"citationItems":[{"id":"ITEM-1","itemData":{"DOI":"10.1007/s11846-022-00517-9","ISBN":"0123456789","ISSN":"18636691","abstract":"Academic research has yet to provide a comprehensive view on how to capture individuals’ attention when a promotional e-mail reaches their inbox. This study investigates the variables that influence consumers’ attention toward promotional e-mails, operationalized as open rates, and proposes an integrative model that combines and integrates visible, temporal, and contextual elements. The empirical analysis uses ordinary least squares linear regression to validate the model with data obtained from a multinational sample. The dataset, which is global in nature, comprises 5765 different promotional e-mails sent between 2013 and 2018 by different multinational companies to 455 million users located in 73 countries. The analysis provides information about the relative importance of the variables that influence individuals’ decisions to open a promotional e-mail and shows that the frequency of mailing and the use of segmentation techniques significantly affect the individual’s attention to e-mail marketing communications. The results also show a non-transparent opportunity cost associated with every e-mail sent and give advice on how to control that virtual cost. The research provides further recommendations to marketing professionals to improve the effectiveness of e-mail marketing campaigns.","author":[{"dropping-particle":"","family":"Chaparro-Peláez","given":"Julián","non-dropping-particle":"","parse-names":false,"suffix":""},{"dropping-particle":"","family":"Hernández-García","given":"Ángel","non-dropping-particle":"","parse-names":false,"suffix":""},{"dropping-particle":"","family":"Lorente-Páramo","given":"Ángel José","non-dropping-particle":"","parse-names":false,"suffix":""}],"container-title":"Review of Managerial Science","id":"ITEM-1","issue":"7","issued":{"date-parts":[["2022"]]},"page":"2261-2284","publisher":"Springer Berlin Heidelberg","title":"May I Have Your Attention, Please? An Investigation on Opening Effectiveness in E-Mail Marketing","type":"article-journal","volume":"16"},"suppress-author":1,"uris":["http://www.mendeley.com/documents/?uuid=fcb7fe39-2c80-48c0-ac08-0b35f9b14702"]}],"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0F808EB" w14:textId="04E27FA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Review of Managerial Science</w:t>
            </w:r>
          </w:p>
        </w:tc>
        <w:tc>
          <w:tcPr>
            <w:tcW w:w="2268" w:type="dxa"/>
            <w:hideMark/>
          </w:tcPr>
          <w:p w14:paraId="367AE5F4" w14:textId="0048467F"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Investigate “variables that influence consumers’ attention toward promotional e-mails, operationalized as open rates, and proposes an integrative model that combines and </w:t>
            </w:r>
            <w:r w:rsidRPr="002E6D00">
              <w:rPr>
                <w:rFonts w:ascii="Times New Roman" w:hAnsi="Times New Roman" w:cs="Times New Roman"/>
                <w:color w:val="000000" w:themeColor="text1"/>
                <w:sz w:val="16"/>
                <w:szCs w:val="16"/>
                <w:lang w:val="en-US"/>
              </w:rPr>
              <w:t>integrates</w:t>
            </w:r>
            <w:r w:rsidRPr="002E6D00">
              <w:rPr>
                <w:rFonts w:ascii="Times New Roman" w:eastAsia="Times New Roman" w:hAnsi="Times New Roman" w:cs="Times New Roman"/>
                <w:color w:val="000000" w:themeColor="text1"/>
                <w:kern w:val="0"/>
                <w:sz w:val="16"/>
                <w:szCs w:val="16"/>
                <w:lang w:val="en-US"/>
                <w14:ligatures w14:val="none"/>
              </w:rPr>
              <w:t xml:space="preserve"> visible, temporal, and contextual elements” (p. 2261)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23D49F87" w14:textId="152C40AF"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“The frequency of mailing and the use of segmentation techniques significantly affect the individual’s attention to e-mail marketing communications. The results also show a non-transparent opportunity cost associated with every e-mail sent and give advice on how to control that virtual cost”</w:t>
            </w:r>
            <w:r>
              <w:rPr>
                <w:rFonts w:ascii="Times New Roman" w:hAnsi="Times New Roman" w:cs="Times New Roman"/>
                <w:color w:val="000000" w:themeColor="text1"/>
                <w:sz w:val="16"/>
                <w:szCs w:val="16"/>
                <w:lang w:val="en-US"/>
              </w:rPr>
              <w:t xml:space="preserve"> (p. 2261).</w:t>
            </w:r>
          </w:p>
        </w:tc>
        <w:tc>
          <w:tcPr>
            <w:tcW w:w="1276" w:type="dxa"/>
            <w:hideMark/>
          </w:tcPr>
          <w:p w14:paraId="192BC58C" w14:textId="5DBA40D4"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73 countries; 5,765 promotional emails</w:t>
            </w:r>
          </w:p>
        </w:tc>
        <w:tc>
          <w:tcPr>
            <w:tcW w:w="1276" w:type="dxa"/>
          </w:tcPr>
          <w:p w14:paraId="5A686600" w14:textId="4DCA5C8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Regression analysis</w:t>
            </w:r>
          </w:p>
        </w:tc>
        <w:tc>
          <w:tcPr>
            <w:tcW w:w="995" w:type="dxa"/>
            <w:hideMark/>
          </w:tcPr>
          <w:p w14:paraId="598A56D3" w14:textId="297075E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Emails (promotional)</w:t>
            </w:r>
          </w:p>
        </w:tc>
      </w:tr>
      <w:tr w:rsidR="004B3FDE" w:rsidRPr="002E6D00" w14:paraId="4A0F201D" w14:textId="77777777" w:rsidTr="45483B6E">
        <w:trPr>
          <w:trHeight w:val="1134"/>
          <w:jc w:val="center"/>
        </w:trPr>
        <w:tc>
          <w:tcPr>
            <w:tcW w:w="1129" w:type="dxa"/>
            <w:noWrap/>
            <w:hideMark/>
          </w:tcPr>
          <w:p w14:paraId="2C2A5D58" w14:textId="3B8A989B" w:rsidR="003A2397" w:rsidRPr="002E6D00" w:rsidRDefault="003A2397" w:rsidP="00071683">
            <w:pPr>
              <w:spacing w:line="278" w:lineRule="auto"/>
              <w:rPr>
                <w:rFonts w:ascii="Times New Roman" w:eastAsia="Times New Roman" w:hAnsi="Times New Roman" w:cs="Times New Roman"/>
                <w:sz w:val="16"/>
                <w:szCs w:val="16"/>
                <w:lang w:val="en-US"/>
              </w:rPr>
            </w:pPr>
            <w:r>
              <w:rPr>
                <w:rFonts w:ascii="Times New Roman" w:eastAsia="Times New Roman" w:hAnsi="Times New Roman" w:cs="Times New Roman"/>
                <w:sz w:val="16"/>
                <w:szCs w:val="16"/>
                <w:lang w:val="en-US"/>
              </w:rPr>
              <w:t>Platania, F., Hernandez, C.T., &amp; Arreola, F.</w:t>
            </w:r>
          </w:p>
        </w:tc>
        <w:tc>
          <w:tcPr>
            <w:tcW w:w="1418" w:type="dxa"/>
            <w:hideMark/>
          </w:tcPr>
          <w:p w14:paraId="704BCDDC" w14:textId="1294A9C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Social Media Communication During Natural Disasters </w:t>
            </w:r>
            <w:r>
              <w:rPr>
                <w:rFonts w:ascii="Times New Roman" w:eastAsia="Times New Roman" w:hAnsi="Times New Roman" w:cs="Times New Roman"/>
                <w:color w:val="000000" w:themeColor="text1"/>
                <w:kern w:val="0"/>
                <w:sz w:val="16"/>
                <w:szCs w:val="16"/>
                <w:lang w:val="en-US"/>
                <w14:ligatures w14:val="none"/>
              </w:rPr>
              <w:t>a</w:t>
            </w:r>
            <w:r w:rsidRPr="002E6D00">
              <w:rPr>
                <w:rFonts w:ascii="Times New Roman" w:eastAsia="Times New Roman" w:hAnsi="Times New Roman" w:cs="Times New Roman"/>
                <w:color w:val="000000" w:themeColor="text1"/>
                <w:kern w:val="0"/>
                <w:sz w:val="16"/>
                <w:szCs w:val="16"/>
                <w:lang w:val="en-US"/>
                <w14:ligatures w14:val="none"/>
              </w:rPr>
              <w:t xml:space="preserve">nd </w:t>
            </w:r>
            <w:r>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 xml:space="preserve">he Impact </w:t>
            </w:r>
            <w:r>
              <w:rPr>
                <w:rFonts w:ascii="Times New Roman" w:eastAsia="Times New Roman" w:hAnsi="Times New Roman" w:cs="Times New Roman"/>
                <w:color w:val="000000" w:themeColor="text1"/>
                <w:kern w:val="0"/>
                <w:sz w:val="16"/>
                <w:szCs w:val="16"/>
                <w:lang w:val="en-US"/>
                <w14:ligatures w14:val="none"/>
              </w:rPr>
              <w:t>o</w:t>
            </w:r>
            <w:r w:rsidRPr="002E6D00">
              <w:rPr>
                <w:rFonts w:ascii="Times New Roman" w:eastAsia="Times New Roman" w:hAnsi="Times New Roman" w:cs="Times New Roman"/>
                <w:color w:val="000000" w:themeColor="text1"/>
                <w:kern w:val="0"/>
                <w:sz w:val="16"/>
                <w:szCs w:val="16"/>
                <w:lang w:val="en-US"/>
                <w14:ligatures w14:val="none"/>
              </w:rPr>
              <w:t xml:space="preserve">n </w:t>
            </w:r>
            <w:r>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he Agricultural Market</w:t>
            </w:r>
          </w:p>
        </w:tc>
        <w:tc>
          <w:tcPr>
            <w:tcW w:w="585" w:type="dxa"/>
            <w:noWrap/>
            <w:hideMark/>
          </w:tcPr>
          <w:p w14:paraId="27256969" w14:textId="1C71BFF8"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{"citationItems":[{"id":"ITEM-1","itemData":{"DOI":"10.1016/j.techfore.2022.121594","ISSN":"00401625","abstract":"When a natural disaster occurs, it is crucial to establish appropriate channels of communication between government agencies and the public, not only in the interest of efficient emergency responses and relief operations but also to inform the population and contain people's concerns. In this paper, we study how the social media activity of government agencies involved in disaster management affects the agricultural market during natural disasters and extreme weather conditions. Our results suggest that social media activity, in particular that of the Federal Emergency Management Agency (FEMA), triggers market-related and public concerns about potential shortages and financial losses, which may push up the price of agricultural commodities. We show that higher levels of public concern about global warming and economic policy uncertainty intensify the market reaction, boosting the social media impact.","author":[{"dropping-particle":"","family":"Platania","given":"Federico","non-dropping-particle":"","parse-names":false,"suffix":""},{"dropping-particle":"","family":"Hernandez","given":"Celina Toscano","non-dropping-particle":"","parse-names":false,"suffix":""},{"dropping-particle":"","family":"Arreola","given":"Fernanda","non-dropping-particle":"","parse-names":false,"suffix":""}],"container-title":"Technological Forecasting and Social Change","id":"ITEM-1","issued":{"date-parts":[["2022","6"]]},"page":"121594","publisher":"Elsevier Inc.","title":"Social Media Communication during Natural Disasters and the Impact on the Agricultural Market","type":"article-journal","volume":"179"},"suppress-author":1,"uris":["http://www.mendeley.com/documents/?uuid=a13f8ec3-dfb5-414e-9541-8038623ac726"]}],"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149979E" w14:textId="18C82E7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Technological Forecasting and Social Change</w:t>
            </w:r>
          </w:p>
        </w:tc>
        <w:tc>
          <w:tcPr>
            <w:tcW w:w="2268" w:type="dxa"/>
            <w:hideMark/>
          </w:tcPr>
          <w:p w14:paraId="5F4A6442" w14:textId="52AC867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“How the social media</w:t>
            </w:r>
            <w:r w:rsidRPr="002E6D00">
              <w:rPr>
                <w:rFonts w:ascii="Times New Roman" w:eastAsia="Times New Roman" w:hAnsi="Times New Roman" w:cs="Times New Roman"/>
                <w:color w:val="000000" w:themeColor="text1"/>
                <w:kern w:val="0"/>
                <w:sz w:val="16"/>
                <w:szCs w:val="16"/>
                <w:lang w:val="en-US"/>
                <w14:ligatures w14:val="none"/>
              </w:rPr>
              <w:br/>
              <w:t>activity of government agencies involved in disaster management affects the agricultural market during natural</w:t>
            </w:r>
            <w:r w:rsidRPr="002E6D00">
              <w:rPr>
                <w:rFonts w:ascii="Times New Roman" w:eastAsia="Times New Roman" w:hAnsi="Times New Roman" w:cs="Times New Roman"/>
                <w:color w:val="000000" w:themeColor="text1"/>
                <w:kern w:val="0"/>
                <w:sz w:val="16"/>
                <w:szCs w:val="16"/>
                <w:lang w:val="en-US"/>
                <w14:ligatures w14:val="none"/>
              </w:rPr>
              <w:br/>
              <w:t>disasters and extreme weather conditions”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43F52C57" w14:textId="7FC6C8A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Pr>
                <w:rFonts w:ascii="Times New Roman" w:eastAsia="Times New Roman" w:hAnsi="Times New Roman" w:cs="Times New Roman"/>
                <w:color w:val="000000" w:themeColor="text1"/>
                <w:kern w:val="0"/>
                <w:sz w:val="16"/>
                <w:szCs w:val="16"/>
                <w:lang w:val="en-US"/>
                <w14:ligatures w14:val="none"/>
              </w:rPr>
              <w:t>“[S]</w:t>
            </w:r>
            <w:r w:rsidRPr="002E6D00">
              <w:rPr>
                <w:rFonts w:ascii="Times New Roman" w:eastAsia="Times New Roman" w:hAnsi="Times New Roman" w:cs="Times New Roman"/>
                <w:color w:val="000000" w:themeColor="text1"/>
                <w:kern w:val="0"/>
                <w:sz w:val="16"/>
                <w:szCs w:val="16"/>
                <w:lang w:val="en-US"/>
                <w14:ligatures w14:val="none"/>
              </w:rPr>
              <w:t>ocial media activity, in particular that of the</w:t>
            </w:r>
            <w:r>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Federal Emergency Management Agency (FEMA), triggers market-related and public concerns about potential</w:t>
            </w:r>
            <w:r>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shortages and financial losses, which may push up the price of agricultural</w:t>
            </w:r>
            <w:r>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commodities.</w:t>
            </w:r>
            <w:r>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We show that higher</w:t>
            </w:r>
            <w:r>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levels of public concern about global warming and economic policy uncertainty intensify the market reaction,</w:t>
            </w:r>
            <w:r>
              <w:rPr>
                <w:rFonts w:ascii="Times New Roman" w:eastAsia="Times New Roman" w:hAnsi="Times New Roman" w:cs="Times New Roman"/>
                <w:color w:val="000000" w:themeColor="text1"/>
                <w:kern w:val="0"/>
                <w:sz w:val="16"/>
                <w:szCs w:val="16"/>
                <w:lang w:val="en-US"/>
                <w14:ligatures w14:val="none"/>
              </w:rPr>
              <w:t xml:space="preserve"> </w:t>
            </w:r>
            <w:r w:rsidRPr="002E6D00">
              <w:rPr>
                <w:rFonts w:ascii="Times New Roman" w:eastAsia="Times New Roman" w:hAnsi="Times New Roman" w:cs="Times New Roman"/>
                <w:color w:val="000000" w:themeColor="text1"/>
                <w:kern w:val="0"/>
                <w:sz w:val="16"/>
                <w:szCs w:val="16"/>
                <w:lang w:val="en-US"/>
                <w14:ligatures w14:val="none"/>
              </w:rPr>
              <w:t>boosting the social media impact</w:t>
            </w:r>
            <w:r>
              <w:rPr>
                <w:rFonts w:ascii="Times New Roman" w:eastAsia="Times New Roman" w:hAnsi="Times New Roman" w:cs="Times New Roman"/>
                <w:color w:val="000000" w:themeColor="text1"/>
                <w:kern w:val="0"/>
                <w:sz w:val="16"/>
                <w:szCs w:val="16"/>
                <w:lang w:val="en-US"/>
                <w14:ligatures w14:val="none"/>
              </w:rPr>
              <w:t>” (p. 1).</w:t>
            </w:r>
          </w:p>
        </w:tc>
        <w:tc>
          <w:tcPr>
            <w:tcW w:w="1276" w:type="dxa"/>
            <w:hideMark/>
          </w:tcPr>
          <w:p w14:paraId="7CB44443" w14:textId="2BFADF5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Pr>
                <w:rFonts w:ascii="Times New Roman" w:eastAsia="Times New Roman" w:hAnsi="Times New Roman" w:cs="Times New Roman"/>
                <w:color w:val="000000" w:themeColor="text1"/>
                <w:kern w:val="0"/>
                <w:sz w:val="16"/>
                <w:szCs w:val="16"/>
                <w:lang w:val="en-US"/>
                <w14:ligatures w14:val="none"/>
              </w:rPr>
              <w:t>Tweets from three</w:t>
            </w:r>
            <w:r w:rsidRPr="002E6D00">
              <w:rPr>
                <w:rFonts w:ascii="Times New Roman" w:eastAsia="Times New Roman" w:hAnsi="Times New Roman" w:cs="Times New Roman"/>
                <w:color w:val="000000" w:themeColor="text1"/>
                <w:kern w:val="0"/>
                <w:sz w:val="16"/>
                <w:szCs w:val="16"/>
                <w:lang w:val="en-US"/>
                <w14:ligatures w14:val="none"/>
              </w:rPr>
              <w:t xml:space="preserve"> governments</w:t>
            </w:r>
          </w:p>
        </w:tc>
        <w:tc>
          <w:tcPr>
            <w:tcW w:w="1276" w:type="dxa"/>
          </w:tcPr>
          <w:p w14:paraId="2D99EAF3" w14:textId="63E38FB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Regression analysis</w:t>
            </w:r>
          </w:p>
        </w:tc>
        <w:tc>
          <w:tcPr>
            <w:tcW w:w="995" w:type="dxa"/>
            <w:hideMark/>
          </w:tcPr>
          <w:p w14:paraId="0ACF341E" w14:textId="3D136F1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Tweets </w:t>
            </w:r>
          </w:p>
        </w:tc>
      </w:tr>
      <w:tr w:rsidR="004B3FDE" w:rsidRPr="002E6D00" w14:paraId="164AF58C" w14:textId="77777777" w:rsidTr="45483B6E">
        <w:trPr>
          <w:trHeight w:val="1134"/>
          <w:jc w:val="center"/>
        </w:trPr>
        <w:tc>
          <w:tcPr>
            <w:tcW w:w="1129" w:type="dxa"/>
            <w:noWrap/>
            <w:hideMark/>
          </w:tcPr>
          <w:p w14:paraId="414FE1BC" w14:textId="2E68CE73"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Garner</w:t>
            </w:r>
            <w:r>
              <w:rPr>
                <w:rFonts w:ascii="Times New Roman" w:eastAsia="Times New Roman" w:hAnsi="Times New Roman" w:cs="Times New Roman"/>
                <w:kern w:val="0"/>
                <w:sz w:val="16"/>
                <w:szCs w:val="16"/>
                <w:lang w:val="en-US"/>
                <w14:ligatures w14:val="none"/>
              </w:rPr>
              <w:t>, B.</w:t>
            </w:r>
          </w:p>
        </w:tc>
        <w:tc>
          <w:tcPr>
            <w:tcW w:w="1418" w:type="dxa"/>
            <w:hideMark/>
          </w:tcPr>
          <w:p w14:paraId="3093C409" w14:textId="168B891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Using Digital Communications </w:t>
            </w:r>
            <w:r>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 xml:space="preserve">o Manage </w:t>
            </w:r>
            <w:r>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he Farmers’ Market Brand Image</w:t>
            </w:r>
          </w:p>
        </w:tc>
        <w:tc>
          <w:tcPr>
            <w:tcW w:w="585" w:type="dxa"/>
            <w:noWrap/>
            <w:hideMark/>
          </w:tcPr>
          <w:p w14:paraId="2FD465D6" w14:textId="21C2D82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{"citationItems":[{"id":"ITEM-1","itemData":{"DOI":"10.1108/JRME-05-2020-0051","ISSN":"1471-5201","abstract":"Purpose: The purpose of this paper is to explore the way one farmers’ market organization used an e-newsletter to establish and maintain their brand image as a socially responsible local food outlet. This research analyzed managerial communication efforts to promote farmers’ market products through email marketing. This analysis also revealed the positive and negative brand images that the e-newsletter communicates and how those align or fail to align with public opinion about of farmers’ markets. Design/methodology/approach: The author spent 2.5 years participating in the farmers’ market organization that comprises the focus of this study, and this included conducting multiple studies using interview, survey and ethnographic methods. The data set for the present study includes two years’ worth of marketing messages from the e-newsletter campaign, which included 31 e-newsletters. Thematic analysis (Terry et al., 2017) was used to discover the dominant messages and values present. Analysis extended to textual messages, images, timing, design and overall newsletter content. Findings: The results show that the digital communications at the Lawrence Farmers’ Market (LFM) promoted messages of getting to know your local farmer, eating fresh and healthy food and supporting local products. Additionally, the market frequently attempted to make the market accessible by communicating operating days and times. Finally, the newsletter message analysis also revealed that the LFM brand could be characterized as lacking consistency, having poor organization, and using poor design principles. Originality/value: This research extends the knowledge of how farmers’ market organizations engage in brand image management. While there are scores of studies on consumer preferences, we have very few that analyze the ways farmers' market organizations spread key brand ideas to consumers. Additionally, this research offers other implications for nonprofits, looking to improve their brand image with limited resources.","author":[{"dropping-particle":"","family":"Garner","given":"Benjamin","non-dropping-particle":"","parse-names":false,"suffix":""}],"container-title":"Journal of Research in Marketing and Entrepreneurship","id":"ITEM-1","issue":"2","issued":{"date-parts":[["2022","1","6"]]},"page":"420-439","title":"Using Digital Communications to Manage the Farmers’ Market Brand Image","type":"article-journal","volume":"24"},"suppress-author":1,"uris":["http://www.mendeley.com/documents/?uuid=c5c6cae1-378e-4a90-a16a-d99f1c67fb4f"]}],"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253910C" w14:textId="0A3DF08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Research in Marketing and Entrepreneurship</w:t>
            </w:r>
          </w:p>
        </w:tc>
        <w:tc>
          <w:tcPr>
            <w:tcW w:w="2268" w:type="dxa"/>
            <w:hideMark/>
          </w:tcPr>
          <w:p w14:paraId="5AF025B7" w14:textId="0EC7BC8B"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sz w:val="16"/>
                <w:szCs w:val="16"/>
                <w:lang w:val="en-US"/>
              </w:rPr>
              <w:t>“Explore the way one farmers’ market organization used an e- newsletter to establish and maintain their brand image as a socially responsible local food outlet” (p. 420)</w:t>
            </w:r>
            <w:r>
              <w:rPr>
                <w:rFonts w:ascii="Times New Roman" w:eastAsia="Times New Roman" w:hAnsi="Times New Roman" w:cs="Times New Roman"/>
                <w:sz w:val="16"/>
                <w:szCs w:val="16"/>
                <w:lang w:val="en-US"/>
              </w:rPr>
              <w:t>.</w:t>
            </w:r>
          </w:p>
        </w:tc>
        <w:tc>
          <w:tcPr>
            <w:tcW w:w="2693" w:type="dxa"/>
            <w:hideMark/>
          </w:tcPr>
          <w:p w14:paraId="49E3CBB4" w14:textId="1F98E6C8" w:rsidR="003A2397" w:rsidRPr="002E6D00" w:rsidRDefault="003A2397" w:rsidP="00071683">
            <w:pPr>
              <w:spacing w:line="278" w:lineRule="auto"/>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sz w:val="16"/>
                <w:szCs w:val="16"/>
                <w:lang w:val="en-US"/>
              </w:rPr>
              <w:t>"D</w:t>
            </w:r>
            <w:r w:rsidRPr="002E6D00">
              <w:rPr>
                <w:rFonts w:ascii="Times New Roman" w:eastAsia="Times New Roman" w:hAnsi="Times New Roman" w:cs="Times New Roman"/>
                <w:color w:val="000000" w:themeColor="text1"/>
                <w:kern w:val="0"/>
                <w:sz w:val="16"/>
                <w:szCs w:val="16"/>
                <w:lang w:val="en-US"/>
                <w14:ligatures w14:val="none"/>
              </w:rPr>
              <w:t>igital communications at the Lawrence Farmers’ Market (LFM) promoted messages of getting to know your local farmer, eating fresh and healthy food and supporting local products. Additionally, the market frequently attempted to make the market accessible by communicating operating days and times. Finally, the newsletter message analysis also revealed that the LFM brand could be characterized as lacking consistency, having poor organization, and using poor design principles” (p. 420)</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066800D1" w14:textId="0FDA292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 farmer’s market organization; 31 e-newsletters</w:t>
            </w:r>
          </w:p>
        </w:tc>
        <w:tc>
          <w:tcPr>
            <w:tcW w:w="1276" w:type="dxa"/>
          </w:tcPr>
          <w:p w14:paraId="063EEE94" w14:textId="1CF0904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Manual content analysis (thematic analysis)</w:t>
            </w:r>
          </w:p>
        </w:tc>
        <w:tc>
          <w:tcPr>
            <w:tcW w:w="995" w:type="dxa"/>
            <w:hideMark/>
          </w:tcPr>
          <w:p w14:paraId="4B1240C0" w14:textId="5323249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E-newsletters</w:t>
            </w:r>
          </w:p>
        </w:tc>
      </w:tr>
      <w:tr w:rsidR="004B3FDE" w:rsidRPr="00F711FA" w14:paraId="0ADE1214" w14:textId="77777777" w:rsidTr="45483B6E">
        <w:trPr>
          <w:trHeight w:val="1134"/>
          <w:jc w:val="center"/>
        </w:trPr>
        <w:tc>
          <w:tcPr>
            <w:tcW w:w="1129" w:type="dxa"/>
            <w:noWrap/>
            <w:hideMark/>
          </w:tcPr>
          <w:p w14:paraId="54BAAFA2" w14:textId="57CEA596" w:rsidR="003A2397" w:rsidRPr="002E6D00" w:rsidRDefault="003A2397" w:rsidP="00071683">
            <w:pPr>
              <w:rPr>
                <w:rFonts w:ascii="Times New Roman" w:eastAsia="Times New Roman" w:hAnsi="Times New Roman" w:cs="Times New Roman"/>
                <w:kern w:val="0"/>
                <w:sz w:val="16"/>
                <w:szCs w:val="16"/>
                <w:lang w:val="es-ES"/>
                <w14:ligatures w14:val="none"/>
              </w:rPr>
            </w:pPr>
            <w:r w:rsidRPr="002E6D00">
              <w:rPr>
                <w:rFonts w:ascii="Times New Roman" w:eastAsia="Times New Roman" w:hAnsi="Times New Roman" w:cs="Times New Roman"/>
                <w:kern w:val="0"/>
                <w:sz w:val="16"/>
                <w:szCs w:val="16"/>
                <w:lang w:val="es-ES"/>
                <w14:ligatures w14:val="none"/>
              </w:rPr>
              <w:t xml:space="preserve">Fernandez-Lores, </w:t>
            </w:r>
            <w:r>
              <w:rPr>
                <w:rFonts w:ascii="Times New Roman" w:eastAsia="Times New Roman" w:hAnsi="Times New Roman" w:cs="Times New Roman"/>
                <w:kern w:val="0"/>
                <w:sz w:val="16"/>
                <w:szCs w:val="16"/>
                <w:lang w:val="es-ES"/>
                <w14:ligatures w14:val="none"/>
              </w:rPr>
              <w:t xml:space="preserve">S., </w:t>
            </w:r>
            <w:r w:rsidRPr="002E6D00">
              <w:rPr>
                <w:rFonts w:ascii="Times New Roman" w:eastAsia="Times New Roman" w:hAnsi="Times New Roman" w:cs="Times New Roman"/>
                <w:kern w:val="0"/>
                <w:sz w:val="16"/>
                <w:szCs w:val="16"/>
                <w:lang w:val="es-ES"/>
                <w14:ligatures w14:val="none"/>
              </w:rPr>
              <w:t xml:space="preserve">Crespo-Tejero, </w:t>
            </w:r>
            <w:r>
              <w:rPr>
                <w:rFonts w:ascii="Times New Roman" w:eastAsia="Times New Roman" w:hAnsi="Times New Roman" w:cs="Times New Roman"/>
                <w:kern w:val="0"/>
                <w:sz w:val="16"/>
                <w:szCs w:val="16"/>
                <w:lang w:val="es-ES"/>
                <w14:ligatures w14:val="none"/>
              </w:rPr>
              <w:t xml:space="preserve">N., </w:t>
            </w:r>
            <w:r w:rsidRPr="002E6D00">
              <w:rPr>
                <w:rFonts w:ascii="Times New Roman" w:eastAsia="Times New Roman" w:hAnsi="Times New Roman" w:cs="Times New Roman"/>
                <w:kern w:val="0"/>
                <w:sz w:val="16"/>
                <w:szCs w:val="16"/>
                <w:lang w:val="es-ES"/>
                <w14:ligatures w14:val="none"/>
              </w:rPr>
              <w:t>&amp; Fernández-Hernández</w:t>
            </w:r>
            <w:r>
              <w:rPr>
                <w:rFonts w:ascii="Times New Roman" w:eastAsia="Times New Roman" w:hAnsi="Times New Roman" w:cs="Times New Roman"/>
                <w:kern w:val="0"/>
                <w:sz w:val="16"/>
                <w:szCs w:val="16"/>
                <w:lang w:val="es-ES"/>
                <w14:ligatures w14:val="none"/>
              </w:rPr>
              <w:t>, R.</w:t>
            </w:r>
          </w:p>
        </w:tc>
        <w:tc>
          <w:tcPr>
            <w:tcW w:w="1418" w:type="dxa"/>
            <w:hideMark/>
          </w:tcPr>
          <w:p w14:paraId="18F0C766" w14:textId="524ECB3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Driving Traffic </w:t>
            </w:r>
            <w:r>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 xml:space="preserve">o The Museum: The Role </w:t>
            </w:r>
            <w:r>
              <w:rPr>
                <w:rFonts w:ascii="Times New Roman" w:eastAsia="Times New Roman" w:hAnsi="Times New Roman" w:cs="Times New Roman"/>
                <w:color w:val="000000" w:themeColor="text1"/>
                <w:kern w:val="0"/>
                <w:sz w:val="16"/>
                <w:szCs w:val="16"/>
                <w:lang w:val="en-US"/>
                <w14:ligatures w14:val="none"/>
              </w:rPr>
              <w:t>o</w:t>
            </w:r>
            <w:r w:rsidRPr="002E6D00">
              <w:rPr>
                <w:rFonts w:ascii="Times New Roman" w:eastAsia="Times New Roman" w:hAnsi="Times New Roman" w:cs="Times New Roman"/>
                <w:color w:val="000000" w:themeColor="text1"/>
                <w:kern w:val="0"/>
                <w:sz w:val="16"/>
                <w:szCs w:val="16"/>
                <w:lang w:val="en-US"/>
                <w14:ligatures w14:val="none"/>
              </w:rPr>
              <w:t xml:space="preserve">f </w:t>
            </w:r>
            <w:r>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he Digital Communication Tools</w:t>
            </w:r>
          </w:p>
        </w:tc>
        <w:tc>
          <w:tcPr>
            <w:tcW w:w="585" w:type="dxa"/>
            <w:noWrap/>
            <w:hideMark/>
          </w:tcPr>
          <w:p w14:paraId="681E5CF5" w14:textId="450DDA0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Pr="004B3FDE">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{"citationItems":[{"id":"ITEM-1","itemData":{"DOI":"10.1016/j.techfore.2021.121273","ISSN":"00401625","abstract":"The emergence of new technologies is revolutionizing the way organizations communicate and interact with consumers, and the tourism industry, including museums, is no exception. Thus, the use of digital communication tools has become widespread, significantly expanding the horizons of communication. Previous studies show that museums use different digital communication tools to enhance the user experience and generate visitor traffic to the museum. However, they focus on a single digital communication tool, such as a website or social networks. This research aims to analyze the combined impact of websites, social networks and virtual communities as traffic generators to museums. Using a qualitative comparative analysis technique (fsQCA), a sample of 17 international museums was analyzed. The results show that social networks and virtual communities together play a significant role in visitor footfalls in museums. This research contributes academically to the knowledge and explanation of the effects of digital communication tools. Finally, both theoretical and managerial implications are considered.","author":[{"dropping-particle":"","family":"Fernandez-Lores","given":"Susana","non-dropping-particle":"","parse-names":false,"suffix":""},{"dropping-particle":"","family":"Crespo-Tejero","given":"Natividad","non-dropping-particle":"","parse-names":false,"suffix":""},{"dropping-particle":"","family":"Fernández-Hernández","given":"Ruth","non-dropping-particle":"","parse-names":false,"suffix":""}],"container-title":"Technological Forecasting and Social Change","id":"ITEM-1","issued":{"date-parts":[["2022"]]},"title":"Driving traffic to the museum: The role of the digital communication tools","type":"article-journal","volume":"174"},"suppress-author":1,"uris":["http://www.mendeley.com/documents/?uuid=ab71d949-3fdc-43ad-b1b1-a72a45736cd0"]}],"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FE11917" w14:textId="361264F4"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Technological Forecasting and Social Change</w:t>
            </w:r>
          </w:p>
        </w:tc>
        <w:tc>
          <w:tcPr>
            <w:tcW w:w="2268" w:type="dxa"/>
            <w:hideMark/>
          </w:tcPr>
          <w:p w14:paraId="298C6B63" w14:textId="55FBB98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“Analyze the combined impact of websites, social networks and virtual communities as traffic generators to museums”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0B007B53" w14:textId="3509E47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networks and virtual communities together play a significant role in visitor footfalls in museums” (p. 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74E1370A" w14:textId="0BD08EB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Pr>
                <w:rFonts w:ascii="Times New Roman" w:eastAsia="Times New Roman" w:hAnsi="Times New Roman" w:cs="Times New Roman"/>
                <w:color w:val="000000" w:themeColor="text1"/>
                <w:kern w:val="0"/>
                <w:sz w:val="16"/>
                <w:szCs w:val="16"/>
                <w:lang w:val="en-US"/>
                <w14:ligatures w14:val="none"/>
              </w:rPr>
              <w:t xml:space="preserve">Web pages from </w:t>
            </w:r>
            <w:r w:rsidRPr="002E6D00">
              <w:rPr>
                <w:rFonts w:ascii="Times New Roman" w:eastAsia="Times New Roman" w:hAnsi="Times New Roman" w:cs="Times New Roman"/>
                <w:color w:val="000000" w:themeColor="text1"/>
                <w:kern w:val="0"/>
                <w:sz w:val="16"/>
                <w:szCs w:val="16"/>
                <w:lang w:val="en-US"/>
                <w14:ligatures w14:val="none"/>
              </w:rPr>
              <w:t>17 museums</w:t>
            </w:r>
          </w:p>
        </w:tc>
        <w:tc>
          <w:tcPr>
            <w:tcW w:w="1276" w:type="dxa"/>
          </w:tcPr>
          <w:p w14:paraId="573B9879" w14:textId="7DCD9C1A" w:rsidR="003A2397" w:rsidRPr="002D253D" w:rsidRDefault="003A2397" w:rsidP="00071683">
            <w:pPr>
              <w:rPr>
                <w:rFonts w:ascii="Times New Roman" w:hAnsi="Times New Roman" w:cs="Times New Roman"/>
                <w:sz w:val="16"/>
                <w:szCs w:val="16"/>
                <w:lang w:val="en-US"/>
              </w:rPr>
            </w:pPr>
            <w:r w:rsidRPr="002E6D00">
              <w:rPr>
                <w:rFonts w:ascii="Times New Roman" w:eastAsia="Times New Roman" w:hAnsi="Times New Roman" w:cs="Times New Roman"/>
                <w:sz w:val="16"/>
                <w:szCs w:val="16"/>
                <w:lang w:val="en-US"/>
              </w:rPr>
              <w:t>Fuzzy-set qualitative comparative analysis (FsQCA)</w:t>
            </w:r>
          </w:p>
        </w:tc>
        <w:tc>
          <w:tcPr>
            <w:tcW w:w="995" w:type="dxa"/>
            <w:hideMark/>
          </w:tcPr>
          <w:p w14:paraId="4BE77E1E" w14:textId="099293C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Website visits, page visits, reviews Tripadvisor, Likes Facebook, Followers Twitter</w:t>
            </w:r>
          </w:p>
        </w:tc>
      </w:tr>
      <w:tr w:rsidR="004B3FDE" w:rsidRPr="002E6D00" w14:paraId="7642B18F" w14:textId="77777777" w:rsidTr="00F711FA">
        <w:trPr>
          <w:trHeight w:val="410"/>
          <w:jc w:val="center"/>
        </w:trPr>
        <w:tc>
          <w:tcPr>
            <w:tcW w:w="1129" w:type="dxa"/>
            <w:noWrap/>
            <w:hideMark/>
          </w:tcPr>
          <w:p w14:paraId="04684031" w14:textId="43B1EAE8" w:rsidR="003A2397" w:rsidRPr="008B03CD" w:rsidRDefault="003A2397" w:rsidP="00071683">
            <w:pPr>
              <w:rPr>
                <w:rFonts w:ascii="Times New Roman" w:eastAsia="Times New Roman" w:hAnsi="Times New Roman" w:cs="Times New Roman"/>
                <w:kern w:val="0"/>
                <w:sz w:val="16"/>
                <w:szCs w:val="16"/>
                <w:lang w:val="en-US"/>
                <w14:ligatures w14:val="none"/>
              </w:rPr>
            </w:pPr>
            <w:r w:rsidRPr="008B03CD">
              <w:rPr>
                <w:rFonts w:ascii="Times New Roman" w:eastAsia="Times New Roman" w:hAnsi="Times New Roman" w:cs="Times New Roman"/>
                <w:kern w:val="0"/>
                <w:sz w:val="16"/>
                <w:szCs w:val="16"/>
                <w:lang w:val="en-US"/>
                <w14:ligatures w14:val="none"/>
              </w:rPr>
              <w:t>Fissi, S., Gori, E., &amp; Rom</w:t>
            </w:r>
            <w:r>
              <w:rPr>
                <w:rFonts w:ascii="Times New Roman" w:eastAsia="Times New Roman" w:hAnsi="Times New Roman" w:cs="Times New Roman"/>
                <w:kern w:val="0"/>
                <w:sz w:val="16"/>
                <w:szCs w:val="16"/>
                <w:lang w:val="en-US"/>
                <w14:ligatures w14:val="none"/>
              </w:rPr>
              <w:t>olini, A.</w:t>
            </w:r>
          </w:p>
        </w:tc>
        <w:tc>
          <w:tcPr>
            <w:tcW w:w="1418" w:type="dxa"/>
            <w:hideMark/>
          </w:tcPr>
          <w:p w14:paraId="2E7350BF" w14:textId="2059388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Social Media Government Communication and Stakeholder Engagement in </w:t>
            </w:r>
            <w:r>
              <w:rPr>
                <w:rFonts w:ascii="Times New Roman" w:eastAsia="Times New Roman" w:hAnsi="Times New Roman" w:cs="Times New Roman"/>
                <w:color w:val="000000" w:themeColor="text1"/>
                <w:kern w:val="0"/>
                <w:sz w:val="16"/>
                <w:szCs w:val="16"/>
                <w:lang w:val="en-US"/>
                <w14:ligatures w14:val="none"/>
              </w:rPr>
              <w:t>t</w:t>
            </w:r>
            <w:r w:rsidRPr="002E6D00">
              <w:rPr>
                <w:rFonts w:ascii="Times New Roman" w:eastAsia="Times New Roman" w:hAnsi="Times New Roman" w:cs="Times New Roman"/>
                <w:color w:val="000000" w:themeColor="text1"/>
                <w:kern w:val="0"/>
                <w:sz w:val="16"/>
                <w:szCs w:val="16"/>
                <w:lang w:val="en-US"/>
                <w14:ligatures w14:val="none"/>
              </w:rPr>
              <w:t>he Era of Covid-19: Evidence From Italy</w:t>
            </w:r>
          </w:p>
        </w:tc>
        <w:tc>
          <w:tcPr>
            <w:tcW w:w="585" w:type="dxa"/>
            <w:noWrap/>
            <w:hideMark/>
          </w:tcPr>
          <w:p w14:paraId="18ED8B07" w14:textId="7B0FE0E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{"citationItems":[{"id":"ITEM-1","itemData":{"DOI":"10.1108/IJPSM-06-2021-0145","ISSN":"0951-3558","abstract":"Purpose: Covid-19 is a worldwide pandemic disease that changed the government communication to citizens about the health emergency. This study aims to provide in-depth research about regional Italian government communication through social media (SM) and its effects on citizens' engagement. Design/methodology/approach: The study uses a case analysis, focusing on the Italian context. In detail, the authors analyse the more involved Italian regions in Covid-19 pandemic (Lombardy, Veneto, Piedmont, Emilia Romagna and Tuscany) applying the Crisis and Emergency Risk Communication (CERC) model. Findings: The results reveal that SM is a powerful tool for communication during a health emergency and for facilitating the engagement with stakeholders. However, results also highlight a different perception about the timing of the Covid-19 crisis. Practical implications: Findings suggest a gap between the answer of the public government compared to the citizens' needs that are clear since the first earlier stage of the pandemic event. The engagement level is very high since the first phase of the pandemic event; however, to be adequately developed, it requires specific and timing information that are not always in line with the citizens’ communication needs. Originality/value: This is the first research that aims to study the citizens' engagement in the Italian regions during the Covid-19 pandemic.","author":[{"dropping-particle":"","family":"Fissi","given":"Silvia","non-dropping-particle":"","parse-names":false,"suffix":""},{"dropping-particle":"","family":"Gori","given":"Elena","non-dropping-particle":"","parse-names":false,"suffix":""},{"dropping-particle":"","family":"Romolini","given":"Alberto","non-dropping-particle":"","parse-names":false,"suffix":""}],"container-title":"International Journal of Public Sector Management","id":"ITEM-1","issue":"3","issued":{"date-parts":[["2022","3","30"]]},"page":"276-293","title":"Social Media Government Communication and Stakeholder Engagement in the Era of Covid-19: Evidence from Italy","type":"article-journal","volume":"35"},"suppress-author":1,"uris":["http://www.mendeley.com/documents/?uuid=e9df9524-ae53-44e2-9057-e9925fa29c00"]}],"mendeley":{"formattedCitation":"(2022)","manualFormatting":"2022","plainTextFormattedCitation":"(2022)","previouslyFormattedCitation":"(2022)"},"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2022</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6BFB44A3" w14:textId="69277C1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International Journal of Public Sector Management</w:t>
            </w:r>
          </w:p>
        </w:tc>
        <w:tc>
          <w:tcPr>
            <w:tcW w:w="2268" w:type="dxa"/>
            <w:hideMark/>
          </w:tcPr>
          <w:p w14:paraId="21850ACA" w14:textId="5954B241" w:rsidR="003A2397" w:rsidRPr="008B03CD" w:rsidRDefault="003A2397" w:rsidP="00071683">
            <w:pPr>
              <w:rPr>
                <w:rFonts w:ascii="Times New Roman" w:hAnsi="Times New Roman" w:cs="Times New Roman"/>
                <w:sz w:val="16"/>
                <w:szCs w:val="16"/>
                <w:lang w:val="en-US"/>
              </w:rPr>
            </w:pPr>
            <w:r w:rsidRPr="002E6D00">
              <w:rPr>
                <w:rFonts w:ascii="Times New Roman" w:eastAsia="Times New Roman" w:hAnsi="Times New Roman" w:cs="Times New Roman"/>
                <w:sz w:val="16"/>
                <w:szCs w:val="16"/>
                <w:lang w:val="en-US"/>
              </w:rPr>
              <w:t>“Provide in-depth research about regional Italian government communication through social media (SM) and its effects on citizens’ engagement” (p. 271)</w:t>
            </w:r>
            <w:r>
              <w:rPr>
                <w:rFonts w:ascii="Times New Roman" w:eastAsia="Times New Roman" w:hAnsi="Times New Roman" w:cs="Times New Roman"/>
                <w:sz w:val="16"/>
                <w:szCs w:val="16"/>
                <w:lang w:val="en-US"/>
              </w:rPr>
              <w:t>.</w:t>
            </w:r>
          </w:p>
        </w:tc>
        <w:tc>
          <w:tcPr>
            <w:tcW w:w="2693" w:type="dxa"/>
            <w:hideMark/>
          </w:tcPr>
          <w:p w14:paraId="07FBBEAE" w14:textId="21473F5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“SM is a powerful tool for communication during a health emergency and for facilitating the engagement with stakeholders. However, results also highlight a different perception about the timing of the Covid-19 crisis” (p. 271)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19534759" w14:textId="5B9DFDF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5 regions in Italy; 2,220 Facebook posts</w:t>
            </w:r>
          </w:p>
        </w:tc>
        <w:tc>
          <w:tcPr>
            <w:tcW w:w="1276" w:type="dxa"/>
          </w:tcPr>
          <w:p w14:paraId="46D16C7C" w14:textId="1ABD7CD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Manual content analysis</w:t>
            </w:r>
          </w:p>
        </w:tc>
        <w:tc>
          <w:tcPr>
            <w:tcW w:w="995" w:type="dxa"/>
            <w:hideMark/>
          </w:tcPr>
          <w:p w14:paraId="537CCFF4" w14:textId="3F554F5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Facebook posts </w:t>
            </w:r>
          </w:p>
        </w:tc>
      </w:tr>
      <w:tr w:rsidR="004B3FDE" w:rsidRPr="002E6D00" w14:paraId="4749DBDC" w14:textId="77777777" w:rsidTr="45483B6E">
        <w:trPr>
          <w:trHeight w:val="1134"/>
          <w:jc w:val="center"/>
        </w:trPr>
        <w:tc>
          <w:tcPr>
            <w:tcW w:w="1129" w:type="dxa"/>
            <w:noWrap/>
            <w:hideMark/>
          </w:tcPr>
          <w:p w14:paraId="77A2A6B1" w14:textId="23D64A62"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 xml:space="preserve">Yue, </w:t>
            </w:r>
            <w:r>
              <w:rPr>
                <w:rFonts w:ascii="Times New Roman" w:eastAsia="Times New Roman" w:hAnsi="Times New Roman" w:cs="Times New Roman"/>
                <w:kern w:val="0"/>
                <w:sz w:val="16"/>
                <w:szCs w:val="16"/>
                <w:lang w:val="en-US"/>
                <w14:ligatures w14:val="none"/>
              </w:rPr>
              <w:t xml:space="preserve">C.A., </w:t>
            </w:r>
            <w:r w:rsidRPr="002E6D00">
              <w:rPr>
                <w:rFonts w:ascii="Times New Roman" w:eastAsia="Times New Roman" w:hAnsi="Times New Roman" w:cs="Times New Roman"/>
                <w:kern w:val="0"/>
                <w:sz w:val="16"/>
                <w:szCs w:val="16"/>
                <w:lang w:val="en-US"/>
                <w14:ligatures w14:val="none"/>
              </w:rPr>
              <w:t xml:space="preserve">Men, </w:t>
            </w:r>
            <w:r>
              <w:rPr>
                <w:rFonts w:ascii="Times New Roman" w:eastAsia="Times New Roman" w:hAnsi="Times New Roman" w:cs="Times New Roman"/>
                <w:kern w:val="0"/>
                <w:sz w:val="16"/>
                <w:szCs w:val="16"/>
                <w:lang w:val="en-US"/>
                <w14:ligatures w14:val="none"/>
              </w:rPr>
              <w:t>L.R.,</w:t>
            </w:r>
            <w:r w:rsidRPr="002E6D00">
              <w:rPr>
                <w:rFonts w:ascii="Times New Roman" w:eastAsia="Times New Roman" w:hAnsi="Times New Roman" w:cs="Times New Roman"/>
                <w:kern w:val="0"/>
                <w:sz w:val="16"/>
                <w:szCs w:val="16"/>
                <w:lang w:val="en-US"/>
                <w14:ligatures w14:val="none"/>
              </w:rPr>
              <w:t xml:space="preserve"> &amp; Hart</w:t>
            </w:r>
            <w:r>
              <w:rPr>
                <w:rFonts w:ascii="Times New Roman" w:eastAsia="Times New Roman" w:hAnsi="Times New Roman" w:cs="Times New Roman"/>
                <w:kern w:val="0"/>
                <w:sz w:val="16"/>
                <w:szCs w:val="16"/>
                <w:lang w:val="en-US"/>
                <w14:ligatures w14:val="none"/>
              </w:rPr>
              <w:t>, E.B.</w:t>
            </w:r>
          </w:p>
        </w:tc>
        <w:tc>
          <w:tcPr>
            <w:tcW w:w="1418" w:type="dxa"/>
            <w:hideMark/>
          </w:tcPr>
          <w:p w14:paraId="35E1DC4C" w14:textId="3CD4189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“Chief Engagement Officers?” A Comparative Study Between U.S. Corporate and Nonprofit Executive Leaders’ Social Media Communication Strategies</w:t>
            </w:r>
          </w:p>
        </w:tc>
        <w:tc>
          <w:tcPr>
            <w:tcW w:w="585" w:type="dxa"/>
            <w:noWrap/>
            <w:hideMark/>
          </w:tcPr>
          <w:p w14:paraId="34CD1D29" w14:textId="7864AF05"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{"citationItems":[{"id":"ITEM-1","itemData":{"DOI":"10.1002/nml.21551","ISSN":"1048-6682","abstract":"Organizational leaders are increasingly expected to be visible and communicative on social media with organizations' public. Drawing theory and literature from dialogic communication and leadership communication, this study analyzed and compared how corporate and nonprofit executive leaders capitalized on various dialogic principles and social presence strategies for engagement purposes. We content‐analyzed Twitter posts from leaders in corporate and nonprofit sectors. Findings revealed notable differences in how corporate and nonprofit executives communicated with publics on Twitter. While leaders from both sectors posted information valuable to their stakeholders and used affective strategies to project a personable image and nurture relationships, nonprofit leaders focused on social influence, whereas corporate executives emphasized information dissemination. This study also showed mixed findings regarding the relationships between leaders' communication strategies and publics' social media engagement.","author":[{"dropping-particle":"","family":"Yue","given":"Cen April","non-dropping-particle":"","parse-names":false,"suffix":""},{"dropping-particle":"","family":"Men","given":"Linjuan Rita","non-dropping-particle":"","parse-names":false,"suffix":""},{"dropping-particle":"","family":"Hart","given":"Erin Birx","non-dropping-particle":"","parse-names":false,"suffix":""}],"container-title":"Nonprofit Management and Leadership","id":"ITEM-1","issue":"4","issued":{"date-parts":[["2023","6","20"]]},"page":"879-892","title":"“Chief Engagement Officers?” A Comparative Study Between U.S. Corporate and Nonprofit Executive Leaders' Social Media Communication Strategies","type":"article-journal","volume":"33"},"suppress-author":1,"uris":["http://www.mendeley.com/documents/?uuid=fd50b9d4-4c40-4c9a-8953-9b98fc58485f"]}],"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3BE487A9" w14:textId="3290BBBF"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Nonprofit Management &amp; Leadership</w:t>
            </w:r>
          </w:p>
        </w:tc>
        <w:tc>
          <w:tcPr>
            <w:tcW w:w="2268" w:type="dxa"/>
            <w:hideMark/>
          </w:tcPr>
          <w:p w14:paraId="4D40DF48" w14:textId="77A14F2A" w:rsidR="003A2397" w:rsidRPr="00BA7372" w:rsidRDefault="003A2397" w:rsidP="00071683">
            <w:pPr>
              <w:rPr>
                <w:rFonts w:ascii="Times New Roman" w:eastAsia="Times New Roman" w:hAnsi="Times New Roman" w:cs="Times New Roman"/>
                <w:color w:val="000000" w:themeColor="text1"/>
                <w:sz w:val="16"/>
                <w:szCs w:val="16"/>
                <w:lang w:val="en-US"/>
              </w:rPr>
            </w:pPr>
            <w:r>
              <w:rPr>
                <w:rFonts w:ascii="Times New Roman" w:hAnsi="Times New Roman" w:cs="Times New Roman"/>
                <w:color w:val="000000" w:themeColor="text1"/>
                <w:sz w:val="16"/>
                <w:szCs w:val="16"/>
                <w:lang w:val="en-US"/>
              </w:rPr>
              <w:t>“</w:t>
            </w:r>
            <w:r w:rsidRPr="002E6D00">
              <w:rPr>
                <w:rFonts w:ascii="Times New Roman" w:hAnsi="Times New Roman" w:cs="Times New Roman"/>
                <w:color w:val="000000" w:themeColor="text1"/>
                <w:sz w:val="16"/>
                <w:szCs w:val="16"/>
                <w:lang w:val="en-US"/>
              </w:rPr>
              <w:t>Analyze</w:t>
            </w:r>
            <w:r>
              <w:rPr>
                <w:rFonts w:ascii="Times New Roman" w:hAnsi="Times New Roman" w:cs="Times New Roman"/>
                <w:color w:val="000000" w:themeColor="text1"/>
                <w:sz w:val="16"/>
                <w:szCs w:val="16"/>
                <w:lang w:val="en-US"/>
              </w:rPr>
              <w:t xml:space="preserve"> </w:t>
            </w:r>
            <w:r w:rsidRPr="002E6D00">
              <w:rPr>
                <w:rFonts w:ascii="Times New Roman" w:hAnsi="Times New Roman" w:cs="Times New Roman"/>
                <w:color w:val="000000" w:themeColor="text1"/>
                <w:sz w:val="16"/>
                <w:szCs w:val="16"/>
                <w:lang w:val="en-US"/>
              </w:rPr>
              <w:t>[</w:t>
            </w:r>
            <w:r>
              <w:rPr>
                <w:rFonts w:ascii="Times New Roman" w:hAnsi="Times New Roman" w:cs="Times New Roman"/>
                <w:color w:val="000000" w:themeColor="text1"/>
                <w:sz w:val="16"/>
                <w:szCs w:val="16"/>
                <w:lang w:val="en-US"/>
              </w:rPr>
              <w:t>…</w:t>
            </w:r>
            <w:r w:rsidRPr="002E6D00">
              <w:rPr>
                <w:rFonts w:ascii="Times New Roman" w:hAnsi="Times New Roman" w:cs="Times New Roman"/>
                <w:color w:val="000000" w:themeColor="text1"/>
                <w:sz w:val="16"/>
                <w:szCs w:val="16"/>
                <w:lang w:val="en-US"/>
              </w:rPr>
              <w:t>] and compare</w:t>
            </w:r>
            <w:r>
              <w:rPr>
                <w:rFonts w:ascii="Times New Roman" w:hAnsi="Times New Roman" w:cs="Times New Roman"/>
                <w:color w:val="000000" w:themeColor="text1"/>
                <w:sz w:val="16"/>
                <w:szCs w:val="16"/>
                <w:lang w:val="en-US"/>
              </w:rPr>
              <w:t xml:space="preserve"> </w:t>
            </w:r>
            <w:r w:rsidRPr="002E6D00">
              <w:rPr>
                <w:rFonts w:ascii="Times New Roman" w:hAnsi="Times New Roman" w:cs="Times New Roman"/>
                <w:color w:val="000000" w:themeColor="text1"/>
                <w:sz w:val="16"/>
                <w:szCs w:val="16"/>
                <w:lang w:val="en-US"/>
              </w:rPr>
              <w:t>[</w:t>
            </w:r>
            <w:r>
              <w:rPr>
                <w:rFonts w:ascii="Times New Roman" w:hAnsi="Times New Roman" w:cs="Times New Roman"/>
                <w:color w:val="000000" w:themeColor="text1"/>
                <w:sz w:val="16"/>
                <w:szCs w:val="16"/>
                <w:lang w:val="en-US"/>
              </w:rPr>
              <w:t>…</w:t>
            </w:r>
            <w:r w:rsidRPr="002E6D00">
              <w:rPr>
                <w:rFonts w:ascii="Times New Roman" w:hAnsi="Times New Roman" w:cs="Times New Roman"/>
                <w:color w:val="000000" w:themeColor="text1"/>
                <w:sz w:val="16"/>
                <w:szCs w:val="16"/>
                <w:lang w:val="en-US"/>
              </w:rPr>
              <w:t>] how corporate and nonprofit executive leaders capitalized on various dialogic principles and social presence strategies for engagement purposes” (p. 879)</w:t>
            </w:r>
            <w:r>
              <w:rPr>
                <w:rFonts w:ascii="Times New Roman" w:hAnsi="Times New Roman" w:cs="Times New Roman"/>
                <w:color w:val="000000" w:themeColor="text1"/>
                <w:sz w:val="16"/>
                <w:szCs w:val="16"/>
                <w:lang w:val="en-US"/>
              </w:rPr>
              <w:t>.</w:t>
            </w:r>
          </w:p>
          <w:p w14:paraId="50FBD195" w14:textId="656128A4" w:rsidR="003A2397" w:rsidRPr="00BA7372" w:rsidRDefault="003A2397" w:rsidP="00071683">
            <w:pPr>
              <w:rPr>
                <w:rFonts w:ascii="Times New Roman" w:hAnsi="Times New Roman" w:cs="Times New Roman"/>
                <w:sz w:val="16"/>
                <w:szCs w:val="16"/>
                <w:lang w:val="en-US"/>
              </w:rPr>
            </w:pPr>
          </w:p>
          <w:p w14:paraId="49352919" w14:textId="3342A43A" w:rsidR="003A2397" w:rsidRPr="002E6D00" w:rsidRDefault="003A2397" w:rsidP="00071683">
            <w:pPr>
              <w:rPr>
                <w:rFonts w:ascii="Times New Roman" w:eastAsia="Times New Roman" w:hAnsi="Times New Roman" w:cs="Times New Roman"/>
                <w:kern w:val="0"/>
                <w:sz w:val="16"/>
                <w:szCs w:val="16"/>
                <w:lang w:val="en-US"/>
                <w14:ligatures w14:val="none"/>
              </w:rPr>
            </w:pPr>
          </w:p>
        </w:tc>
        <w:tc>
          <w:tcPr>
            <w:tcW w:w="2693" w:type="dxa"/>
            <w:hideMark/>
          </w:tcPr>
          <w:p w14:paraId="17768198" w14:textId="0B03C474" w:rsidR="003A2397" w:rsidRPr="002E6D00" w:rsidRDefault="003A2397" w:rsidP="00071683">
            <w:pPr>
              <w:spacing w:line="278" w:lineRule="auto"/>
              <w:rPr>
                <w:rFonts w:ascii="Times New Roman" w:eastAsia="Times New Roman" w:hAnsi="Times New Roman" w:cs="Times New Roman"/>
                <w:color w:val="000000" w:themeColor="text1"/>
                <w:sz w:val="16"/>
                <w:szCs w:val="16"/>
                <w:lang w:val="en-US"/>
              </w:rPr>
            </w:pPr>
            <w:r>
              <w:rPr>
                <w:rFonts w:ascii="Times New Roman" w:eastAsia="Times New Roman" w:hAnsi="Times New Roman" w:cs="Times New Roman"/>
                <w:color w:val="000000" w:themeColor="text1"/>
                <w:sz w:val="16"/>
                <w:szCs w:val="16"/>
                <w:lang w:val="en-US"/>
              </w:rPr>
              <w:t>“</w:t>
            </w:r>
            <w:r w:rsidRPr="002E6D00">
              <w:rPr>
                <w:rFonts w:ascii="Times New Roman" w:eastAsia="Times New Roman" w:hAnsi="Times New Roman" w:cs="Times New Roman"/>
                <w:color w:val="000000" w:themeColor="text1"/>
                <w:sz w:val="16"/>
                <w:szCs w:val="16"/>
                <w:lang w:val="en-US"/>
              </w:rPr>
              <w:t>N</w:t>
            </w:r>
            <w:r w:rsidRPr="002E6D00">
              <w:rPr>
                <w:rFonts w:ascii="Times New Roman" w:eastAsia="Times New Roman" w:hAnsi="Times New Roman" w:cs="Times New Roman"/>
                <w:color w:val="000000" w:themeColor="text1"/>
                <w:kern w:val="0"/>
                <w:sz w:val="16"/>
                <w:szCs w:val="16"/>
                <w:lang w:val="en-US"/>
                <w14:ligatures w14:val="none"/>
              </w:rPr>
              <w:t>otable differences in how corporate and nonprofit executives communicated with publics on Twitter. While leaders from both sectors posted information valuable to their stakeholders and used affective strategies to project a personable image and nurture relationships, nonprofit leaders focused on social influence, whereas corporate executives emphasized information dissemination. This study also showed mixed findings regarding the relationships between leaders’ communication strategies and publics' social media engagement” (p. 879)</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2E51F199" w14:textId="465550E2"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36 leaders; </w:t>
            </w:r>
            <w:r w:rsidRPr="002E6D00">
              <w:rPr>
                <w:rFonts w:ascii="Times New Roman" w:eastAsia="Times New Roman" w:hAnsi="Times New Roman" w:cs="Times New Roman"/>
                <w:color w:val="000000" w:themeColor="text1"/>
                <w:sz w:val="16"/>
                <w:szCs w:val="16"/>
                <w:lang w:val="en-US"/>
              </w:rPr>
              <w:t>655</w:t>
            </w:r>
          </w:p>
          <w:p w14:paraId="6762EBD0" w14:textId="5AE0301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Tweets (295 corporate leader Tweets, 360 non-profit leader Tweets)</w:t>
            </w:r>
          </w:p>
        </w:tc>
        <w:tc>
          <w:tcPr>
            <w:tcW w:w="1276" w:type="dxa"/>
          </w:tcPr>
          <w:p w14:paraId="7C63C113" w14:textId="3FB52E2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Manual content analysis, regression analysis</w:t>
            </w:r>
          </w:p>
        </w:tc>
        <w:tc>
          <w:tcPr>
            <w:tcW w:w="995" w:type="dxa"/>
            <w:hideMark/>
          </w:tcPr>
          <w:p w14:paraId="7882A6E7" w14:textId="16D4CA5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F711FA" w14:paraId="389ABEC2" w14:textId="77777777" w:rsidTr="45483B6E">
        <w:trPr>
          <w:trHeight w:val="1134"/>
          <w:jc w:val="center"/>
        </w:trPr>
        <w:tc>
          <w:tcPr>
            <w:tcW w:w="1129" w:type="dxa"/>
            <w:noWrap/>
            <w:hideMark/>
          </w:tcPr>
          <w:p w14:paraId="77846F25" w14:textId="5D7BBB7C" w:rsidR="003A2397" w:rsidRPr="002E6D00" w:rsidRDefault="003A2397" w:rsidP="00071683">
            <w:pPr>
              <w:rPr>
                <w:rFonts w:ascii="Times New Roman" w:eastAsia="Times New Roman" w:hAnsi="Times New Roman" w:cs="Times New Roman"/>
                <w:kern w:val="0"/>
                <w:sz w:val="16"/>
                <w:szCs w:val="16"/>
                <w14:ligatures w14:val="none"/>
              </w:rPr>
            </w:pPr>
            <w:r w:rsidRPr="002E6D00">
              <w:rPr>
                <w:rFonts w:ascii="Times New Roman" w:eastAsia="Times New Roman" w:hAnsi="Times New Roman" w:cs="Times New Roman"/>
                <w:kern w:val="0"/>
                <w:sz w:val="16"/>
                <w:szCs w:val="16"/>
                <w14:ligatures w14:val="none"/>
              </w:rPr>
              <w:t>Capriotti,</w:t>
            </w:r>
            <w:r>
              <w:rPr>
                <w:rFonts w:ascii="Times New Roman" w:eastAsia="Times New Roman" w:hAnsi="Times New Roman" w:cs="Times New Roman"/>
                <w:kern w:val="0"/>
                <w:sz w:val="16"/>
                <w:szCs w:val="16"/>
                <w14:ligatures w14:val="none"/>
              </w:rPr>
              <w:t xml:space="preserve"> P., </w:t>
            </w:r>
            <w:r w:rsidRPr="002E6D00">
              <w:rPr>
                <w:rFonts w:ascii="Times New Roman" w:eastAsia="Times New Roman" w:hAnsi="Times New Roman" w:cs="Times New Roman"/>
                <w:kern w:val="0"/>
                <w:sz w:val="16"/>
                <w:szCs w:val="16"/>
                <w14:ligatures w14:val="none"/>
              </w:rPr>
              <w:t>Martínez</w:t>
            </w:r>
            <w:r>
              <w:rPr>
                <w:rFonts w:ascii="Times New Roman" w:eastAsia="Times New Roman" w:hAnsi="Times New Roman" w:cs="Times New Roman"/>
                <w:kern w:val="0"/>
                <w:sz w:val="16"/>
                <w:szCs w:val="16"/>
                <w14:ligatures w14:val="none"/>
              </w:rPr>
              <w:t>-</w:t>
            </w:r>
            <w:r w:rsidRPr="002E6D00">
              <w:rPr>
                <w:rFonts w:ascii="Times New Roman" w:eastAsia="Times New Roman" w:hAnsi="Times New Roman" w:cs="Times New Roman"/>
                <w:kern w:val="0"/>
                <w:sz w:val="16"/>
                <w:szCs w:val="16"/>
                <w14:ligatures w14:val="none"/>
              </w:rPr>
              <w:t>Gras</w:t>
            </w:r>
            <w:r>
              <w:rPr>
                <w:rFonts w:ascii="Times New Roman" w:eastAsia="Times New Roman" w:hAnsi="Times New Roman" w:cs="Times New Roman"/>
                <w:kern w:val="0"/>
                <w:sz w:val="16"/>
                <w:szCs w:val="16"/>
                <w14:ligatures w14:val="none"/>
              </w:rPr>
              <w:t>, R.,</w:t>
            </w:r>
            <w:r w:rsidRPr="002E6D00">
              <w:rPr>
                <w:rFonts w:ascii="Times New Roman" w:eastAsia="Times New Roman" w:hAnsi="Times New Roman" w:cs="Times New Roman"/>
                <w:kern w:val="0"/>
                <w:sz w:val="16"/>
                <w:szCs w:val="16"/>
                <w14:ligatures w14:val="none"/>
              </w:rPr>
              <w:t xml:space="preserve"> &amp; Zeler</w:t>
            </w:r>
            <w:r>
              <w:rPr>
                <w:rFonts w:ascii="Times New Roman" w:eastAsia="Times New Roman" w:hAnsi="Times New Roman" w:cs="Times New Roman"/>
                <w:kern w:val="0"/>
                <w:sz w:val="16"/>
                <w:szCs w:val="16"/>
                <w14:ligatures w14:val="none"/>
              </w:rPr>
              <w:t>, I.</w:t>
            </w:r>
          </w:p>
        </w:tc>
        <w:tc>
          <w:tcPr>
            <w:tcW w:w="1418" w:type="dxa"/>
            <w:hideMark/>
          </w:tcPr>
          <w:p w14:paraId="2EA8D1AF" w14:textId="2BCC972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Does Universities’ Posting Strategy Influence Their Social Media Engagement? An Analysis of the Top-Ranked Higher Education Institutions in Different Countries</w:t>
            </w:r>
          </w:p>
        </w:tc>
        <w:tc>
          <w:tcPr>
            <w:tcW w:w="585" w:type="dxa"/>
            <w:noWrap/>
            <w:hideMark/>
          </w:tcPr>
          <w:p w14:paraId="1D80E824" w14:textId="34DB00E8"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{"citationItems":[{"id":"ITEM-1","itemData":{"DOI":"10.1111/hequ.12439","ISSN":"0951-5224","abstract":"To ensure the widespread dissemination of information and to foster interaction and dialogue with users, higher education institutions need to develop an active profile on the social networks. This paper analyses the influence of universities' posting strategy on their followers' engagement (reaction, virality and conversation) by measuring the level of activity and type of presence on their social networks. A content analysis was conducted to analyse 90,000 posts by 70 universities from Europe, the United States and Latin America on their institutional profiles on Twitter, Facebook and LinkedIn. The universities' posting activity on their social media is moderate (with an overall mean of 7.04 posts per day), but the interaction rate is very low (0.237), far below the recommended levels of engagement. Notably, increased activity by universities on social networks does not lead to greater engagement but points to an inverse relationship between the two. Our findings also indicate that university‐created content (UCC) achieves a higher level of engagement ( = 169.41) than university‐shared content (USC) ( = 126.18). This study explores the effect of universities' posting strategy dimensions on their follower's interaction.","author":[{"dropping-particle":"","family":"Capriotti","given":"Paul","non-dropping-particle":"","parse-names":false,"suffix":""},{"dropping-particle":"","family":"Martínez‐Gras","given":"Rodolfo","non-dropping-particle":"","parse-names":false,"suffix":""},{"dropping-particle":"","family":"Zeler","given":"Ileana","non-dropping-particle":"","parse-names":false,"suffix":""}],"container-title":"Higher Education Quarterly","id":"ITEM-1","issue":"4","issued":{"date-parts":[["2023","10","25"]]},"page":"911-931","title":"Does Universities' Posting Strategy Influence their Social Media Engagement? An Analysis of the Top‐Ranked Higher Education Institutions in Different Countries","type":"article-journal","volume":"77"},"suppress-author":1,"uris":["http://www.mendeley.com/documents/?uuid=5622f93a-f9aa-409c-8927-f7ad5f7bb6f5"]}],"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5565E14" w14:textId="316FC608"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Higher Education Quarterly</w:t>
            </w:r>
          </w:p>
        </w:tc>
        <w:tc>
          <w:tcPr>
            <w:tcW w:w="2268" w:type="dxa"/>
            <w:hideMark/>
          </w:tcPr>
          <w:p w14:paraId="0D641D87" w14:textId="6ED4656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Investigate the “influence of universities’ posting strategy on their followers’ engagement (reaction, virality and conversation)” (p. 911)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54CD8C0C" w14:textId="29C1002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“Universities</w:t>
            </w:r>
            <w:r>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posting activity on their social media is moderate (with an overall mean of 7.04 posts per day), but the inter- action rate is very low (0.237), far below the recommended levels of engagement. Notably, increased activity by universities on social networks does not lead to greater engagement but points to an inverse relationship between the two. Our findings also indicate that university-created content (UCC) achieves a higher level of engagement (x = 169.41) than university-shared content (USC) (x = 126.18)” (p. 911)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68FCEB57" w14:textId="0F2186C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70 universities; </w:t>
            </w:r>
            <w:r w:rsidRPr="002E6D00">
              <w:rPr>
                <w:rFonts w:ascii="Times New Roman" w:eastAsia="Times New Roman" w:hAnsi="Times New Roman" w:cs="Times New Roman"/>
                <w:color w:val="000000" w:themeColor="text1"/>
                <w:sz w:val="16"/>
                <w:szCs w:val="16"/>
                <w:lang w:val="en-US"/>
              </w:rPr>
              <w:t>27,356 Facebook posts, 9439 LinkedIn posts, and 53,446 Twitter posts</w:t>
            </w:r>
          </w:p>
        </w:tc>
        <w:tc>
          <w:tcPr>
            <w:tcW w:w="1276" w:type="dxa"/>
          </w:tcPr>
          <w:p w14:paraId="6E3CFD9C" w14:textId="652C153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Manual content analysis</w:t>
            </w:r>
          </w:p>
        </w:tc>
        <w:tc>
          <w:tcPr>
            <w:tcW w:w="995" w:type="dxa"/>
            <w:hideMark/>
          </w:tcPr>
          <w:p w14:paraId="30794D64" w14:textId="2931956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Tweets, LinkedIn posts, Facebook posts </w:t>
            </w:r>
          </w:p>
        </w:tc>
      </w:tr>
      <w:tr w:rsidR="004B3FDE" w:rsidRPr="002E6D00" w14:paraId="13B8B15B" w14:textId="77777777" w:rsidTr="45483B6E">
        <w:trPr>
          <w:trHeight w:val="1134"/>
          <w:jc w:val="center"/>
        </w:trPr>
        <w:tc>
          <w:tcPr>
            <w:tcW w:w="1129" w:type="dxa"/>
            <w:noWrap/>
            <w:hideMark/>
          </w:tcPr>
          <w:p w14:paraId="2394F29E" w14:textId="62B2CDC5"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Kaiser</w:t>
            </w:r>
            <w:r>
              <w:rPr>
                <w:rFonts w:ascii="Times New Roman" w:eastAsia="Times New Roman" w:hAnsi="Times New Roman" w:cs="Times New Roman"/>
                <w:kern w:val="0"/>
                <w:sz w:val="16"/>
                <w:szCs w:val="16"/>
                <w:lang w:val="en-US"/>
                <w14:ligatures w14:val="none"/>
              </w:rPr>
              <w:t>, M.</w:t>
            </w:r>
            <w:r w:rsidRPr="002E6D00">
              <w:rPr>
                <w:rFonts w:ascii="Times New Roman" w:eastAsia="Times New Roman" w:hAnsi="Times New Roman" w:cs="Times New Roman"/>
                <w:kern w:val="0"/>
                <w:sz w:val="16"/>
                <w:szCs w:val="16"/>
                <w:lang w:val="en-US"/>
                <w14:ligatures w14:val="none"/>
              </w:rPr>
              <w:t xml:space="preserve"> &amp; Kuckertz</w:t>
            </w:r>
            <w:r>
              <w:rPr>
                <w:rFonts w:ascii="Times New Roman" w:eastAsia="Times New Roman" w:hAnsi="Times New Roman" w:cs="Times New Roman"/>
                <w:kern w:val="0"/>
                <w:sz w:val="16"/>
                <w:szCs w:val="16"/>
                <w:lang w:val="en-US"/>
                <w14:ligatures w14:val="none"/>
              </w:rPr>
              <w:t>, A.</w:t>
            </w:r>
          </w:p>
        </w:tc>
        <w:tc>
          <w:tcPr>
            <w:tcW w:w="1418" w:type="dxa"/>
            <w:hideMark/>
          </w:tcPr>
          <w:p w14:paraId="242C5E95" w14:textId="01F5B638" w:rsidR="003A2397" w:rsidRPr="002E6D00" w:rsidRDefault="003A2397" w:rsidP="00071683">
            <w:pPr>
              <w:spacing w:line="278" w:lineRule="auto"/>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Emotional Robustness in Times of Crisis: The Effects </w:t>
            </w:r>
            <w:r w:rsidRPr="002E6D00">
              <w:rPr>
                <w:rFonts w:ascii="Times New Roman" w:eastAsia="Times New Roman" w:hAnsi="Times New Roman" w:cs="Times New Roman"/>
                <w:color w:val="000000" w:themeColor="text1"/>
                <w:sz w:val="16"/>
                <w:szCs w:val="16"/>
                <w:lang w:val="en-US"/>
              </w:rPr>
              <w:t>o</w:t>
            </w:r>
            <w:r w:rsidRPr="002E6D00">
              <w:rPr>
                <w:rFonts w:ascii="Times New Roman" w:eastAsia="Times New Roman" w:hAnsi="Times New Roman" w:cs="Times New Roman"/>
                <w:color w:val="000000" w:themeColor="text1"/>
                <w:kern w:val="0"/>
                <w:sz w:val="16"/>
                <w:szCs w:val="16"/>
                <w:lang w:val="en-US"/>
                <w14:ligatures w14:val="none"/>
              </w:rPr>
              <w:t xml:space="preserve">f Venture Funding </w:t>
            </w:r>
            <w:r w:rsidRPr="002E6D00">
              <w:rPr>
                <w:rFonts w:ascii="Times New Roman" w:eastAsia="Times New Roman" w:hAnsi="Times New Roman" w:cs="Times New Roman"/>
                <w:color w:val="000000" w:themeColor="text1"/>
                <w:sz w:val="16"/>
                <w:szCs w:val="16"/>
                <w:lang w:val="en-US"/>
              </w:rPr>
              <w:t>o</w:t>
            </w:r>
            <w:r w:rsidRPr="002E6D00">
              <w:rPr>
                <w:rFonts w:ascii="Times New Roman" w:eastAsia="Times New Roman" w:hAnsi="Times New Roman" w:cs="Times New Roman"/>
                <w:color w:val="000000" w:themeColor="text1"/>
                <w:kern w:val="0"/>
                <w:sz w:val="16"/>
                <w:szCs w:val="16"/>
                <w:lang w:val="en-US"/>
                <w14:ligatures w14:val="none"/>
              </w:rPr>
              <w:t xml:space="preserve">n </w:t>
            </w:r>
            <w:r w:rsidRPr="002E6D00">
              <w:rPr>
                <w:rFonts w:ascii="Times New Roman" w:eastAsia="Times New Roman" w:hAnsi="Times New Roman" w:cs="Times New Roman"/>
                <w:color w:val="000000" w:themeColor="text1"/>
                <w:sz w:val="16"/>
                <w:szCs w:val="16"/>
                <w:lang w:val="en-US"/>
              </w:rPr>
              <w:t>t</w:t>
            </w:r>
            <w:r w:rsidRPr="002E6D00">
              <w:rPr>
                <w:rFonts w:ascii="Times New Roman" w:eastAsia="Times New Roman" w:hAnsi="Times New Roman" w:cs="Times New Roman"/>
                <w:color w:val="000000" w:themeColor="text1"/>
                <w:kern w:val="0"/>
                <w:sz w:val="16"/>
                <w:szCs w:val="16"/>
                <w:lang w:val="en-US"/>
                <w14:ligatures w14:val="none"/>
              </w:rPr>
              <w:t xml:space="preserve">he Digital Communication Styles </w:t>
            </w:r>
            <w:r w:rsidRPr="002E6D00">
              <w:rPr>
                <w:rFonts w:ascii="Times New Roman" w:eastAsia="Times New Roman" w:hAnsi="Times New Roman" w:cs="Times New Roman"/>
                <w:color w:val="000000" w:themeColor="text1"/>
                <w:sz w:val="16"/>
                <w:szCs w:val="16"/>
                <w:lang w:val="en-US"/>
              </w:rPr>
              <w:t>o</w:t>
            </w:r>
            <w:r w:rsidRPr="002E6D00">
              <w:rPr>
                <w:rFonts w:ascii="Times New Roman" w:eastAsia="Times New Roman" w:hAnsi="Times New Roman" w:cs="Times New Roman"/>
                <w:color w:val="000000" w:themeColor="text1"/>
                <w:kern w:val="0"/>
                <w:sz w:val="16"/>
                <w:szCs w:val="16"/>
                <w:lang w:val="en-US"/>
                <w14:ligatures w14:val="none"/>
              </w:rPr>
              <w:t>f Entrepreneurs</w:t>
            </w:r>
          </w:p>
        </w:tc>
        <w:tc>
          <w:tcPr>
            <w:tcW w:w="585" w:type="dxa"/>
            <w:noWrap/>
            <w:hideMark/>
          </w:tcPr>
          <w:p w14:paraId="55354308" w14:textId="07953D43"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{"citationItems":[{"id":"ITEM-1","itemData":{"DOI":"10.1108/JSBED-10-2022-0423","ISSN":"14626004","abstract":"Purpose: Entrepreneurial communication describes the communication activities of entrepreneurs and is an essential tool for entrepreneurs to build relationships. However, there is a lack of research regarding how entrepreneurs adapt their communication styles in times of crisis. Nevertheless, entrepreneurial communication during a crisis is essential because entrepreneurs must continue communicating with their stakeholders and be visible. In this regard, communication has the central aim of preventing the startup from suffering any damage that may result from the crisis. Thus, the present paper explores potential shifts in the communication styles of entrepreneurs during the first wave of the COVID-19 pandemic. Design/methodology/approach: The authors examined the digital footprints of 780 entrepreneurs based in the USA on the social network Twitter. This study used a longitudinal dataset with the software Linguistic Inquiry and Word Count (LIWC) to analyze 110,283 tweets sent pre-crisis and during the first wave of COVID-19. Findings: The results of the exploratory analysis revealed a connection between crisis and both analytical thinking and emotional responses. In the case of emotions, the results also suggest that entrepreneurs who had already received funding from venture capital investors remained emotionally robust during the crisis, as evidenced by the expression of more positive emotions compared to entrepreneurs without funding. Originality/value: This study contributes to the understanding of entrepreneurial communication and adds the context of an exogenous shock to this research stream. Furthermore, this study highlights the effects of venture funding on the digital communication style of entrepreneurs, especially in the context of expressed emotions, and suggests emotional robustness for these entrepreneurs.","author":[{"dropping-particle":"","family":"Kaiser","given":"Manuel","non-dropping-particle":"","parse-names":false,"suffix":""},{"dropping-particle":"","family":"Kuckertz","given":"Andreas","non-dropping-particle":"","parse-names":false,"suffix":""}],"container-title":"Journal of Small Business and Enterprise Development","id":"ITEM-1","issue":"4","issued":{"date-parts":[["2023"]]},"page":"828-850","title":"Emotional Robustness in Times of Crisis: The Effects of Venture Funding on the Digital Communication Styles of Entrepreneurs","type":"article-journal","volume":"30"},"suppress-author":1,"uris":["http://www.mendeley.com/documents/?uuid=7d84c2c5-00ca-47d2-b712-eba0160572bd"]}],"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7597FFD" w14:textId="50D3C28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Small Business and Enterprise Development</w:t>
            </w:r>
          </w:p>
        </w:tc>
        <w:tc>
          <w:tcPr>
            <w:tcW w:w="2268" w:type="dxa"/>
            <w:hideMark/>
          </w:tcPr>
          <w:p w14:paraId="3F90174E" w14:textId="0B71E09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Investigate “how entrepreneurs adapt their communication styles in times of crisis” (p. 828)</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15DAD1B2" w14:textId="0F850DE9" w:rsidR="003A2397" w:rsidRPr="002E6D00" w:rsidRDefault="003A2397" w:rsidP="00071683">
            <w:pPr>
              <w:spacing w:line="278" w:lineRule="auto"/>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A “connection between crisis and both analytical thinking and emotional responses. In the case of emotions, the results also suggest that entrepreneurs who had already received funding from venture capital investors remained emotionally robust during the crisis, as evidenced by the expression of more positive emotions compared to entrepreneurs without funding” </w:t>
            </w:r>
            <w:r w:rsidRPr="002E6D00">
              <w:rPr>
                <w:rFonts w:ascii="Times New Roman" w:eastAsia="Times New Roman" w:hAnsi="Times New Roman" w:cs="Times New Roman"/>
                <w:color w:val="000000" w:themeColor="text1"/>
                <w:sz w:val="16"/>
                <w:szCs w:val="16"/>
                <w:lang w:val="en-US"/>
              </w:rPr>
              <w:t>(</w:t>
            </w:r>
            <w:r w:rsidRPr="002E6D00">
              <w:rPr>
                <w:rFonts w:ascii="Times New Roman" w:eastAsia="Times New Roman" w:hAnsi="Times New Roman" w:cs="Times New Roman"/>
                <w:color w:val="000000" w:themeColor="text1"/>
                <w:kern w:val="0"/>
                <w:sz w:val="16"/>
                <w:szCs w:val="16"/>
                <w:lang w:val="en-US"/>
                <w14:ligatures w14:val="none"/>
              </w:rPr>
              <w:t>p. 828)</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561A8FE7" w14:textId="51729749"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780 entrepreneurs; </w:t>
            </w:r>
            <w:r w:rsidRPr="002E6D00">
              <w:rPr>
                <w:rFonts w:ascii="Times New Roman" w:eastAsia="Times New Roman" w:hAnsi="Times New Roman" w:cs="Times New Roman"/>
                <w:color w:val="000000" w:themeColor="text1"/>
                <w:sz w:val="16"/>
                <w:szCs w:val="16"/>
                <w:lang w:val="en-US"/>
              </w:rPr>
              <w:t>110,283</w:t>
            </w:r>
          </w:p>
          <w:p w14:paraId="77F42AA1" w14:textId="24BF76F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Tweets</w:t>
            </w:r>
          </w:p>
        </w:tc>
        <w:tc>
          <w:tcPr>
            <w:tcW w:w="1276" w:type="dxa"/>
          </w:tcPr>
          <w:p w14:paraId="6474BF89" w14:textId="19C3976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Automated content analysis</w:t>
            </w:r>
          </w:p>
        </w:tc>
        <w:tc>
          <w:tcPr>
            <w:tcW w:w="995" w:type="dxa"/>
            <w:hideMark/>
          </w:tcPr>
          <w:p w14:paraId="03093812" w14:textId="768B98E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437AEAA2" w14:textId="77777777" w:rsidTr="45483B6E">
        <w:trPr>
          <w:trHeight w:val="1134"/>
          <w:jc w:val="center"/>
        </w:trPr>
        <w:tc>
          <w:tcPr>
            <w:tcW w:w="1129" w:type="dxa"/>
            <w:noWrap/>
            <w:hideMark/>
          </w:tcPr>
          <w:p w14:paraId="2F78A6FC" w14:textId="06B83DE6"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Corradini,</w:t>
            </w:r>
            <w:r>
              <w:rPr>
                <w:rFonts w:ascii="Times New Roman" w:eastAsia="Times New Roman" w:hAnsi="Times New Roman" w:cs="Times New Roman"/>
                <w:kern w:val="0"/>
                <w:sz w:val="16"/>
                <w:szCs w:val="16"/>
                <w:lang w:val="en-US"/>
                <w14:ligatures w14:val="none"/>
              </w:rPr>
              <w:t xml:space="preserve"> C.,</w:t>
            </w:r>
            <w:r w:rsidRPr="002E6D00">
              <w:rPr>
                <w:rFonts w:ascii="Times New Roman" w:eastAsia="Times New Roman" w:hAnsi="Times New Roman" w:cs="Times New Roman"/>
                <w:kern w:val="0"/>
                <w:sz w:val="16"/>
                <w:szCs w:val="16"/>
                <w:lang w:val="en-US"/>
                <w14:ligatures w14:val="none"/>
              </w:rPr>
              <w:t xml:space="preserve"> Santini</w:t>
            </w:r>
            <w:r>
              <w:rPr>
                <w:rFonts w:ascii="Times New Roman" w:eastAsia="Times New Roman" w:hAnsi="Times New Roman" w:cs="Times New Roman"/>
                <w:kern w:val="0"/>
                <w:sz w:val="16"/>
                <w:szCs w:val="16"/>
                <w:lang w:val="en-US"/>
                <w14:ligatures w14:val="none"/>
              </w:rPr>
              <w:t>, E.,</w:t>
            </w:r>
            <w:r w:rsidRPr="002E6D00">
              <w:rPr>
                <w:rFonts w:ascii="Times New Roman" w:eastAsia="Times New Roman" w:hAnsi="Times New Roman" w:cs="Times New Roman"/>
                <w:kern w:val="0"/>
                <w:sz w:val="16"/>
                <w:szCs w:val="16"/>
                <w:lang w:val="en-US"/>
                <w14:ligatures w14:val="none"/>
              </w:rPr>
              <w:t xml:space="preserve"> &amp; Vecciolini</w:t>
            </w:r>
            <w:r>
              <w:rPr>
                <w:rFonts w:ascii="Times New Roman" w:eastAsia="Times New Roman" w:hAnsi="Times New Roman" w:cs="Times New Roman"/>
                <w:kern w:val="0"/>
                <w:sz w:val="16"/>
                <w:szCs w:val="16"/>
                <w:lang w:val="en-US"/>
                <w14:ligatures w14:val="none"/>
              </w:rPr>
              <w:t>, C.</w:t>
            </w:r>
          </w:p>
        </w:tc>
        <w:tc>
          <w:tcPr>
            <w:tcW w:w="1418" w:type="dxa"/>
            <w:hideMark/>
          </w:tcPr>
          <w:p w14:paraId="42AAE17F" w14:textId="7D02E94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Place Promotion, Place Branding, and Social Media Communication Around Entrepreneurial Ecosystems: A Twitter Analysis</w:t>
            </w:r>
          </w:p>
        </w:tc>
        <w:tc>
          <w:tcPr>
            <w:tcW w:w="585" w:type="dxa"/>
            <w:noWrap/>
            <w:hideMark/>
          </w:tcPr>
          <w:p w14:paraId="309997B5" w14:textId="12C6792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{"citationItems":[{"id":"ITEM-1","itemData":{"DOI":"10.1080/00343404.2023.2239275","ISSN":"0034-3404","abstract":"We discuss the use of social media communication for place promotion and place branding of entrepreneurial ecosystems (EEs). As places resting on the advantages of co-location for entrepreneurial activity, EEs offer a novel testbed for the co-creation of a place image in the virtual space of social media. By exploring almost 370,000 tweets from Twitter across 20 European EEs, we observe virtual spaces of EEs being broadly used to share positive messages about the place. However, no EE stands out with a unique image evoking symbolic associations with the place in target audiences. The results suggest the presence of place promotion more than place branding.","author":[{"dropping-particle":"","family":"Corradini","given":"Carlo","non-dropping-particle":"","parse-names":false,"suffix":""},{"dropping-particle":"","family":"Santini","given":"Erica","non-dropping-particle":"","parse-names":false,"suffix":""},{"dropping-particle":"","family":"Vecciolini","given":"Claudia","non-dropping-particle":"","parse-names":false,"suffix":""}],"container-title":"Regional Studies","id":"ITEM-1","issued":{"date-parts":[["2023","8","18"]]},"page":"1-14","title":"Place Promotion, Place Branding and Social Media Communication Around Entrepreneurial Ecosystems: A Twitter Analysis","type":"article-journal"},"suppress-author":1,"uris":["http://www.mendeley.com/documents/?uuid=abc8f9cf-302a-4ff3-8e14-0c516368e7d1"]}],"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F5DDB0A" w14:textId="20085C4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Regional Studies</w:t>
            </w:r>
          </w:p>
        </w:tc>
        <w:tc>
          <w:tcPr>
            <w:tcW w:w="2268" w:type="dxa"/>
            <w:hideMark/>
          </w:tcPr>
          <w:p w14:paraId="1EA8D1C5" w14:textId="0361F1B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“Discuss the use of social media communication for place promotion and place branding of entrepreneurial ecosystems (EEs)”</w:t>
            </w:r>
            <w:r w:rsidRPr="002E6D00">
              <w:rPr>
                <w:rFonts w:ascii="Times New Roman" w:eastAsia="Times New Roman" w:hAnsi="Times New Roman" w:cs="Times New Roman"/>
                <w:color w:val="000000" w:themeColor="text1"/>
                <w:kern w:val="0"/>
                <w:sz w:val="16"/>
                <w:szCs w:val="16"/>
                <w:lang w:val="en-US"/>
                <w14:ligatures w14:val="none"/>
              </w:rPr>
              <w:t xml:space="preserve">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4D8442D0" w14:textId="73590829"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results suggest the presence of place promotion more than place branding” (p. 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5E03C9CC" w14:textId="3D0A1064"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20 European cities; </w:t>
            </w:r>
            <w:r w:rsidRPr="002E6D00">
              <w:rPr>
                <w:rFonts w:ascii="Times New Roman" w:eastAsia="Times New Roman" w:hAnsi="Times New Roman" w:cs="Times New Roman"/>
                <w:color w:val="000000" w:themeColor="text1"/>
                <w:sz w:val="16"/>
                <w:szCs w:val="16"/>
                <w:lang w:val="en-US"/>
              </w:rPr>
              <w:t>369,164 tweets</w:t>
            </w:r>
          </w:p>
          <w:p w14:paraId="45806086" w14:textId="224323F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p>
        </w:tc>
        <w:tc>
          <w:tcPr>
            <w:tcW w:w="1276" w:type="dxa"/>
          </w:tcPr>
          <w:p w14:paraId="0863015D" w14:textId="26F2C5E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Automated content analysis (sentiment analysis)</w:t>
            </w:r>
          </w:p>
        </w:tc>
        <w:tc>
          <w:tcPr>
            <w:tcW w:w="995" w:type="dxa"/>
            <w:hideMark/>
          </w:tcPr>
          <w:p w14:paraId="6C819D42" w14:textId="53413A3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74E45C7B" w14:textId="77777777" w:rsidTr="45483B6E">
        <w:trPr>
          <w:trHeight w:val="1134"/>
          <w:jc w:val="center"/>
        </w:trPr>
        <w:tc>
          <w:tcPr>
            <w:tcW w:w="1129" w:type="dxa"/>
            <w:noWrap/>
            <w:hideMark/>
          </w:tcPr>
          <w:p w14:paraId="5D8813DA" w14:textId="5B1EA3F7"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Mousavi</w:t>
            </w:r>
            <w:r>
              <w:rPr>
                <w:rFonts w:ascii="Times New Roman" w:eastAsia="Times New Roman" w:hAnsi="Times New Roman" w:cs="Times New Roman"/>
                <w:kern w:val="0"/>
                <w:sz w:val="16"/>
                <w:szCs w:val="16"/>
                <w:lang w:val="en-US"/>
                <w14:ligatures w14:val="none"/>
              </w:rPr>
              <w:t>, R.</w:t>
            </w:r>
            <w:r w:rsidRPr="002E6D00">
              <w:rPr>
                <w:rFonts w:ascii="Times New Roman" w:eastAsia="Times New Roman" w:hAnsi="Times New Roman" w:cs="Times New Roman"/>
                <w:kern w:val="0"/>
                <w:sz w:val="16"/>
                <w:szCs w:val="16"/>
                <w:lang w:val="en-US"/>
                <w14:ligatures w14:val="none"/>
              </w:rPr>
              <w:t xml:space="preserve"> &amp; Gu</w:t>
            </w:r>
            <w:r>
              <w:rPr>
                <w:rFonts w:ascii="Times New Roman" w:eastAsia="Times New Roman" w:hAnsi="Times New Roman" w:cs="Times New Roman"/>
                <w:kern w:val="0"/>
                <w:sz w:val="16"/>
                <w:szCs w:val="16"/>
                <w:lang w:val="en-US"/>
                <w14:ligatures w14:val="none"/>
              </w:rPr>
              <w:t>, B.</w:t>
            </w:r>
          </w:p>
        </w:tc>
        <w:tc>
          <w:tcPr>
            <w:tcW w:w="1418" w:type="dxa"/>
            <w:hideMark/>
          </w:tcPr>
          <w:p w14:paraId="486E8B94" w14:textId="5110E98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Resilience Messaging: The Effect of Governors</w:t>
            </w:r>
            <w:r>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Social Media Communications on Community Compliance During a Public Health Crisis</w:t>
            </w:r>
          </w:p>
        </w:tc>
        <w:tc>
          <w:tcPr>
            <w:tcW w:w="585" w:type="dxa"/>
            <w:noWrap/>
            <w:hideMark/>
          </w:tcPr>
          <w:p w14:paraId="53ED907F" w14:textId="2CDB68F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{"citationItems":[{"id":"ITEM-1","itemData":{"DOI":"10.1287/isre.2021.0599","ISSN":"1047-7047","abstract":"Research Spotlight:","author":[{"dropping-particle":"","family":"Mousavi","given":"Reza","non-dropping-particle":"","parse-names":false,"suffix":""},{"dropping-particle":"","family":"Gu","given":"Bin","non-dropping-particle":"","parse-names":false,"suffix":""}],"container-title":"Information Systems Research","id":"ITEM-1","issued":{"date-parts":[["2023","7","20"]]},"page":"1-49","title":"Resilience Messaging: The Effect of Governors’ Social Media Communications on Community Compliance During a Public Health Crisis","type":"article-journal"},"suppress-author":1,"uris":["http://www.mendeley.com/documents/?uuid=40986d02-ab5d-4a69-b82b-a201b7e8b0c4"]}],"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5BCD28E8" w14:textId="001ACD9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Information Systems Research</w:t>
            </w:r>
          </w:p>
        </w:tc>
        <w:tc>
          <w:tcPr>
            <w:tcW w:w="2268" w:type="dxa"/>
            <w:hideMark/>
          </w:tcPr>
          <w:p w14:paraId="68A74523" w14:textId="3815D0B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Investigate “whether embedding resilience-related words (resilience messaging) in governors’ social media posts increases community compliance with government guidelines in the context of the COVID-19 disaster”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74144F64" w14:textId="37F559D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“Governors’ resilience messaging increases community compliance (12.5% increase in time spent at home and 11% increase in avoiding unnecessary trips); the effect of resilience messaging on community compliance is mediated by residents’ perceptions of inspirational leadership” (p. 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5A903E6C" w14:textId="68C4710F" w:rsidR="003A2397" w:rsidRPr="002E6D00" w:rsidRDefault="003A2397" w:rsidP="00071683">
            <w:pPr>
              <w:spacing w:line="278" w:lineRule="auto"/>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sz w:val="16"/>
                <w:szCs w:val="16"/>
                <w:lang w:val="en-US"/>
              </w:rPr>
              <w:t>US governors; 41,240 Covid-19-re</w:t>
            </w:r>
            <w:r>
              <w:rPr>
                <w:rFonts w:ascii="Times New Roman" w:eastAsia="Times New Roman" w:hAnsi="Times New Roman" w:cs="Times New Roman"/>
                <w:color w:val="000000" w:themeColor="text1"/>
                <w:sz w:val="16"/>
                <w:szCs w:val="16"/>
                <w:lang w:val="en-US"/>
              </w:rPr>
              <w:t>la</w:t>
            </w:r>
            <w:r w:rsidRPr="002E6D00">
              <w:rPr>
                <w:rFonts w:ascii="Times New Roman" w:eastAsia="Times New Roman" w:hAnsi="Times New Roman" w:cs="Times New Roman"/>
                <w:color w:val="000000" w:themeColor="text1"/>
                <w:sz w:val="16"/>
                <w:szCs w:val="16"/>
                <w:lang w:val="en-US"/>
              </w:rPr>
              <w:t>ted Tweets</w:t>
            </w:r>
          </w:p>
          <w:p w14:paraId="2C2FE63A" w14:textId="39C689B6" w:rsidR="003A2397" w:rsidRPr="002E6D00" w:rsidRDefault="003A2397" w:rsidP="00071683">
            <w:pPr>
              <w:spacing w:line="278" w:lineRule="auto"/>
              <w:rPr>
                <w:rFonts w:ascii="Times New Roman" w:eastAsia="Times New Roman" w:hAnsi="Times New Roman" w:cs="Times New Roman"/>
                <w:color w:val="000000" w:themeColor="text1"/>
                <w:sz w:val="16"/>
                <w:szCs w:val="16"/>
                <w:lang w:val="en-US"/>
              </w:rPr>
            </w:pPr>
          </w:p>
        </w:tc>
        <w:tc>
          <w:tcPr>
            <w:tcW w:w="1276" w:type="dxa"/>
          </w:tcPr>
          <w:p w14:paraId="3716A5E3" w14:textId="5035F87F"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Automated content analysis</w:t>
            </w:r>
          </w:p>
        </w:tc>
        <w:tc>
          <w:tcPr>
            <w:tcW w:w="995" w:type="dxa"/>
            <w:hideMark/>
          </w:tcPr>
          <w:p w14:paraId="4415016C" w14:textId="53E5EF3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376F6F4D" w14:textId="77777777" w:rsidTr="45483B6E">
        <w:trPr>
          <w:trHeight w:val="1134"/>
          <w:jc w:val="center"/>
        </w:trPr>
        <w:tc>
          <w:tcPr>
            <w:tcW w:w="1129" w:type="dxa"/>
            <w:noWrap/>
            <w:hideMark/>
          </w:tcPr>
          <w:p w14:paraId="77BCC920" w14:textId="755DD23E" w:rsidR="003A2397" w:rsidRPr="00554B32" w:rsidRDefault="003A2397" w:rsidP="00071683">
            <w:pPr>
              <w:rPr>
                <w:rFonts w:ascii="Times New Roman" w:eastAsia="Times New Roman" w:hAnsi="Times New Roman" w:cs="Times New Roman"/>
                <w:kern w:val="0"/>
                <w:sz w:val="16"/>
                <w:szCs w:val="16"/>
                <w14:ligatures w14:val="none"/>
              </w:rPr>
            </w:pPr>
            <w:r w:rsidRPr="00554B32">
              <w:rPr>
                <w:rFonts w:ascii="Times New Roman" w:eastAsia="Times New Roman" w:hAnsi="Times New Roman" w:cs="Times New Roman"/>
                <w:kern w:val="0"/>
                <w:sz w:val="16"/>
                <w:szCs w:val="16"/>
                <w14:ligatures w14:val="none"/>
              </w:rPr>
              <w:t>Golmohammadi, A., Gauri, D.</w:t>
            </w:r>
            <w:r>
              <w:rPr>
                <w:rFonts w:ascii="Times New Roman" w:eastAsia="Times New Roman" w:hAnsi="Times New Roman" w:cs="Times New Roman"/>
                <w:kern w:val="0"/>
                <w:sz w:val="16"/>
                <w:szCs w:val="16"/>
                <w14:ligatures w14:val="none"/>
              </w:rPr>
              <w:t>K.,</w:t>
            </w:r>
            <w:r w:rsidRPr="00554B32">
              <w:rPr>
                <w:rFonts w:ascii="Times New Roman" w:eastAsia="Times New Roman" w:hAnsi="Times New Roman" w:cs="Times New Roman"/>
                <w:kern w:val="0"/>
                <w:sz w:val="16"/>
                <w:szCs w:val="16"/>
                <w14:ligatures w14:val="none"/>
              </w:rPr>
              <w:t xml:space="preserve"> &amp; Mirahmad</w:t>
            </w:r>
            <w:r>
              <w:rPr>
                <w:rFonts w:ascii="Times New Roman" w:eastAsia="Times New Roman" w:hAnsi="Times New Roman" w:cs="Times New Roman"/>
                <w:kern w:val="0"/>
                <w:sz w:val="16"/>
                <w:szCs w:val="16"/>
                <w14:ligatures w14:val="none"/>
              </w:rPr>
              <w:t>, H.</w:t>
            </w:r>
          </w:p>
        </w:tc>
        <w:tc>
          <w:tcPr>
            <w:tcW w:w="1418" w:type="dxa"/>
            <w:hideMark/>
          </w:tcPr>
          <w:p w14:paraId="207CC6F0" w14:textId="3BCE127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Media Communication and Company Value: The Moderating Role of Industry Competitiveness</w:t>
            </w:r>
          </w:p>
        </w:tc>
        <w:tc>
          <w:tcPr>
            <w:tcW w:w="585" w:type="dxa"/>
            <w:noWrap/>
            <w:hideMark/>
          </w:tcPr>
          <w:p w14:paraId="6DE8B7D5" w14:textId="0869CD53"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{"citationItems":[{"id":"ITEM-1","itemData":{"DOI":"10.1177/10946705211072429","ISSN":"15527379","abstract":"Existing research demonstrates that industry competitiveness influences the effectiveness of marketing actions. However, limited scholarly attention has been paid to how service companies should communicate on social media under different levels of industry competitiveness. The current research seeks to address this gap in the literature by analyzing social media communication, brand impression, and financial data from two large samples of service companies and by employing state-of-the-art methods of machine learning. Study 1 demonstrates that industry competitiveness positively (negatively) moderates the impact of persuasive tone (volume) of social media communications on company value. We argue that these effects stem from investors’ expectations about the impact of these communication styles in facilitating differentiation and improving brand impressions in a congested competitive environment. Consistent with this mechanism, Study 2 reveals that as an industry becomes more cluttered, persuasive tone (volume) becomes more (less) effective in impacting consumers’ brand impressions. The findings provide important insights for service companies that operate under different levels of industry competitiveness. (Figure presented.).","author":[{"dropping-particle":"","family":"Golmohammadi","given":"Alireza","non-dropping-particle":"","parse-names":false,"suffix":""},{"dropping-particle":"","family":"Gauri","given":"Dinesh K.","non-dropping-particle":"","parse-names":false,"suffix":""},{"dropping-particle":"","family":"Mirahmad","given":"Hooman","non-dropping-particle":"","parse-names":false,"suffix":""}],"container-title":"Journal of Service Research","id":"ITEM-1","issue":"1","issued":{"date-parts":[["2023"]]},"page":"120-135","title":"Social Media Communication and Company Value: The Moderating Role of Industry Competitiveness","type":"article-journal","volume":"26"},"suppress-author":1,"uris":["http://www.mendeley.com/documents/?uuid=2bd69455-3cb6-4798-853a-c56d72cd0e16"]}],"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3E14DA2" w14:textId="57B84EEC"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Service Research</w:t>
            </w:r>
          </w:p>
        </w:tc>
        <w:tc>
          <w:tcPr>
            <w:tcW w:w="2268" w:type="dxa"/>
            <w:hideMark/>
          </w:tcPr>
          <w:p w14:paraId="456BFF04" w14:textId="54B89E6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Investigate “how service companies should communicate on social media under different levels of industry competitiveness” (p. 120)</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5B231B03" w14:textId="02F9C80C"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Industry competitiveness positively (negatively) moderates the impact of persuasive tone (volume) of social media communications on company value”; “as an industry becomes more cluttered, persuasive tone (volume) becomes more (less) effective in impacting consumers’ brand impressions” (p. 120)</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081F7BE0" w14:textId="6D01434D" w:rsidR="003A2397" w:rsidRPr="002E6D00" w:rsidRDefault="003A2397" w:rsidP="00E1038A">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211 service companies (study 1), 21 airlines (study 2); </w:t>
            </w:r>
            <w:r w:rsidRPr="002E6D00">
              <w:rPr>
                <w:rFonts w:ascii="Times New Roman" w:eastAsia="Times New Roman" w:hAnsi="Times New Roman" w:cs="Times New Roman"/>
                <w:color w:val="000000" w:themeColor="text1"/>
                <w:sz w:val="16"/>
                <w:szCs w:val="16"/>
                <w:lang w:val="en-US"/>
              </w:rPr>
              <w:t>close to 400,000 (study 1), 45,984 (study 2)</w:t>
            </w:r>
          </w:p>
        </w:tc>
        <w:tc>
          <w:tcPr>
            <w:tcW w:w="1276" w:type="dxa"/>
          </w:tcPr>
          <w:p w14:paraId="73C1668A" w14:textId="013B8FA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Automated content analysis</w:t>
            </w:r>
          </w:p>
        </w:tc>
        <w:tc>
          <w:tcPr>
            <w:tcW w:w="995" w:type="dxa"/>
            <w:hideMark/>
          </w:tcPr>
          <w:p w14:paraId="045B238C" w14:textId="59E9A73B"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0BFECA88" w14:textId="77777777" w:rsidTr="45483B6E">
        <w:trPr>
          <w:trHeight w:val="1134"/>
          <w:jc w:val="center"/>
        </w:trPr>
        <w:tc>
          <w:tcPr>
            <w:tcW w:w="1129" w:type="dxa"/>
            <w:noWrap/>
            <w:hideMark/>
          </w:tcPr>
          <w:p w14:paraId="490DB4B7" w14:textId="45A6DBB2" w:rsidR="003A2397" w:rsidRPr="002E6D00" w:rsidRDefault="003A2397" w:rsidP="00071683">
            <w:pP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Jha, A.K. &amp; Verma, N.K.</w:t>
            </w:r>
          </w:p>
        </w:tc>
        <w:tc>
          <w:tcPr>
            <w:tcW w:w="1418" w:type="dxa"/>
            <w:hideMark/>
          </w:tcPr>
          <w:p w14:paraId="2DDA9EDB" w14:textId="7423EA1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Social Media Sustainability Communication: An Analysis of Firm Behaviour and Stakeholder Responses</w:t>
            </w:r>
          </w:p>
        </w:tc>
        <w:tc>
          <w:tcPr>
            <w:tcW w:w="585" w:type="dxa"/>
            <w:noWrap/>
            <w:hideMark/>
          </w:tcPr>
          <w:p w14:paraId="370D1140" w14:textId="3423FDB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{"citationItems":[{"id":"ITEM-1","itemData":{"DOI":"10.1007/s10796-022-10257-6","ISBN":"0123456789","ISSN":"15729419","abstract":"Social media communication, and its impact on individuals and firms, is becoming increasingly important in today’s age. Firms are utilizing social media channels for communicating their sustainability-related initiatives. The role of social media as a mode for sustainability-related communication by firms has not been widely analyzed in the extant information systems literature. Given the increasingly important role of social media for information diffusion as well as increasing awareness for sustainability practices, this is a critical area of research. In this paper, we use an analytic model to theorize, coupled with empirical analysis to test the impact of firms’ sustainability practices. We have validated our proposed hypotheses using an empirical model based on panel data of firms’ sustainability performance and their Twitter communication over a 3-year period. Through our unique mixed-method study, we add additional methodological rigour to extant social media-based research in the information systems domain. Our research has significant theoretical and managerial significance as we identify how firms utilize social media for sustainability-related communication and its corresponding impact on customer response. Our research provides actionable insights for policymakers, firms as well as investors and consumers on understanding and managing sustainability-related communications on social media.","author":[{"dropping-particle":"","family":"Jha","given":"Ashish Kumar","non-dropping-particle":"","parse-names":false,"suffix":""},{"dropping-particle":"","family":"Verma","given":"Nishant Kumar","non-dropping-particle":"","parse-names":false,"suffix":""}],"container-title":"Information Systems Frontiers","id":"ITEM-1","issue":"2","issued":{"date-parts":[["2023"]]},"page":"723-742","publisher":"Springer US","title":"Social Media Sustainability Communication: An Analysis of Firm Behaviour and Stakeholder Responses","type":"article-journal","volume":"25"},"suppress-author":1,"uris":["http://www.mendeley.com/documents/?uuid=2e05e417-9fe4-4f2d-835c-1ec230959b6b"]}],"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0B5B87FD" w14:textId="0CED4D4A"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Information Systems Frontiers</w:t>
            </w:r>
          </w:p>
        </w:tc>
        <w:tc>
          <w:tcPr>
            <w:tcW w:w="2268" w:type="dxa"/>
            <w:hideMark/>
          </w:tcPr>
          <w:p w14:paraId="517CB02D" w14:textId="213F9073" w:rsidR="003A2397" w:rsidRPr="002E6D00" w:rsidRDefault="003A2397" w:rsidP="00071683">
            <w:pPr>
              <w:rPr>
                <w:rFonts w:ascii="Times New Roman" w:hAnsi="Times New Roman" w:cs="Times New Roman"/>
                <w:sz w:val="16"/>
                <w:szCs w:val="16"/>
                <w:lang w:val="en-US"/>
              </w:rPr>
            </w:pPr>
            <w:r w:rsidRPr="002E6D00">
              <w:rPr>
                <w:rFonts w:ascii="Times New Roman" w:eastAsia="Times New Roman" w:hAnsi="Times New Roman" w:cs="Times New Roman"/>
                <w:color w:val="000000" w:themeColor="text1"/>
                <w:sz w:val="16"/>
                <w:szCs w:val="16"/>
                <w:lang w:val="en-US"/>
              </w:rPr>
              <w:t>Investigate</w:t>
            </w:r>
            <w:r w:rsidRPr="002E6D00">
              <w:rPr>
                <w:rFonts w:ascii="Times New Roman" w:hAnsi="Times New Roman" w:cs="Times New Roman"/>
                <w:color w:val="000000" w:themeColor="text1"/>
                <w:sz w:val="16"/>
                <w:szCs w:val="16"/>
                <w:lang w:val="en-US"/>
              </w:rPr>
              <w:t xml:space="preserve"> “the role of social media as a mode for sustainability-related communication by firms” (p. 723)</w:t>
            </w:r>
            <w:r>
              <w:rPr>
                <w:rFonts w:ascii="Times New Roman" w:hAnsi="Times New Roman" w:cs="Times New Roman"/>
                <w:color w:val="000000" w:themeColor="text1"/>
                <w:sz w:val="16"/>
                <w:szCs w:val="16"/>
                <w:lang w:val="en-US"/>
              </w:rPr>
              <w:t>.</w:t>
            </w:r>
          </w:p>
        </w:tc>
        <w:tc>
          <w:tcPr>
            <w:tcW w:w="2693" w:type="dxa"/>
            <w:hideMark/>
          </w:tcPr>
          <w:p w14:paraId="377FA230" w14:textId="1E95625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“Consumers indeed are green-sensitive and are tangibly receptive towards a firm’s sustainability-related social media communication, leading to a significant positive impact on firm value”; “the more a firm belongs to an industry/ environment where actual sustainability investment is costly, the more disproportionately it communicates its efforts on social media”; “manufacturing and non-manufacturing firms behave differently” (p. 736)</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15C372A0" w14:textId="7777777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122 companies</w:t>
            </w:r>
          </w:p>
        </w:tc>
        <w:tc>
          <w:tcPr>
            <w:tcW w:w="1276" w:type="dxa"/>
          </w:tcPr>
          <w:p w14:paraId="0635116F" w14:textId="6E0993B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 xml:space="preserve">Descriptive analysis, </w:t>
            </w:r>
            <w:r>
              <w:rPr>
                <w:rFonts w:ascii="Times New Roman" w:eastAsia="Times New Roman" w:hAnsi="Times New Roman" w:cs="Times New Roman"/>
                <w:color w:val="000000" w:themeColor="text1"/>
                <w:sz w:val="16"/>
                <w:szCs w:val="16"/>
                <w:lang w:val="en-US"/>
              </w:rPr>
              <w:t xml:space="preserve">not specified </w:t>
            </w:r>
            <w:r w:rsidRPr="002E6D00">
              <w:rPr>
                <w:rFonts w:ascii="Times New Roman" w:eastAsia="Times New Roman" w:hAnsi="Times New Roman" w:cs="Times New Roman"/>
                <w:color w:val="000000" w:themeColor="text1"/>
                <w:sz w:val="16"/>
                <w:szCs w:val="16"/>
                <w:lang w:val="en-US"/>
              </w:rPr>
              <w:t>content analysis</w:t>
            </w:r>
          </w:p>
        </w:tc>
        <w:tc>
          <w:tcPr>
            <w:tcW w:w="995" w:type="dxa"/>
            <w:hideMark/>
          </w:tcPr>
          <w:p w14:paraId="49ACF9FA" w14:textId="010A60E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Tweets </w:t>
            </w:r>
          </w:p>
        </w:tc>
      </w:tr>
      <w:tr w:rsidR="004B3FDE" w:rsidRPr="002E6D00" w14:paraId="0A63A75C" w14:textId="77777777" w:rsidTr="45483B6E">
        <w:trPr>
          <w:trHeight w:val="1134"/>
          <w:jc w:val="center"/>
        </w:trPr>
        <w:tc>
          <w:tcPr>
            <w:tcW w:w="1129" w:type="dxa"/>
            <w:noWrap/>
            <w:hideMark/>
          </w:tcPr>
          <w:p w14:paraId="48AC8DA9" w14:textId="65B78691"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Doedt</w:t>
            </w:r>
            <w:r>
              <w:rPr>
                <w:rFonts w:ascii="Times New Roman" w:eastAsia="Times New Roman" w:hAnsi="Times New Roman" w:cs="Times New Roman"/>
                <w:kern w:val="0"/>
                <w:sz w:val="16"/>
                <w:szCs w:val="16"/>
                <w:lang w:val="en-US"/>
                <w14:ligatures w14:val="none"/>
              </w:rPr>
              <w:t>, C.</w:t>
            </w:r>
            <w:r w:rsidRPr="002E6D00">
              <w:rPr>
                <w:rFonts w:ascii="Times New Roman" w:eastAsia="Times New Roman" w:hAnsi="Times New Roman" w:cs="Times New Roman"/>
                <w:kern w:val="0"/>
                <w:sz w:val="16"/>
                <w:szCs w:val="16"/>
                <w:lang w:val="en-US"/>
                <w14:ligatures w14:val="none"/>
              </w:rPr>
              <w:t xml:space="preserve"> &amp; Maruyama</w:t>
            </w:r>
            <w:r>
              <w:rPr>
                <w:rFonts w:ascii="Times New Roman" w:eastAsia="Times New Roman" w:hAnsi="Times New Roman" w:cs="Times New Roman"/>
                <w:kern w:val="0"/>
                <w:sz w:val="16"/>
                <w:szCs w:val="16"/>
                <w:lang w:val="en-US"/>
                <w14:ligatures w14:val="none"/>
              </w:rPr>
              <w:t>, Y.</w:t>
            </w:r>
          </w:p>
        </w:tc>
        <w:tc>
          <w:tcPr>
            <w:tcW w:w="1418" w:type="dxa"/>
            <w:hideMark/>
          </w:tcPr>
          <w:p w14:paraId="1EC36676" w14:textId="7097EAA5"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Mega Solar Twitter Discourse in Japan: Engaged Opponents and Silent Proponents</w:t>
            </w:r>
          </w:p>
        </w:tc>
        <w:tc>
          <w:tcPr>
            <w:tcW w:w="585" w:type="dxa"/>
            <w:noWrap/>
            <w:hideMark/>
          </w:tcPr>
          <w:p w14:paraId="493E7D15" w14:textId="12CF05C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{"citationItems":[{"id":"ITEM-1","itemData":{"DOI":"10.1016/j.enpol.2023.113495","ISSN":"03014215","abstract":"Social media is used by many for information gathering and sharing nowadays. Public opinion and risk perception are increasingly being shaped online. These online discourses provide valuable insight into the concerns and expectations of its users. This study analyzed more than 50,000 tweets to identify the attitude, locality, and concerns about large-scale solar photovoltaic, so-called mega solar, projects in Japan. The results show that the Twitter discourse is dominated by mega solar opponents who are especially concerned about the negative environmental impact of the projects, as well as the trustworthiness of politicians, developers, and experts. The concerns are not limited to specific local projects but mega solar is often generally dismissed as a suitable energy source in Japan. Twitter allows opinion leaders to reach a large audience with unvetted and biased negative information about mega solar. The lack of opinions that challenge these pre-existing group beliefs indicates the existence of an echo chamber. The currently silent supporters are advised to embrace social media to balance the one-sided discourse and build trust through transparency and engagement with concerned stakeholders.","author":[{"dropping-particle":"","family":"Doedt","given":"Christian","non-dropping-particle":"","parse-names":false,"suffix":""},{"dropping-particle":"","family":"Maruyama","given":"Yasushi","non-dropping-particle":"","parse-names":false,"suffix":""}],"container-title":"Energy Policy","id":"ITEM-1","issued":{"date-parts":[["2023"]]},"page":"113495","publisher":"Elsevier Ltd","title":"The Mega Solar Twitter discourse in Japan: Engaged Opponents and Silent Proponents","type":"article-journal","volume":"175"},"suppress-author":1,"uris":["http://www.mendeley.com/documents/?uuid=da4abdc5-9208-4dc6-b258-534f1968c0a0"]}],"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D515BA7" w14:textId="47A5DDEB"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Energy Policy</w:t>
            </w:r>
          </w:p>
        </w:tc>
        <w:tc>
          <w:tcPr>
            <w:tcW w:w="2268" w:type="dxa"/>
            <w:hideMark/>
          </w:tcPr>
          <w:p w14:paraId="35360B62" w14:textId="760928E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“Identify the attitude, locality, and concerns about large-scale solar photovoltaic, so-called mega solar, projects in Japan”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755F6FDC" w14:textId="587345A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“The Twitter discourse is dominated by mega solar opponents who are especially concerned about the negative environmental impact of the projects, as well as the trustworthiness of politicians, developers, and experts. The concerns are not limited to specific local projects but mega solar is often generally dismissed as a suitable energy source in Japan. Twitter allows opinion leaders to reach a large audience with unvetted and biased negative information about mega solar. The lack of opinions that challenge these pre-existing group beliefs indicates the existence of an echo chamber. The currently silent supporters are advised to embrace social media to balance the one-sided discourse and build trust through transparency and engagement with concerned stakeholders” (p. 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34051C5B" w14:textId="00D8943B"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27,286 Twitter user; </w:t>
            </w:r>
            <w:r w:rsidRPr="002E6D00">
              <w:rPr>
                <w:rFonts w:ascii="Times New Roman" w:eastAsia="Times New Roman" w:hAnsi="Times New Roman" w:cs="Times New Roman"/>
                <w:color w:val="000000" w:themeColor="text1"/>
                <w:sz w:val="16"/>
                <w:szCs w:val="16"/>
                <w:lang w:val="en-US"/>
              </w:rPr>
              <w:t>58,533</w:t>
            </w:r>
          </w:p>
          <w:p w14:paraId="3CA96E9C" w14:textId="0C302AE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Tweets</w:t>
            </w:r>
          </w:p>
        </w:tc>
        <w:tc>
          <w:tcPr>
            <w:tcW w:w="1276" w:type="dxa"/>
          </w:tcPr>
          <w:p w14:paraId="0AD8B404" w14:textId="439D9D0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Social network analysis, manual content analysis</w:t>
            </w:r>
          </w:p>
        </w:tc>
        <w:tc>
          <w:tcPr>
            <w:tcW w:w="995" w:type="dxa"/>
            <w:hideMark/>
          </w:tcPr>
          <w:p w14:paraId="606128B6" w14:textId="3511E70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F711FA" w14:paraId="0785DB29" w14:textId="77777777" w:rsidTr="45483B6E">
        <w:trPr>
          <w:trHeight w:val="410"/>
          <w:jc w:val="center"/>
        </w:trPr>
        <w:tc>
          <w:tcPr>
            <w:tcW w:w="1129" w:type="dxa"/>
            <w:noWrap/>
            <w:hideMark/>
          </w:tcPr>
          <w:p w14:paraId="2C1834B6" w14:textId="647687F3" w:rsidR="003A2397" w:rsidRPr="002E6D00" w:rsidRDefault="003A2397" w:rsidP="00071683">
            <w:pPr>
              <w:rPr>
                <w:rFonts w:ascii="Times New Roman" w:eastAsia="Times New Roman" w:hAnsi="Times New Roman" w:cs="Times New Roman"/>
                <w:kern w:val="0"/>
                <w:sz w:val="16"/>
                <w:szCs w:val="16"/>
                <w14:ligatures w14:val="none"/>
              </w:rPr>
            </w:pPr>
            <w:r>
              <w:rPr>
                <w:rFonts w:ascii="Times New Roman" w:eastAsia="Times New Roman" w:hAnsi="Times New Roman" w:cs="Times New Roman"/>
                <w:kern w:val="0"/>
                <w:sz w:val="16"/>
                <w:szCs w:val="16"/>
                <w14:ligatures w14:val="none"/>
              </w:rPr>
              <w:t>Srinivasan, R., Jha, A.K., &amp; Verma, N.K.</w:t>
            </w:r>
          </w:p>
        </w:tc>
        <w:tc>
          <w:tcPr>
            <w:tcW w:w="1418" w:type="dxa"/>
            <w:hideMark/>
          </w:tcPr>
          <w:p w14:paraId="37AAFE1D" w14:textId="4F57AB7E"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To Talk or </w:t>
            </w:r>
            <w:r>
              <w:rPr>
                <w:rFonts w:ascii="Times New Roman" w:eastAsia="Times New Roman" w:hAnsi="Times New Roman" w:cs="Times New Roman"/>
                <w:color w:val="000000" w:themeColor="text1"/>
                <w:kern w:val="0"/>
                <w:sz w:val="16"/>
                <w:szCs w:val="16"/>
                <w:lang w:val="en-US"/>
                <w14:ligatures w14:val="none"/>
              </w:rPr>
              <w:t>n</w:t>
            </w:r>
            <w:r w:rsidRPr="002E6D00">
              <w:rPr>
                <w:rFonts w:ascii="Times New Roman" w:eastAsia="Times New Roman" w:hAnsi="Times New Roman" w:cs="Times New Roman"/>
                <w:color w:val="000000" w:themeColor="text1"/>
                <w:kern w:val="0"/>
                <w:sz w:val="16"/>
                <w:szCs w:val="16"/>
                <w:lang w:val="en-US"/>
                <w14:ligatures w14:val="none"/>
              </w:rPr>
              <w:t>ot?: An Analysis of Firm‐Initiated Social Media Communication</w:t>
            </w:r>
            <w:r>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s Impact on Firm Value Preservation During a Massive Disruption Across Multiple Firms and Industries</w:t>
            </w:r>
          </w:p>
        </w:tc>
        <w:tc>
          <w:tcPr>
            <w:tcW w:w="585" w:type="dxa"/>
            <w:noWrap/>
            <w:hideMark/>
          </w:tcPr>
          <w:p w14:paraId="35E369C4" w14:textId="03ED0F61"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{"citationItems":[{"id":"ITEM-1","itemData":{"DOI":"10.1111/deci.12563","ISSN":"15405915","abstract":"We examine the role of firm-initiated social media communication using Twitter in mitigating the negative impact of large-scale disruptions, such as the Covid-19 pandemic, on the shareholder value of firms. We develop our hypotheses using signaling theory and test them using data collected from Twitter and Bloomberg®. Our data set consists of 121,988 firm-generated tweets from 467 S&amp;P 500 firms collected in March 2020 at the time of the lockdown announcement in the United States. We find that frequent and relevant communication reduces latency and increases the observability of messages, preserving a firm's shareholder value. We also find that a positive outlook and extent of interest from stakeholders results in preserving shareholder value. On average, firms lost about 1.08% of their market value per day (about 9.72% during the 9-day period around the lockdown announcement). Our study contributes to the extant literature in three ways: (1) adds to the literature on disruptions–shareholder value by considering large-scale disruptions such as the Covid-19 pandemic, (2) highlights informational and communication elements of risk management strategy, and (3) adds to the growing body of literature on Twitter by considering firm-generated tweets. The results of our study are of importance to managers as well. For instance, firms tweeted about 57 times per week, and each additional tweet could preserve about $5.85 million of a firm's market valuation, on average. Also, it is not enough that the firms took appropriate actions during a large-scale disruption; they also need to communicate their actions and its implications to their stakeholders effectively. These results can help managers devise their Twitter communication strategy during large-scale disruptions.","author":[{"dropping-particle":"","family":"Srinivasan","given":"Ravi","non-dropping-particle":"","parse-names":false,"suffix":""},{"dropping-particle":"","family":"Jha","given":"Ashish Kumar","non-dropping-particle":"","parse-names":false,"suffix":""},{"dropping-particle":"","family":"Verma","given":"Nishant Kumar","non-dropping-particle":"","parse-names":false,"suffix":""}],"container-title":"Decision Sciences","id":"ITEM-1","issue":"4","issued":{"date-parts":[["2023"]]},"page":"410-431","title":"To Talk or Not?: An Analysis of Firm-Initiated Social Media Communication's Impact on Firm Value Preservation during a Massive Disruption across Multiple Firms and Industries","type":"article-journal","volume":"54"},"suppress-author":1,"uris":["http://www.mendeley.com/documents/?uuid=f8952016-4e6f-44d5-bd7e-4474791ab0e2"]}],"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705D45C3" w14:textId="37C7CC08"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Decision Sciences</w:t>
            </w:r>
          </w:p>
        </w:tc>
        <w:tc>
          <w:tcPr>
            <w:tcW w:w="2268" w:type="dxa"/>
            <w:hideMark/>
          </w:tcPr>
          <w:p w14:paraId="454A4792" w14:textId="2A9BF79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“Examine the role of firm-initiated social media communication using Twitter in mitigating the negative impact of large-scale disruptions, such as the Covid-19 pandemic, on the shareholder value of firms” (p. 410)</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4DA87E16" w14:textId="3C7689B1"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“Frequent and relevant communication reduces latency and increases the observability of messages, preserving a firm’s shareholder value; a positive outlook and extent of interest from stakeholders results in preserving shareholder value. On average, firms lost about 1.08% of their market value per day (about 9.72% during the 9-day period around the lockdown announcement)” (p. 410)</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3540C2E8" w14:textId="157FC29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467 companies; </w:t>
            </w:r>
            <w:r w:rsidRPr="002E6D00">
              <w:rPr>
                <w:rFonts w:ascii="Times New Roman" w:eastAsia="Times New Roman" w:hAnsi="Times New Roman" w:cs="Times New Roman"/>
                <w:color w:val="000000" w:themeColor="text1"/>
                <w:sz w:val="16"/>
                <w:szCs w:val="16"/>
                <w:lang w:val="en-US"/>
              </w:rPr>
              <w:t>121,988 Tweets</w:t>
            </w:r>
          </w:p>
        </w:tc>
        <w:tc>
          <w:tcPr>
            <w:tcW w:w="1276" w:type="dxa"/>
          </w:tcPr>
          <w:p w14:paraId="1E8BE510" w14:textId="7385E717"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Event study method, regression analysis</w:t>
            </w:r>
          </w:p>
        </w:tc>
        <w:tc>
          <w:tcPr>
            <w:tcW w:w="995" w:type="dxa"/>
            <w:hideMark/>
          </w:tcPr>
          <w:p w14:paraId="3B13F409" w14:textId="0EE91308"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2E6D00" w14:paraId="734E608E" w14:textId="77777777" w:rsidTr="45483B6E">
        <w:trPr>
          <w:trHeight w:val="510"/>
          <w:jc w:val="center"/>
        </w:trPr>
        <w:tc>
          <w:tcPr>
            <w:tcW w:w="1129" w:type="dxa"/>
            <w:noWrap/>
            <w:hideMark/>
          </w:tcPr>
          <w:p w14:paraId="353557DC" w14:textId="7754E96D"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Ganesh</w:t>
            </w:r>
            <w:r>
              <w:rPr>
                <w:rFonts w:ascii="Times New Roman" w:eastAsia="Times New Roman" w:hAnsi="Times New Roman" w:cs="Times New Roman"/>
                <w:kern w:val="0"/>
                <w:sz w:val="16"/>
                <w:szCs w:val="16"/>
                <w:lang w:val="en-US"/>
                <w14:ligatures w14:val="none"/>
              </w:rPr>
              <w:t>, A.</w:t>
            </w:r>
            <w:r w:rsidRPr="002E6D00">
              <w:rPr>
                <w:rFonts w:ascii="Times New Roman" w:eastAsia="Times New Roman" w:hAnsi="Times New Roman" w:cs="Times New Roman"/>
                <w:kern w:val="0"/>
                <w:sz w:val="16"/>
                <w:szCs w:val="16"/>
                <w:lang w:val="en-US"/>
                <w14:ligatures w14:val="none"/>
              </w:rPr>
              <w:t xml:space="preserve"> &amp; Iyer</w:t>
            </w:r>
            <w:r>
              <w:rPr>
                <w:rFonts w:ascii="Times New Roman" w:eastAsia="Times New Roman" w:hAnsi="Times New Roman" w:cs="Times New Roman"/>
                <w:kern w:val="0"/>
                <w:sz w:val="16"/>
                <w:szCs w:val="16"/>
                <w:lang w:val="en-US"/>
                <w14:ligatures w14:val="none"/>
              </w:rPr>
              <w:t>, S.</w:t>
            </w:r>
          </w:p>
        </w:tc>
        <w:tc>
          <w:tcPr>
            <w:tcW w:w="1418" w:type="dxa"/>
            <w:hideMark/>
          </w:tcPr>
          <w:p w14:paraId="5A7873F4" w14:textId="54A7B9E6"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Impact of Firm-Initiated Tweets on Stock Return and Trading Volume</w:t>
            </w:r>
          </w:p>
        </w:tc>
        <w:tc>
          <w:tcPr>
            <w:tcW w:w="585" w:type="dxa"/>
            <w:noWrap/>
            <w:hideMark/>
          </w:tcPr>
          <w:p w14:paraId="5A053A18" w14:textId="2CB2D181"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{"citationItems":[{"id":"ITEM-1","itemData":{"DOI":"10.1080/15427560.2021.1949717","ISSN":"15427579","abstract":"Recent SEC guidelines enabled many Fortune 500 companies to actively adopt social media, such as Twitter, to disseminate information. In this paper, we analyze the relationship between tweets by corporations and stock returns. Our study used over 1.2 million corporate tweets made by thirty companies in the Dow Jones Industrial Average between April 2013 and July 2020. The shocks from the frequency of corporate tweets can positively impact stock returns and trading volume. We, therefore, examine causality and impulse response between frequency of corporate tweets, stock returns, and changes in trading volume using a vector autoregression model. Our findings indicate that 43 percent of stocks exhibit Granger causality between firm-initiated tweets and changes in trading volume. We find evidence consistent with the attention-induced price pressure hypothesis proposed by Barber and Odean. We observe that a shock in corporate tweeting behavior translates into a positive effect on changes in trading volume and returns in 73 percent and 60 percent of stocks, respectively. These results are significant for developing appropriate social media communication strategies. The findings are also valuable for investors and traders who can deploy forecasting models utilizing corporate tweets to earn superior returns.","author":[{"dropping-particle":"","family":"Ganesh","given":"Aditya","non-dropping-particle":"","parse-names":false,"suffix":""},{"dropping-particle":"","family":"Iyer","given":"Subramanian","non-dropping-particle":"","parse-names":false,"suffix":""}],"container-title":"Journal of Behavioral Finance","id":"ITEM-1","issue":"2","issued":{"date-parts":[["2023"]]},"page":"171-182","publisher":"Routledge","title":"Impact of Firm-Initiated Tweets on Stock Return and Trading Volume","type":"article-journal","volume":"24"},"suppress-author":1,"uris":["http://www.mendeley.com/documents/?uuid=50e576ad-2fba-44b6-87da-919f08eafe0c"]}],"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15929E7C" w14:textId="19B271E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Journal of Behavioral Finance</w:t>
            </w:r>
          </w:p>
        </w:tc>
        <w:tc>
          <w:tcPr>
            <w:tcW w:w="2268" w:type="dxa"/>
            <w:hideMark/>
          </w:tcPr>
          <w:p w14:paraId="34D6C6E0" w14:textId="6DC94D3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“Analyze the relationship between tweets by corporations and stock returns” (p. 1)</w:t>
            </w:r>
            <w:r>
              <w:rPr>
                <w:rFonts w:ascii="Times New Roman" w:eastAsia="Times New Roman" w:hAnsi="Times New Roman" w:cs="Times New Roman"/>
                <w:color w:val="000000" w:themeColor="text1"/>
                <w:kern w:val="0"/>
                <w:sz w:val="16"/>
                <w:szCs w:val="16"/>
                <w:lang w:val="en-US"/>
                <w14:ligatures w14:val="none"/>
              </w:rPr>
              <w:t>.</w:t>
            </w:r>
          </w:p>
        </w:tc>
        <w:tc>
          <w:tcPr>
            <w:tcW w:w="2693" w:type="dxa"/>
            <w:hideMark/>
          </w:tcPr>
          <w:p w14:paraId="2E985252" w14:textId="5EA31E33"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“43 percent of stocks exhibit Granger causality between firm-initiated tweets and changes in trading volume. We find evidence consistent with the attention-induced price pressure hypothesis proposed by Barber and Odean. We observe that a shock in corporate tweeting behavior translates into a positive effect on changes in trading volume and returns in 73 percent and 60 percent of stocks, respectively” (p. 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03992936" w14:textId="66487391"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eastAsia="Times New Roman" w:hAnsi="Times New Roman" w:cs="Times New Roman"/>
                <w:color w:val="000000" w:themeColor="text1"/>
                <w:kern w:val="0"/>
                <w:sz w:val="16"/>
                <w:szCs w:val="16"/>
                <w:lang w:val="en-US"/>
                <w14:ligatures w14:val="none"/>
              </w:rPr>
              <w:t xml:space="preserve">30 companies; </w:t>
            </w:r>
            <w:r w:rsidRPr="002E6D00">
              <w:rPr>
                <w:rFonts w:ascii="Times New Roman" w:eastAsia="Times New Roman" w:hAnsi="Times New Roman" w:cs="Times New Roman"/>
                <w:color w:val="000000" w:themeColor="text1"/>
                <w:sz w:val="16"/>
                <w:szCs w:val="16"/>
                <w:lang w:val="en-US"/>
              </w:rPr>
              <w:t>over 1,200,000</w:t>
            </w:r>
          </w:p>
          <w:p w14:paraId="670B261D" w14:textId="50F1DDA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Tweets</w:t>
            </w:r>
          </w:p>
        </w:tc>
        <w:tc>
          <w:tcPr>
            <w:tcW w:w="1276" w:type="dxa"/>
          </w:tcPr>
          <w:p w14:paraId="0BE6222F" w14:textId="3325C334"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Regression analysis</w:t>
            </w:r>
          </w:p>
        </w:tc>
        <w:tc>
          <w:tcPr>
            <w:tcW w:w="995" w:type="dxa"/>
            <w:hideMark/>
          </w:tcPr>
          <w:p w14:paraId="778CE587" w14:textId="1955CEA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Tweets</w:t>
            </w:r>
          </w:p>
        </w:tc>
      </w:tr>
      <w:tr w:rsidR="004B3FDE" w:rsidRPr="00F711FA" w14:paraId="56FF06A4" w14:textId="77777777" w:rsidTr="45483B6E">
        <w:trPr>
          <w:trHeight w:val="1134"/>
          <w:jc w:val="center"/>
        </w:trPr>
        <w:tc>
          <w:tcPr>
            <w:tcW w:w="1129" w:type="dxa"/>
            <w:noWrap/>
            <w:hideMark/>
          </w:tcPr>
          <w:p w14:paraId="20DB12D0" w14:textId="7B1521D1" w:rsidR="003A2397" w:rsidRPr="002E6D00" w:rsidRDefault="003A2397" w:rsidP="00071683">
            <w:pPr>
              <w:rPr>
                <w:rFonts w:ascii="Times New Roman" w:eastAsia="Times New Roman" w:hAnsi="Times New Roman" w:cs="Times New Roman"/>
                <w:kern w:val="0"/>
                <w:sz w:val="16"/>
                <w:szCs w:val="16"/>
                <w:lang w:val="en-US"/>
                <w14:ligatures w14:val="none"/>
              </w:rPr>
            </w:pPr>
            <w:r w:rsidRPr="002E6D00">
              <w:rPr>
                <w:rFonts w:ascii="Times New Roman" w:eastAsia="Times New Roman" w:hAnsi="Times New Roman" w:cs="Times New Roman"/>
                <w:kern w:val="0"/>
                <w:sz w:val="16"/>
                <w:szCs w:val="16"/>
                <w:lang w:val="en-US"/>
                <w14:ligatures w14:val="none"/>
              </w:rPr>
              <w:t xml:space="preserve">Confetto, </w:t>
            </w:r>
            <w:r>
              <w:rPr>
                <w:rFonts w:ascii="Times New Roman" w:eastAsia="Times New Roman" w:hAnsi="Times New Roman" w:cs="Times New Roman"/>
                <w:kern w:val="0"/>
                <w:sz w:val="16"/>
                <w:szCs w:val="16"/>
                <w:lang w:val="en-US"/>
                <w14:ligatures w14:val="none"/>
              </w:rPr>
              <w:t xml:space="preserve">M.G., </w:t>
            </w:r>
            <w:r w:rsidRPr="002E6D00">
              <w:rPr>
                <w:rFonts w:ascii="Times New Roman" w:eastAsia="Times New Roman" w:hAnsi="Times New Roman" w:cs="Times New Roman"/>
                <w:kern w:val="0"/>
                <w:sz w:val="16"/>
                <w:szCs w:val="16"/>
                <w:lang w:val="en-US"/>
                <w14:ligatures w14:val="none"/>
              </w:rPr>
              <w:t>Ključnikov,</w:t>
            </w:r>
            <w:r>
              <w:rPr>
                <w:rFonts w:ascii="Times New Roman" w:eastAsia="Times New Roman" w:hAnsi="Times New Roman" w:cs="Times New Roman"/>
                <w:kern w:val="0"/>
                <w:sz w:val="16"/>
                <w:szCs w:val="16"/>
                <w:lang w:val="en-US"/>
                <w14:ligatures w14:val="none"/>
              </w:rPr>
              <w:t xml:space="preserve"> A.,</w:t>
            </w:r>
            <w:r w:rsidRPr="002E6D00">
              <w:rPr>
                <w:rFonts w:ascii="Times New Roman" w:eastAsia="Times New Roman" w:hAnsi="Times New Roman" w:cs="Times New Roman"/>
                <w:kern w:val="0"/>
                <w:sz w:val="16"/>
                <w:szCs w:val="16"/>
                <w:lang w:val="en-US"/>
                <w14:ligatures w14:val="none"/>
              </w:rPr>
              <w:t xml:space="preserve"> Covucc</w:t>
            </w:r>
            <w:r>
              <w:rPr>
                <w:rFonts w:ascii="Times New Roman" w:eastAsia="Times New Roman" w:hAnsi="Times New Roman" w:cs="Times New Roman"/>
                <w:kern w:val="0"/>
                <w:sz w:val="16"/>
                <w:szCs w:val="16"/>
                <w:lang w:val="en-US"/>
                <w14:ligatures w14:val="none"/>
              </w:rPr>
              <w:t xml:space="preserve">i, C., </w:t>
            </w:r>
            <w:r w:rsidRPr="002E6D00">
              <w:rPr>
                <w:rFonts w:ascii="Times New Roman" w:eastAsia="Times New Roman" w:hAnsi="Times New Roman" w:cs="Times New Roman"/>
                <w:kern w:val="0"/>
                <w:sz w:val="16"/>
                <w:szCs w:val="16"/>
                <w:lang w:val="en-US"/>
                <w14:ligatures w14:val="none"/>
              </w:rPr>
              <w:t>&amp; Normando</w:t>
            </w:r>
            <w:r>
              <w:rPr>
                <w:rFonts w:ascii="Times New Roman" w:eastAsia="Times New Roman" w:hAnsi="Times New Roman" w:cs="Times New Roman"/>
                <w:kern w:val="0"/>
                <w:sz w:val="16"/>
                <w:szCs w:val="16"/>
                <w:lang w:val="en-US"/>
                <w14:ligatures w14:val="none"/>
              </w:rPr>
              <w:t>, M.</w:t>
            </w:r>
          </w:p>
        </w:tc>
        <w:tc>
          <w:tcPr>
            <w:tcW w:w="1418" w:type="dxa"/>
            <w:hideMark/>
          </w:tcPr>
          <w:p w14:paraId="0F6D6658" w14:textId="085955BA"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Diversity and Inclusion in Employer Branding: An Explorative Analysis of European Companies</w:t>
            </w:r>
            <w:r>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Digital Communication</w:t>
            </w:r>
          </w:p>
        </w:tc>
        <w:tc>
          <w:tcPr>
            <w:tcW w:w="585" w:type="dxa"/>
            <w:noWrap/>
            <w:hideMark/>
          </w:tcPr>
          <w:p w14:paraId="72FBFAF5" w14:textId="1A99072D"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fldChar w:fldCharType="begin" w:fldLock="1"/>
            </w:r>
            <w:r w:rsidR="00F907E8">
              <w:rPr>
                <w:rFonts w:ascii="Times New Roman" w:eastAsia="Times New Roman" w:hAnsi="Times New Roman" w:cs="Times New Roman"/>
                <w:i/>
                <w:iCs/>
                <w:color w:val="000000" w:themeColor="text1"/>
                <w:kern w:val="0"/>
                <w:sz w:val="16"/>
                <w:szCs w:val="16"/>
                <w:lang w:val="en-US"/>
                <w14:ligatures w14:val="none"/>
              </w:rPr>
              <w:instrText>ADDIN CSL_CITATION {"citationItems":[{"id":"ITEM-1","itemData":{"DOI":"10.1108/ER-11-2022-0522","ISSN":"01425455","abstract":"Purpose: The study aims to investigate the usage of diversity and inclusion (D&amp;I) signals in communications for employer branding through digital channels made by European companies. Design/methodology/approach: A quali-quantitative content analysis approach was employed to detect the usage of D&amp;I signals of the top 43 European companies ranked in the 2021 Refinitiv Diversity and Inclusion index. These signals were organized according to Plummer's Big 8 diversity's dimensions. A correlation analysis was conducted to verify a relationship between D&amp;I initiatives and digital communication for employer branding on corporate websites and LinkedIn. Descriptive statistics were used to analyze the D&amp;I dimensions' pervasiveness in digital communications and relevance on LinkedIn. Findings: The results show that the correlation exists only between D&amp;I initiatives and communication on the corporate website, while LinkedIn is still underused in this field. The most pervasive and relevant D&amp;I dimensions for European companies are “Gender” and “Sexual Orientation”. Originality/value: This paper enriches employer branding research by providing original insights into the use of D&amp;I dimensions in digital communications.","author":[{"dropping-particle":"","family":"Confetto","given":"Maria Giovanna","non-dropping-particle":"","parse-names":false,"suffix":""},{"dropping-particle":"","family":"Ključnikov","given":"Aleksandr","non-dropping-particle":"","parse-names":false,"suffix":""},{"dropping-particle":"","family":"Covucci","given":"Claudia","non-dropping-particle":"","parse-names":false,"suffix":""},{"dropping-particle":"","family":"Normando","given":"Mara","non-dropping-particle":"","parse-names":false,"suffix":""}],"container-title":"Employee Relations","id":"ITEM-1","issue":"7","issued":{"date-parts":[["2023"]]},"page":"121-139","title":"Diversity and Inclusion in Employer Branding: An Explorative Analysis of European Companies' Digital Communication","type":"article-journal","volume":"45"},"suppress-author":1,"uris":["http://www.mendeley.com/documents/?uuid=df33f144-7882-478f-8585-ccff8549eb24"]}],"mendeley":{"formattedCitation":"(2023)","manualFormatting":"2023","plainTextFormattedCitation":"(2023)","previouslyFormattedCitation":"(2023)"},"properties":{"noteIndex":0},"schema":"https://github.com/citation-style-language/schema/raw/master/csl-citation.json"}</w:instrText>
            </w:r>
            <w:r w:rsidRPr="004B3FDE">
              <w:rPr>
                <w:rFonts w:ascii="Times New Roman" w:eastAsia="Times New Roman" w:hAnsi="Times New Roman" w:cs="Times New Roman"/>
                <w:i/>
                <w:iCs/>
                <w:color w:val="000000" w:themeColor="text1"/>
                <w:kern w:val="0"/>
                <w:sz w:val="16"/>
                <w:szCs w:val="16"/>
                <w:lang w:val="en-US"/>
                <w14:ligatures w14:val="none"/>
              </w:rPr>
              <w:fldChar w:fldCharType="separate"/>
            </w:r>
            <w:r w:rsidRPr="004B3FDE">
              <w:rPr>
                <w:rFonts w:ascii="Times New Roman" w:eastAsia="Times New Roman" w:hAnsi="Times New Roman" w:cs="Times New Roman"/>
                <w:i/>
                <w:iCs/>
                <w:noProof/>
                <w:color w:val="000000" w:themeColor="text1"/>
                <w:kern w:val="0"/>
                <w:sz w:val="16"/>
                <w:szCs w:val="16"/>
                <w:lang w:val="en-US"/>
                <w14:ligatures w14:val="none"/>
              </w:rPr>
              <w:t>2023</w:t>
            </w:r>
            <w:r w:rsidRPr="004B3FDE">
              <w:rPr>
                <w:rFonts w:ascii="Times New Roman" w:eastAsia="Times New Roman" w:hAnsi="Times New Roman" w:cs="Times New Roman"/>
                <w:i/>
                <w:iCs/>
                <w:color w:val="000000" w:themeColor="text1"/>
                <w:kern w:val="0"/>
                <w:sz w:val="16"/>
                <w:szCs w:val="16"/>
                <w:lang w:val="en-US"/>
                <w14:ligatures w14:val="none"/>
              </w:rPr>
              <w:fldChar w:fldCharType="end"/>
            </w:r>
          </w:p>
        </w:tc>
        <w:tc>
          <w:tcPr>
            <w:tcW w:w="1116" w:type="dxa"/>
            <w:noWrap/>
            <w:hideMark/>
          </w:tcPr>
          <w:p w14:paraId="47D783A9" w14:textId="3118F7F6" w:rsidR="003A2397" w:rsidRPr="004B3FDE" w:rsidRDefault="003A2397" w:rsidP="00071683">
            <w:pPr>
              <w:rPr>
                <w:rFonts w:ascii="Times New Roman" w:eastAsia="Times New Roman" w:hAnsi="Times New Roman" w:cs="Times New Roman"/>
                <w:i/>
                <w:iCs/>
                <w:color w:val="000000" w:themeColor="text1"/>
                <w:kern w:val="0"/>
                <w:sz w:val="16"/>
                <w:szCs w:val="16"/>
                <w:lang w:val="en-US"/>
                <w14:ligatures w14:val="none"/>
              </w:rPr>
            </w:pPr>
            <w:r w:rsidRPr="004B3FDE">
              <w:rPr>
                <w:rFonts w:ascii="Times New Roman" w:eastAsia="Times New Roman" w:hAnsi="Times New Roman" w:cs="Times New Roman"/>
                <w:i/>
                <w:iCs/>
                <w:color w:val="000000" w:themeColor="text1"/>
                <w:kern w:val="0"/>
                <w:sz w:val="16"/>
                <w:szCs w:val="16"/>
                <w:lang w:val="en-US"/>
                <w14:ligatures w14:val="none"/>
              </w:rPr>
              <w:t>Employee Relations</w:t>
            </w:r>
          </w:p>
        </w:tc>
        <w:tc>
          <w:tcPr>
            <w:tcW w:w="2268" w:type="dxa"/>
            <w:hideMark/>
          </w:tcPr>
          <w:p w14:paraId="31E2D192" w14:textId="1040A7ED" w:rsidR="003A2397" w:rsidRPr="002E6D00" w:rsidRDefault="003A2397" w:rsidP="00071683">
            <w:pPr>
              <w:rPr>
                <w:rFonts w:ascii="Times New Roman" w:hAnsi="Times New Roman" w:cs="Times New Roman"/>
                <w:sz w:val="16"/>
                <w:szCs w:val="16"/>
                <w:lang w:val="en-US"/>
              </w:rPr>
            </w:pPr>
            <w:r>
              <w:rPr>
                <w:rFonts w:ascii="Times New Roman" w:eastAsia="Times New Roman" w:hAnsi="Times New Roman" w:cs="Times New Roman"/>
                <w:color w:val="000000" w:themeColor="text1"/>
                <w:kern w:val="0"/>
                <w:sz w:val="16"/>
                <w:szCs w:val="16"/>
                <w:lang w:val="en-US"/>
                <w14:ligatures w14:val="none"/>
              </w:rPr>
              <w:t>“I</w:t>
            </w:r>
            <w:r w:rsidRPr="002E6D00">
              <w:rPr>
                <w:rFonts w:ascii="Times New Roman" w:eastAsia="Times New Roman" w:hAnsi="Times New Roman" w:cs="Times New Roman"/>
                <w:sz w:val="16"/>
                <w:szCs w:val="16"/>
                <w:lang w:val="en-US"/>
              </w:rPr>
              <w:t>nvestigate the usage of diversity and inclusion (D&amp;I) signals in communications for employer branding through digital channels made by European companies” (p. 121)</w:t>
            </w:r>
            <w:r>
              <w:rPr>
                <w:rFonts w:ascii="Times New Roman" w:eastAsia="Times New Roman" w:hAnsi="Times New Roman" w:cs="Times New Roman"/>
                <w:sz w:val="16"/>
                <w:szCs w:val="16"/>
                <w:lang w:val="en-US"/>
              </w:rPr>
              <w:t>.</w:t>
            </w:r>
          </w:p>
        </w:tc>
        <w:tc>
          <w:tcPr>
            <w:tcW w:w="2693" w:type="dxa"/>
            <w:hideMark/>
          </w:tcPr>
          <w:p w14:paraId="658EAC72" w14:textId="6073E1BD"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 xml:space="preserve">“The correlation exists only between D&amp;I initiatives and communication on the corporate website, while LinkedIn is still underused in this field. The most pervasive and relevant D&amp;I dimensions for European companies are </w:t>
            </w:r>
            <w:r>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Gender</w:t>
            </w:r>
            <w:r>
              <w:rPr>
                <w:rFonts w:ascii="Times New Roman" w:eastAsia="Times New Roman" w:hAnsi="Times New Roman" w:cs="Times New Roman"/>
                <w:color w:val="000000" w:themeColor="text1"/>
                <w:kern w:val="0"/>
                <w:sz w:val="16"/>
                <w:szCs w:val="16"/>
                <w:lang w:val="en-US"/>
                <w14:ligatures w14:val="none"/>
              </w:rPr>
              <w:t>’</w:t>
            </w:r>
            <w:r w:rsidRPr="002E6D00">
              <w:rPr>
                <w:rFonts w:ascii="Times New Roman" w:eastAsia="Times New Roman" w:hAnsi="Times New Roman" w:cs="Times New Roman"/>
                <w:color w:val="000000" w:themeColor="text1"/>
                <w:kern w:val="0"/>
                <w:sz w:val="16"/>
                <w:szCs w:val="16"/>
                <w:lang w:val="en-US"/>
                <w14:ligatures w14:val="none"/>
              </w:rPr>
              <w:t xml:space="preserve"> and 'Sexual Orientation'” (p. 121)</w:t>
            </w:r>
            <w:r>
              <w:rPr>
                <w:rFonts w:ascii="Times New Roman" w:eastAsia="Times New Roman" w:hAnsi="Times New Roman" w:cs="Times New Roman"/>
                <w:color w:val="000000" w:themeColor="text1"/>
                <w:kern w:val="0"/>
                <w:sz w:val="16"/>
                <w:szCs w:val="16"/>
                <w:lang w:val="en-US"/>
                <w14:ligatures w14:val="none"/>
              </w:rPr>
              <w:t>.</w:t>
            </w:r>
          </w:p>
        </w:tc>
        <w:tc>
          <w:tcPr>
            <w:tcW w:w="1276" w:type="dxa"/>
            <w:hideMark/>
          </w:tcPr>
          <w:p w14:paraId="516DB4DD" w14:textId="38CC0FB8" w:rsidR="003A2397" w:rsidRPr="002E6D00" w:rsidRDefault="003A2397" w:rsidP="00071683">
            <w:pPr>
              <w:rPr>
                <w:rFonts w:ascii="Times New Roman" w:eastAsia="Times New Roman" w:hAnsi="Times New Roman" w:cs="Times New Roman"/>
                <w:color w:val="000000" w:themeColor="text1"/>
                <w:sz w:val="16"/>
                <w:szCs w:val="16"/>
                <w:lang w:val="en-US"/>
              </w:rPr>
            </w:pPr>
            <w:r w:rsidRPr="002E6D00">
              <w:rPr>
                <w:rFonts w:ascii="Times New Roman" w:hAnsi="Times New Roman" w:cs="Times New Roman"/>
                <w:color w:val="000000" w:themeColor="text1"/>
                <w:sz w:val="16"/>
                <w:szCs w:val="16"/>
                <w:lang w:val="en-US"/>
              </w:rPr>
              <w:t>43 European companies; max. 1,000</w:t>
            </w:r>
            <w:r w:rsidRPr="002E6D00">
              <w:rPr>
                <w:rFonts w:ascii="Times New Roman" w:eastAsia="Times New Roman" w:hAnsi="Times New Roman" w:cs="Times New Roman"/>
                <w:color w:val="000000" w:themeColor="text1"/>
                <w:sz w:val="16"/>
                <w:szCs w:val="16"/>
                <w:lang w:val="en-US"/>
              </w:rPr>
              <w:t xml:space="preserve"> LinkedIn posts per company</w:t>
            </w:r>
            <w:r w:rsidRPr="002E6D00">
              <w:rPr>
                <w:rFonts w:ascii="Times New Roman" w:hAnsi="Times New Roman" w:cs="Times New Roman"/>
                <w:color w:val="000000" w:themeColor="text1"/>
                <w:sz w:val="16"/>
                <w:szCs w:val="16"/>
                <w:lang w:val="en-US"/>
              </w:rPr>
              <w:t xml:space="preserve"> </w:t>
            </w:r>
          </w:p>
        </w:tc>
        <w:tc>
          <w:tcPr>
            <w:tcW w:w="1276" w:type="dxa"/>
          </w:tcPr>
          <w:p w14:paraId="097259BB" w14:textId="7674AD22"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sz w:val="16"/>
                <w:szCs w:val="16"/>
                <w:lang w:val="en-US"/>
              </w:rPr>
              <w:t>Descriptive analysis, correlation analysis</w:t>
            </w:r>
          </w:p>
        </w:tc>
        <w:tc>
          <w:tcPr>
            <w:tcW w:w="995" w:type="dxa"/>
            <w:hideMark/>
          </w:tcPr>
          <w:p w14:paraId="22028D9A" w14:textId="633F2B70" w:rsidR="003A2397" w:rsidRPr="002E6D00" w:rsidRDefault="003A2397" w:rsidP="00071683">
            <w:pPr>
              <w:rPr>
                <w:rFonts w:ascii="Times New Roman" w:eastAsia="Times New Roman" w:hAnsi="Times New Roman" w:cs="Times New Roman"/>
                <w:color w:val="000000" w:themeColor="text1"/>
                <w:kern w:val="0"/>
                <w:sz w:val="16"/>
                <w:szCs w:val="16"/>
                <w:lang w:val="en-US"/>
                <w14:ligatures w14:val="none"/>
              </w:rPr>
            </w:pPr>
            <w:r w:rsidRPr="002E6D00">
              <w:rPr>
                <w:rFonts w:ascii="Times New Roman" w:eastAsia="Times New Roman" w:hAnsi="Times New Roman" w:cs="Times New Roman"/>
                <w:color w:val="000000" w:themeColor="text1"/>
                <w:kern w:val="0"/>
                <w:sz w:val="16"/>
                <w:szCs w:val="16"/>
                <w:lang w:val="en-US"/>
                <w14:ligatures w14:val="none"/>
              </w:rPr>
              <w:t>Non-financial reports, website content and LinkedIn posts</w:t>
            </w:r>
          </w:p>
        </w:tc>
      </w:tr>
    </w:tbl>
    <w:p w14:paraId="2A8E4A8D" w14:textId="21D4C961" w:rsidR="005C2B8C" w:rsidRDefault="005C2B8C" w:rsidP="005C2B8C">
      <w:pPr>
        <w:tabs>
          <w:tab w:val="left" w:pos="12171"/>
        </w:tabs>
        <w:rPr>
          <w:rFonts w:ascii="Times New Roman" w:hAnsi="Times New Roman" w:cs="Times New Roman"/>
          <w:sz w:val="18"/>
          <w:szCs w:val="18"/>
          <w:lang w:val="en-US"/>
        </w:rPr>
        <w:sectPr w:rsidR="005C2B8C" w:rsidSect="00CA75FC">
          <w:pgSz w:w="16817" w:h="11901" w:orient="landscape"/>
          <w:pgMar w:top="1418" w:right="1236" w:bottom="1418" w:left="1418" w:header="709" w:footer="709" w:gutter="0"/>
          <w:cols w:space="708"/>
          <w:docGrid w:linePitch="360"/>
        </w:sectPr>
      </w:pPr>
    </w:p>
    <w:p w14:paraId="1D9BB03C" w14:textId="6A905D39" w:rsidR="005C2B8C" w:rsidRPr="005C2B8C" w:rsidRDefault="005C2B8C" w:rsidP="005C2B8C">
      <w:pPr>
        <w:tabs>
          <w:tab w:val="left" w:pos="12171"/>
        </w:tabs>
        <w:rPr>
          <w:rFonts w:ascii="Times New Roman" w:hAnsi="Times New Roman" w:cs="Times New Roman"/>
          <w:b/>
          <w:bCs/>
          <w:lang w:val="en-US"/>
        </w:rPr>
      </w:pPr>
      <w:r w:rsidRPr="005C2B8C">
        <w:rPr>
          <w:rFonts w:ascii="Times New Roman" w:hAnsi="Times New Roman" w:cs="Times New Roman"/>
          <w:b/>
          <w:bCs/>
          <w:lang w:val="en-US"/>
        </w:rPr>
        <w:t>References</w:t>
      </w:r>
    </w:p>
    <w:p w14:paraId="4162EC4B" w14:textId="4B1DFC55" w:rsidR="00F907E8" w:rsidRPr="00411178" w:rsidRDefault="005C2B8C"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Pr>
          <w:rFonts w:ascii="Times New Roman" w:hAnsi="Times New Roman" w:cs="Times New Roman"/>
          <w:sz w:val="18"/>
          <w:szCs w:val="18"/>
          <w:lang w:val="en-US"/>
        </w:rPr>
        <w:fldChar w:fldCharType="begin" w:fldLock="1"/>
      </w:r>
      <w:r>
        <w:rPr>
          <w:rFonts w:ascii="Times New Roman" w:hAnsi="Times New Roman" w:cs="Times New Roman"/>
          <w:sz w:val="18"/>
          <w:szCs w:val="18"/>
          <w:lang w:val="en-US"/>
        </w:rPr>
        <w:instrText xml:space="preserve">ADDIN Mendeley Bibliography CSL_BIBLIOGRAPHY </w:instrText>
      </w:r>
      <w:r>
        <w:rPr>
          <w:rFonts w:ascii="Times New Roman" w:hAnsi="Times New Roman" w:cs="Times New Roman"/>
          <w:sz w:val="18"/>
          <w:szCs w:val="18"/>
          <w:lang w:val="en-US"/>
        </w:rPr>
        <w:fldChar w:fldCharType="separate"/>
      </w:r>
      <w:r w:rsidR="00F907E8" w:rsidRPr="00411178">
        <w:rPr>
          <w:rFonts w:ascii="Times New Roman" w:hAnsi="Times New Roman" w:cs="Times New Roman"/>
          <w:noProof/>
          <w:kern w:val="0"/>
          <w:sz w:val="18"/>
          <w:lang w:val="en-US"/>
        </w:rPr>
        <w:t xml:space="preserve">Al-Garadi, M. A., Varathan, K. D., &amp; Ravana, S. D. (2016). Cybercrime Detection in Online Communications: The Experimental Case of Cyberbullying Detection in the Twitter Network. </w:t>
      </w:r>
      <w:r w:rsidR="00F907E8" w:rsidRPr="00411178">
        <w:rPr>
          <w:rFonts w:ascii="Times New Roman" w:hAnsi="Times New Roman" w:cs="Times New Roman"/>
          <w:i/>
          <w:iCs/>
          <w:noProof/>
          <w:kern w:val="0"/>
          <w:sz w:val="18"/>
          <w:lang w:val="en-US"/>
        </w:rPr>
        <w:t>Comput. Human Behav.</w:t>
      </w:r>
      <w:r w:rsidR="00F907E8" w:rsidRPr="00411178">
        <w:rPr>
          <w:rFonts w:ascii="Times New Roman" w:hAnsi="Times New Roman" w:cs="Times New Roman"/>
          <w:noProof/>
          <w:kern w:val="0"/>
          <w:sz w:val="18"/>
          <w:lang w:val="en-US"/>
        </w:rPr>
        <w:t xml:space="preserve">, </w:t>
      </w:r>
      <w:r w:rsidR="00F907E8" w:rsidRPr="00411178">
        <w:rPr>
          <w:rFonts w:ascii="Times New Roman" w:hAnsi="Times New Roman" w:cs="Times New Roman"/>
          <w:i/>
          <w:iCs/>
          <w:noProof/>
          <w:kern w:val="0"/>
          <w:sz w:val="18"/>
          <w:lang w:val="en-US"/>
        </w:rPr>
        <w:t>63</w:t>
      </w:r>
      <w:r w:rsidR="00F907E8" w:rsidRPr="00411178">
        <w:rPr>
          <w:rFonts w:ascii="Times New Roman" w:hAnsi="Times New Roman" w:cs="Times New Roman"/>
          <w:noProof/>
          <w:kern w:val="0"/>
          <w:sz w:val="18"/>
          <w:lang w:val="en-US"/>
        </w:rPr>
        <w:t>, 433–443. https://doi.org/10.1016/j.chb.2016.05.051</w:t>
      </w:r>
    </w:p>
    <w:p w14:paraId="0B0FC2FB"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411178">
        <w:rPr>
          <w:rFonts w:ascii="Times New Roman" w:hAnsi="Times New Roman" w:cs="Times New Roman"/>
          <w:noProof/>
          <w:kern w:val="0"/>
          <w:sz w:val="18"/>
          <w:lang w:val="en-US"/>
        </w:rPr>
        <w:t xml:space="preserve">Aleti, T., Pallant, J. I., Tuan, A., &amp; van Laer, T. (2019). </w:t>
      </w:r>
      <w:r w:rsidRPr="00F711FA">
        <w:rPr>
          <w:rFonts w:ascii="Times New Roman" w:hAnsi="Times New Roman" w:cs="Times New Roman"/>
          <w:noProof/>
          <w:kern w:val="0"/>
          <w:sz w:val="18"/>
          <w:lang w:val="en-US"/>
        </w:rPr>
        <w:t xml:space="preserve">Tweeting with the Stars: Automated Text Analysis of the Effect of Celebrity Social Media Communications on Consumer Word of Mouth. </w:t>
      </w:r>
      <w:r w:rsidRPr="00F907E8">
        <w:rPr>
          <w:rFonts w:ascii="Times New Roman" w:hAnsi="Times New Roman" w:cs="Times New Roman"/>
          <w:i/>
          <w:iCs/>
          <w:noProof/>
          <w:kern w:val="0"/>
          <w:sz w:val="18"/>
        </w:rPr>
        <w:t>J. Interact. Mark.</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48</w:t>
      </w:r>
      <w:r w:rsidRPr="00F907E8">
        <w:rPr>
          <w:rFonts w:ascii="Times New Roman" w:hAnsi="Times New Roman" w:cs="Times New Roman"/>
          <w:noProof/>
          <w:kern w:val="0"/>
          <w:sz w:val="18"/>
        </w:rPr>
        <w:t>(1), 17–32. https://doi.org/10.1016/j.intmar.2019.03.003</w:t>
      </w:r>
    </w:p>
    <w:p w14:paraId="76B7C077"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Alonzo, M., &amp; Aiken, M. (2004). </w:t>
      </w:r>
      <w:r w:rsidRPr="00F711FA">
        <w:rPr>
          <w:rFonts w:ascii="Times New Roman" w:hAnsi="Times New Roman" w:cs="Times New Roman"/>
          <w:noProof/>
          <w:kern w:val="0"/>
          <w:sz w:val="18"/>
          <w:lang w:val="en-US"/>
        </w:rPr>
        <w:t xml:space="preserve">Flaming in Electronic Communication. </w:t>
      </w:r>
      <w:r w:rsidRPr="00F711FA">
        <w:rPr>
          <w:rFonts w:ascii="Times New Roman" w:hAnsi="Times New Roman" w:cs="Times New Roman"/>
          <w:i/>
          <w:iCs/>
          <w:noProof/>
          <w:kern w:val="0"/>
          <w:sz w:val="18"/>
          <w:lang w:val="en-US"/>
        </w:rPr>
        <w:t>Decis. Support Syst.</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36</w:t>
      </w:r>
      <w:r w:rsidRPr="00F711FA">
        <w:rPr>
          <w:rFonts w:ascii="Times New Roman" w:hAnsi="Times New Roman" w:cs="Times New Roman"/>
          <w:noProof/>
          <w:kern w:val="0"/>
          <w:sz w:val="18"/>
          <w:lang w:val="en-US"/>
        </w:rPr>
        <w:t>(3), 205–213. https://doi.org/10.1016/S0167-9236(02)00190-2</w:t>
      </w:r>
    </w:p>
    <w:p w14:paraId="025F98A9"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Ayman, U., Kaya, A. K., &amp; Kuruç, Ü. K. (2020). The Impact of Digital Communication and PR Models on the Sustainability of Higher Education During Crises. </w:t>
      </w:r>
      <w:r w:rsidRPr="00F711FA">
        <w:rPr>
          <w:rFonts w:ascii="Times New Roman" w:hAnsi="Times New Roman" w:cs="Times New Roman"/>
          <w:i/>
          <w:iCs/>
          <w:noProof/>
          <w:kern w:val="0"/>
          <w:sz w:val="18"/>
          <w:lang w:val="en-US"/>
        </w:rPr>
        <w:t>Sustain.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12</w:t>
      </w:r>
      <w:r w:rsidRPr="00F711FA">
        <w:rPr>
          <w:rFonts w:ascii="Times New Roman" w:hAnsi="Times New Roman" w:cs="Times New Roman"/>
          <w:noProof/>
          <w:kern w:val="0"/>
          <w:sz w:val="18"/>
          <w:lang w:val="en-US"/>
        </w:rPr>
        <w:t>(20), 1–15. https://doi.org/10.3390/su12208295</w:t>
      </w:r>
    </w:p>
    <w:p w14:paraId="28702F96"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Bang, C. C., Lee, J., &amp; Rao, H. R. (2021). The Egyptian Protest Movement in the Twittersphere: An Investigation of Dual Sentiment Pathways of Communication. </w:t>
      </w:r>
      <w:r w:rsidRPr="00F711FA">
        <w:rPr>
          <w:rFonts w:ascii="Times New Roman" w:hAnsi="Times New Roman" w:cs="Times New Roman"/>
          <w:i/>
          <w:iCs/>
          <w:noProof/>
          <w:kern w:val="0"/>
          <w:sz w:val="18"/>
          <w:lang w:val="en-US"/>
        </w:rPr>
        <w:t>Int. J. Inf. Manage.</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58</w:t>
      </w:r>
      <w:r w:rsidRPr="00F711FA">
        <w:rPr>
          <w:rFonts w:ascii="Times New Roman" w:hAnsi="Times New Roman" w:cs="Times New Roman"/>
          <w:noProof/>
          <w:kern w:val="0"/>
          <w:sz w:val="18"/>
          <w:lang w:val="en-US"/>
        </w:rPr>
        <w:t>, 102328. https://doi.org/10.1016/j.ijinfomgt.2021.102328</w:t>
      </w:r>
    </w:p>
    <w:p w14:paraId="72DE5D11"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Barron, G., &amp; Yechiam, E. (2002). Private E-Mail Requests and the Diffusion of Responsibility. </w:t>
      </w:r>
      <w:r w:rsidRPr="00F907E8">
        <w:rPr>
          <w:rFonts w:ascii="Times New Roman" w:hAnsi="Times New Roman" w:cs="Times New Roman"/>
          <w:i/>
          <w:iCs/>
          <w:noProof/>
          <w:kern w:val="0"/>
          <w:sz w:val="18"/>
        </w:rPr>
        <w:t>Comput. Human Behav.</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18</w:t>
      </w:r>
      <w:r w:rsidRPr="00F907E8">
        <w:rPr>
          <w:rFonts w:ascii="Times New Roman" w:hAnsi="Times New Roman" w:cs="Times New Roman"/>
          <w:noProof/>
          <w:kern w:val="0"/>
          <w:sz w:val="18"/>
        </w:rPr>
        <w:t>(5), 507–520. https://doi.org/10.1016/S0747-5632(02)00007-9</w:t>
      </w:r>
    </w:p>
    <w:p w14:paraId="57A54245"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Brinkley, D. Y., Ackerman, R. A., Ehrenreich, S. E., &amp; Underwood, M. K. (2017). </w:t>
      </w:r>
      <w:r w:rsidRPr="00F711FA">
        <w:rPr>
          <w:rFonts w:ascii="Times New Roman" w:hAnsi="Times New Roman" w:cs="Times New Roman"/>
          <w:noProof/>
          <w:kern w:val="0"/>
          <w:sz w:val="18"/>
          <w:lang w:val="en-US"/>
        </w:rPr>
        <w:t xml:space="preserve">Sending and Receiving Text Messages with Sexual Content: Relations with Early Sexual Activity and Borderline Personality Features in Late Adolescence. </w:t>
      </w:r>
      <w:r w:rsidRPr="00F711FA">
        <w:rPr>
          <w:rFonts w:ascii="Times New Roman" w:hAnsi="Times New Roman" w:cs="Times New Roman"/>
          <w:i/>
          <w:iCs/>
          <w:noProof/>
          <w:kern w:val="0"/>
          <w:sz w:val="18"/>
          <w:lang w:val="en-US"/>
        </w:rPr>
        <w:t>Comput. Human Behav.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70</w:t>
      </w:r>
      <w:r w:rsidRPr="00F711FA">
        <w:rPr>
          <w:rFonts w:ascii="Times New Roman" w:hAnsi="Times New Roman" w:cs="Times New Roman"/>
          <w:noProof/>
          <w:kern w:val="0"/>
          <w:sz w:val="18"/>
          <w:lang w:val="en-US"/>
        </w:rPr>
        <w:t>, 119–130. https://doi.org/10.1016/j.chb.2016.12.082</w:t>
      </w:r>
    </w:p>
    <w:p w14:paraId="79EC3CE3"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Bularca, M. C., Nechita, F., Sargu, L., Motoi, G., Otovescu, A., &amp; Coman, C. (2022). Looking for the Sustainability Messages of European Universities’ Social Media Communication During the COVID‐19 Pandemic. </w:t>
      </w:r>
      <w:r w:rsidRPr="00F711FA">
        <w:rPr>
          <w:rFonts w:ascii="Times New Roman" w:hAnsi="Times New Roman" w:cs="Times New Roman"/>
          <w:i/>
          <w:iCs/>
          <w:noProof/>
          <w:kern w:val="0"/>
          <w:sz w:val="18"/>
          <w:lang w:val="en-US"/>
        </w:rPr>
        <w:t>Sustain.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14</w:t>
      </w:r>
      <w:r w:rsidRPr="00F711FA">
        <w:rPr>
          <w:rFonts w:ascii="Times New Roman" w:hAnsi="Times New Roman" w:cs="Times New Roman"/>
          <w:noProof/>
          <w:kern w:val="0"/>
          <w:sz w:val="18"/>
          <w:lang w:val="en-US"/>
        </w:rPr>
        <w:t>(3), 1554. https://doi.org/10.3390/su14031554</w:t>
      </w:r>
    </w:p>
    <w:p w14:paraId="76E8B8E9"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Burgess, A., Jackson, T., &amp; Edwards, J. (2005). Email training significantly reduces email defects. </w:t>
      </w:r>
      <w:r w:rsidRPr="00F907E8">
        <w:rPr>
          <w:rFonts w:ascii="Times New Roman" w:hAnsi="Times New Roman" w:cs="Times New Roman"/>
          <w:i/>
          <w:iCs/>
          <w:noProof/>
          <w:kern w:val="0"/>
          <w:sz w:val="18"/>
        </w:rPr>
        <w:t>Int. J. Inf. Manage.</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25</w:t>
      </w:r>
      <w:r w:rsidRPr="00F907E8">
        <w:rPr>
          <w:rFonts w:ascii="Times New Roman" w:hAnsi="Times New Roman" w:cs="Times New Roman"/>
          <w:noProof/>
          <w:kern w:val="0"/>
          <w:sz w:val="18"/>
        </w:rPr>
        <w:t>(1), 71–83. https://doi.org/10.1016/j.ijinfomgt.2004.10.004</w:t>
      </w:r>
    </w:p>
    <w:p w14:paraId="590ACAF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Capriotti, P., Martínez‐Gras, R., &amp; Zeler, I. (2023). </w:t>
      </w:r>
      <w:r w:rsidRPr="00F711FA">
        <w:rPr>
          <w:rFonts w:ascii="Times New Roman" w:hAnsi="Times New Roman" w:cs="Times New Roman"/>
          <w:noProof/>
          <w:kern w:val="0"/>
          <w:sz w:val="18"/>
          <w:lang w:val="en-US"/>
        </w:rPr>
        <w:t xml:space="preserve">Does Universities’ Posting Strategy Influence their Social Media Engagement? An Analysis of the Top‐Ranked Higher Education Institutions in Different Countries. </w:t>
      </w:r>
      <w:r w:rsidRPr="00F711FA">
        <w:rPr>
          <w:rFonts w:ascii="Times New Roman" w:hAnsi="Times New Roman" w:cs="Times New Roman"/>
          <w:i/>
          <w:iCs/>
          <w:noProof/>
          <w:kern w:val="0"/>
          <w:sz w:val="18"/>
          <w:lang w:val="en-US"/>
        </w:rPr>
        <w:t>High. Educ. Q.</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77</w:t>
      </w:r>
      <w:r w:rsidRPr="00F711FA">
        <w:rPr>
          <w:rFonts w:ascii="Times New Roman" w:hAnsi="Times New Roman" w:cs="Times New Roman"/>
          <w:noProof/>
          <w:kern w:val="0"/>
          <w:sz w:val="18"/>
          <w:lang w:val="en-US"/>
        </w:rPr>
        <w:t>(4), 911–931. https://doi.org/10.1111/hequ.12439</w:t>
      </w:r>
    </w:p>
    <w:p w14:paraId="0E18429D"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Capriotti, P., &amp; Ruesja, L. (2018). How CEOs use Twitter: A Comparative Analysis of Global and Latin American Companies. </w:t>
      </w:r>
      <w:r w:rsidRPr="00F711FA">
        <w:rPr>
          <w:rFonts w:ascii="Times New Roman" w:hAnsi="Times New Roman" w:cs="Times New Roman"/>
          <w:i/>
          <w:iCs/>
          <w:noProof/>
          <w:kern w:val="0"/>
          <w:sz w:val="18"/>
          <w:lang w:val="en-US"/>
        </w:rPr>
        <w:t>Int. J. Inf. Manage.</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39</w:t>
      </w:r>
      <w:r w:rsidRPr="00F711FA">
        <w:rPr>
          <w:rFonts w:ascii="Times New Roman" w:hAnsi="Times New Roman" w:cs="Times New Roman"/>
          <w:noProof/>
          <w:kern w:val="0"/>
          <w:sz w:val="18"/>
          <w:lang w:val="en-US"/>
        </w:rPr>
        <w:t>, 242–248. https://doi.org/10.1016/j.ijinfomgt.2018.01.003</w:t>
      </w:r>
    </w:p>
    <w:p w14:paraId="53C04A5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Carr, T., Cox, L., Eden, N., &amp; Hanslo, M. (2004). From peripheral to full participation in a blended trade bargaining simulation. </w:t>
      </w:r>
      <w:r w:rsidRPr="00F711FA">
        <w:rPr>
          <w:rFonts w:ascii="Times New Roman" w:hAnsi="Times New Roman" w:cs="Times New Roman"/>
          <w:i/>
          <w:iCs/>
          <w:noProof/>
          <w:kern w:val="0"/>
          <w:sz w:val="18"/>
          <w:lang w:val="en-US"/>
        </w:rPr>
        <w:t>Br. J. Educ. Technol.</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35</w:t>
      </w:r>
      <w:r w:rsidRPr="00F711FA">
        <w:rPr>
          <w:rFonts w:ascii="Times New Roman" w:hAnsi="Times New Roman" w:cs="Times New Roman"/>
          <w:noProof/>
          <w:kern w:val="0"/>
          <w:sz w:val="18"/>
          <w:lang w:val="en-US"/>
        </w:rPr>
        <w:t>(2), 197–211. https://doi.org/10.1111/j.0007-1013.2004.00381.x</w:t>
      </w:r>
    </w:p>
    <w:p w14:paraId="12EFD1A2"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Chamberlin, L., &amp; Boks, C. (2018). Marketing Approaches for a Circular Economy: Using Design Frameworks to Interpret Online Communications. </w:t>
      </w:r>
      <w:r w:rsidRPr="00F711FA">
        <w:rPr>
          <w:rFonts w:ascii="Times New Roman" w:hAnsi="Times New Roman" w:cs="Times New Roman"/>
          <w:i/>
          <w:iCs/>
          <w:noProof/>
          <w:kern w:val="0"/>
          <w:sz w:val="18"/>
          <w:lang w:val="en-US"/>
        </w:rPr>
        <w:t>Sustain.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10</w:t>
      </w:r>
      <w:r w:rsidRPr="00F711FA">
        <w:rPr>
          <w:rFonts w:ascii="Times New Roman" w:hAnsi="Times New Roman" w:cs="Times New Roman"/>
          <w:noProof/>
          <w:kern w:val="0"/>
          <w:sz w:val="18"/>
          <w:lang w:val="en-US"/>
        </w:rPr>
        <w:t>(6). https://doi.org/10.3390/su10062070</w:t>
      </w:r>
    </w:p>
    <w:p w14:paraId="1549DCEA"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Chaparro-Peláez, J., Hernández-García, Á., &amp; Lorente-Páramo, Á. J. (2022). May I Have Your Attention, Please? An Investigation on Opening Effectiveness in E-Mail Marketing. </w:t>
      </w:r>
      <w:r w:rsidRPr="00F711FA">
        <w:rPr>
          <w:rFonts w:ascii="Times New Roman" w:hAnsi="Times New Roman" w:cs="Times New Roman"/>
          <w:i/>
          <w:iCs/>
          <w:noProof/>
          <w:kern w:val="0"/>
          <w:sz w:val="18"/>
          <w:lang w:val="en-US"/>
        </w:rPr>
        <w:t>Rev. Manag. Sci.</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16</w:t>
      </w:r>
      <w:r w:rsidRPr="00F711FA">
        <w:rPr>
          <w:rFonts w:ascii="Times New Roman" w:hAnsi="Times New Roman" w:cs="Times New Roman"/>
          <w:noProof/>
          <w:kern w:val="0"/>
          <w:sz w:val="18"/>
          <w:lang w:val="en-US"/>
        </w:rPr>
        <w:t>(7), 2261–2284. https://doi.org/10.1007/s11846-022-00517-9</w:t>
      </w:r>
    </w:p>
    <w:p w14:paraId="4DACC52A"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Cheshin, A., Kim, Y., Bos, N. D., Ning, N., &amp; Olson, J. S. (2013). Emergence of Differing Electronic Communication Norms Within Partially Distributed Teams. </w:t>
      </w:r>
      <w:r w:rsidRPr="00F711FA">
        <w:rPr>
          <w:rFonts w:ascii="Times New Roman" w:hAnsi="Times New Roman" w:cs="Times New Roman"/>
          <w:i/>
          <w:iCs/>
          <w:noProof/>
          <w:kern w:val="0"/>
          <w:sz w:val="18"/>
          <w:lang w:val="en-US"/>
        </w:rPr>
        <w:t>J. Pers. Psychol.</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12</w:t>
      </w:r>
      <w:r w:rsidRPr="00F711FA">
        <w:rPr>
          <w:rFonts w:ascii="Times New Roman" w:hAnsi="Times New Roman" w:cs="Times New Roman"/>
          <w:noProof/>
          <w:kern w:val="0"/>
          <w:sz w:val="18"/>
          <w:lang w:val="en-US"/>
        </w:rPr>
        <w:t>(1), 7–21. https://doi.org/10.1027/1866-5888/a000076</w:t>
      </w:r>
    </w:p>
    <w:p w14:paraId="7814B306"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Chundi, P., Subramaniam, M., &amp; Vasireddy, D. K. (2009). An approach for temporal analysis of email data based on segmentation. </w:t>
      </w:r>
      <w:r w:rsidRPr="00F711FA">
        <w:rPr>
          <w:rFonts w:ascii="Times New Roman" w:hAnsi="Times New Roman" w:cs="Times New Roman"/>
          <w:i/>
          <w:iCs/>
          <w:noProof/>
          <w:kern w:val="0"/>
          <w:sz w:val="18"/>
          <w:lang w:val="en-US"/>
        </w:rPr>
        <w:t>Data Knowl. Eng.</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68</w:t>
      </w:r>
      <w:r w:rsidRPr="00F711FA">
        <w:rPr>
          <w:rFonts w:ascii="Times New Roman" w:hAnsi="Times New Roman" w:cs="Times New Roman"/>
          <w:noProof/>
          <w:kern w:val="0"/>
          <w:sz w:val="18"/>
          <w:lang w:val="en-US"/>
        </w:rPr>
        <w:t>(11), 1253–1270. https://doi.org/10.1016/j.datak.2009.04.011</w:t>
      </w:r>
    </w:p>
    <w:p w14:paraId="4D24D40E"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Colladon, A. F., &amp; Gloor, P. A. (2019). Measuring the Impact of Spammers on E-Mail and Twitter Networks. </w:t>
      </w:r>
      <w:r w:rsidRPr="00F711FA">
        <w:rPr>
          <w:rFonts w:ascii="Times New Roman" w:hAnsi="Times New Roman" w:cs="Times New Roman"/>
          <w:i/>
          <w:iCs/>
          <w:noProof/>
          <w:kern w:val="0"/>
          <w:sz w:val="18"/>
          <w:lang w:val="en-US"/>
        </w:rPr>
        <w:t>Int. J. Inf. Manage.</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48</w:t>
      </w:r>
      <w:r w:rsidRPr="00F711FA">
        <w:rPr>
          <w:rFonts w:ascii="Times New Roman" w:hAnsi="Times New Roman" w:cs="Times New Roman"/>
          <w:noProof/>
          <w:kern w:val="0"/>
          <w:sz w:val="18"/>
          <w:lang w:val="en-US"/>
        </w:rPr>
        <w:t>, 254–262. https://doi.org/10.1016/j.ijinfomgt.2018.09.009</w:t>
      </w:r>
    </w:p>
    <w:p w14:paraId="18E8061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Colladon, A. F., Saint-Charles, J., &amp; Mongeau, P. (2021). From Words to Connections: Word Use Similarity as an Honest Signal Conducive to Employees’ Digital Communication. </w:t>
      </w:r>
      <w:r w:rsidRPr="00F711FA">
        <w:rPr>
          <w:rFonts w:ascii="Times New Roman" w:hAnsi="Times New Roman" w:cs="Times New Roman"/>
          <w:i/>
          <w:iCs/>
          <w:noProof/>
          <w:kern w:val="0"/>
          <w:sz w:val="18"/>
          <w:lang w:val="en-US"/>
        </w:rPr>
        <w:t>J. Inf. Sci.</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47</w:t>
      </w:r>
      <w:r w:rsidRPr="00F711FA">
        <w:rPr>
          <w:rFonts w:ascii="Times New Roman" w:hAnsi="Times New Roman" w:cs="Times New Roman"/>
          <w:noProof/>
          <w:kern w:val="0"/>
          <w:sz w:val="18"/>
          <w:lang w:val="en-US"/>
        </w:rPr>
        <w:t>(6), 699–711. https://doi.org/10.1177/0165551520929931</w:t>
      </w:r>
    </w:p>
    <w:p w14:paraId="183D59A6"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Confetto, M. G., Ključnikov, A., Covucci, C., &amp; Normando, M. (2023). Diversity and Inclusion in Employer Branding: An Explorative Analysis of European Companies’ Digital Communication. </w:t>
      </w:r>
      <w:r w:rsidRPr="00F711FA">
        <w:rPr>
          <w:rFonts w:ascii="Times New Roman" w:hAnsi="Times New Roman" w:cs="Times New Roman"/>
          <w:i/>
          <w:iCs/>
          <w:noProof/>
          <w:kern w:val="0"/>
          <w:sz w:val="18"/>
          <w:lang w:val="en-US"/>
        </w:rPr>
        <w:t>Empl. Relations</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45</w:t>
      </w:r>
      <w:r w:rsidRPr="00F711FA">
        <w:rPr>
          <w:rFonts w:ascii="Times New Roman" w:hAnsi="Times New Roman" w:cs="Times New Roman"/>
          <w:noProof/>
          <w:kern w:val="0"/>
          <w:sz w:val="18"/>
          <w:lang w:val="en-US"/>
        </w:rPr>
        <w:t>(7), 121–139. https://doi.org/10.1108/ER-11-2022-0522</w:t>
      </w:r>
    </w:p>
    <w:p w14:paraId="04A4F3E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Corradini, C., Santini, E., &amp; Vecciolini, C. (2023). Place Promotion, Place Branding and Social Media Communication Around Entrepreneurial Ecosystems: A Twitter Analysis. </w:t>
      </w:r>
      <w:r w:rsidRPr="00F711FA">
        <w:rPr>
          <w:rFonts w:ascii="Times New Roman" w:hAnsi="Times New Roman" w:cs="Times New Roman"/>
          <w:i/>
          <w:iCs/>
          <w:noProof/>
          <w:kern w:val="0"/>
          <w:sz w:val="18"/>
          <w:lang w:val="en-US"/>
        </w:rPr>
        <w:t>Reg. Stud.</w:t>
      </w:r>
      <w:r w:rsidRPr="00F711FA">
        <w:rPr>
          <w:rFonts w:ascii="Times New Roman" w:hAnsi="Times New Roman" w:cs="Times New Roman"/>
          <w:noProof/>
          <w:kern w:val="0"/>
          <w:sz w:val="18"/>
          <w:lang w:val="en-US"/>
        </w:rPr>
        <w:t>, 1–14. https://doi.org/10.1080/00343404.2023.2239275</w:t>
      </w:r>
    </w:p>
    <w:p w14:paraId="472C7F3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Deo, K., &amp; Prasad, A. A. (2020). Evidence of Climate Change Engagement Behaviour on a Facebook Fan-Based Page. </w:t>
      </w:r>
      <w:r w:rsidRPr="00F711FA">
        <w:rPr>
          <w:rFonts w:ascii="Times New Roman" w:hAnsi="Times New Roman" w:cs="Times New Roman"/>
          <w:i/>
          <w:iCs/>
          <w:noProof/>
          <w:kern w:val="0"/>
          <w:sz w:val="18"/>
          <w:lang w:val="en-US"/>
        </w:rPr>
        <w:t>Sustainability</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12</w:t>
      </w:r>
      <w:r w:rsidRPr="00F711FA">
        <w:rPr>
          <w:rFonts w:ascii="Times New Roman" w:hAnsi="Times New Roman" w:cs="Times New Roman"/>
          <w:noProof/>
          <w:kern w:val="0"/>
          <w:sz w:val="18"/>
          <w:lang w:val="en-US"/>
        </w:rPr>
        <w:t>(17). https://doi.org/10.3390/su12177038</w:t>
      </w:r>
    </w:p>
    <w:p w14:paraId="111831BA"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DeWall, C. N., Buffardi, L. E., Bonser, I., &amp; Campbell, W. K. (2011). Narcissism and Implicit Attention Seeking: Evidence from Linguistic Analyses of Social Networking and Online Presentation. </w:t>
      </w:r>
      <w:r w:rsidRPr="00F711FA">
        <w:rPr>
          <w:rFonts w:ascii="Times New Roman" w:hAnsi="Times New Roman" w:cs="Times New Roman"/>
          <w:i/>
          <w:iCs/>
          <w:noProof/>
          <w:kern w:val="0"/>
          <w:sz w:val="18"/>
          <w:lang w:val="en-US"/>
        </w:rPr>
        <w:t>Pers. Individ. Dif.</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51</w:t>
      </w:r>
      <w:r w:rsidRPr="00F711FA">
        <w:rPr>
          <w:rFonts w:ascii="Times New Roman" w:hAnsi="Times New Roman" w:cs="Times New Roman"/>
          <w:noProof/>
          <w:kern w:val="0"/>
          <w:sz w:val="18"/>
          <w:lang w:val="en-US"/>
        </w:rPr>
        <w:t>(1), 57–62. https://doi.org/10.1016/j.paid.2011.03.011</w:t>
      </w:r>
    </w:p>
    <w:p w14:paraId="68386584"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Doedt, C., &amp; Maruyama, Y. (2023). The Mega Solar Twitter discourse in Japan: Engaged Opponents and Silent Proponents. </w:t>
      </w:r>
      <w:r w:rsidRPr="00F711FA">
        <w:rPr>
          <w:rFonts w:ascii="Times New Roman" w:hAnsi="Times New Roman" w:cs="Times New Roman"/>
          <w:i/>
          <w:iCs/>
          <w:noProof/>
          <w:kern w:val="0"/>
          <w:sz w:val="18"/>
          <w:lang w:val="en-US"/>
        </w:rPr>
        <w:t>Energy Policy</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175</w:t>
      </w:r>
      <w:r w:rsidRPr="00F711FA">
        <w:rPr>
          <w:rFonts w:ascii="Times New Roman" w:hAnsi="Times New Roman" w:cs="Times New Roman"/>
          <w:noProof/>
          <w:kern w:val="0"/>
          <w:sz w:val="18"/>
          <w:lang w:val="en-US"/>
        </w:rPr>
        <w:t>, 113495. https://doi.org/10.1016/j.enpol.2023.113495</w:t>
      </w:r>
    </w:p>
    <w:p w14:paraId="569B5497"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Duncan-Howell, J. (2009). ECAF: A New Tool for the Conversational Analysis of Electronic Communication. </w:t>
      </w:r>
      <w:r w:rsidRPr="00F711FA">
        <w:rPr>
          <w:rFonts w:ascii="Times New Roman" w:hAnsi="Times New Roman" w:cs="Times New Roman"/>
          <w:i/>
          <w:iCs/>
          <w:noProof/>
          <w:kern w:val="0"/>
          <w:sz w:val="18"/>
          <w:lang w:val="en-US"/>
        </w:rPr>
        <w:t>Br. J. Educ. Technol.</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40</w:t>
      </w:r>
      <w:r w:rsidRPr="00F711FA">
        <w:rPr>
          <w:rFonts w:ascii="Times New Roman" w:hAnsi="Times New Roman" w:cs="Times New Roman"/>
          <w:noProof/>
          <w:kern w:val="0"/>
          <w:sz w:val="18"/>
          <w:lang w:val="en-US"/>
        </w:rPr>
        <w:t>(6), 1014–1027. https://doi.org/10.1111/j.1467-8535.2008.00904.x</w:t>
      </w:r>
    </w:p>
    <w:p w14:paraId="20090451"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Duvanova, D., Nikolaev, A., Nikolsko-Rzhevskyy, A., &amp; Semenov, A. (2016). Violent Conflict and Online Segregation: An Analysis of Social Network Communication Across Ukraine’s Regions. </w:t>
      </w:r>
      <w:r w:rsidRPr="00F711FA">
        <w:rPr>
          <w:rFonts w:ascii="Times New Roman" w:hAnsi="Times New Roman" w:cs="Times New Roman"/>
          <w:i/>
          <w:iCs/>
          <w:noProof/>
          <w:kern w:val="0"/>
          <w:sz w:val="18"/>
          <w:lang w:val="en-US"/>
        </w:rPr>
        <w:t>J. Comp. Econ.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44</w:t>
      </w:r>
      <w:r w:rsidRPr="00F711FA">
        <w:rPr>
          <w:rFonts w:ascii="Times New Roman" w:hAnsi="Times New Roman" w:cs="Times New Roman"/>
          <w:noProof/>
          <w:kern w:val="0"/>
          <w:sz w:val="18"/>
          <w:lang w:val="en-US"/>
        </w:rPr>
        <w:t>(1), 163–181. https://doi.org/10.1016/j.jce.2015.10.003</w:t>
      </w:r>
    </w:p>
    <w:p w14:paraId="14F75AA4"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El Baradei, L., Kadry, M., &amp; Ahmed, G. (2021). Governmental Social Media Communication Strategies During the COVID-19 Pandemic: The Case of Egypt. </w:t>
      </w:r>
      <w:r w:rsidRPr="00F711FA">
        <w:rPr>
          <w:rFonts w:ascii="Times New Roman" w:hAnsi="Times New Roman" w:cs="Times New Roman"/>
          <w:i/>
          <w:iCs/>
          <w:noProof/>
          <w:kern w:val="0"/>
          <w:sz w:val="18"/>
          <w:lang w:val="en-US"/>
        </w:rPr>
        <w:t>Int. J. Public Adm.</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44</w:t>
      </w:r>
      <w:r w:rsidRPr="00F711FA">
        <w:rPr>
          <w:rFonts w:ascii="Times New Roman" w:hAnsi="Times New Roman" w:cs="Times New Roman"/>
          <w:noProof/>
          <w:kern w:val="0"/>
          <w:sz w:val="18"/>
          <w:lang w:val="en-US"/>
        </w:rPr>
        <w:t>(11–12), 907–919. https://doi.org/10.1080/01900692.2021.1915729</w:t>
      </w:r>
    </w:p>
    <w:p w14:paraId="705CF66E"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Fernandez-Lores, S., Crespo-Tejero, N., &amp; Fernández-Hernández, R. (2022). Driving traffic to the museum: The role of the digital communication tools. </w:t>
      </w:r>
      <w:r w:rsidRPr="00F711FA">
        <w:rPr>
          <w:rFonts w:ascii="Times New Roman" w:hAnsi="Times New Roman" w:cs="Times New Roman"/>
          <w:i/>
          <w:iCs/>
          <w:noProof/>
          <w:kern w:val="0"/>
          <w:sz w:val="18"/>
          <w:lang w:val="en-US"/>
        </w:rPr>
        <w:t>Technol. Forecast. Soc. Change</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174</w:t>
      </w:r>
      <w:r w:rsidRPr="00F711FA">
        <w:rPr>
          <w:rFonts w:ascii="Times New Roman" w:hAnsi="Times New Roman" w:cs="Times New Roman"/>
          <w:noProof/>
          <w:kern w:val="0"/>
          <w:sz w:val="18"/>
          <w:lang w:val="en-US"/>
        </w:rPr>
        <w:t>. https://doi.org/10.1016/j.techfore.2021.121273</w:t>
      </w:r>
    </w:p>
    <w:p w14:paraId="3966C449"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Fissi, S., Gori, E., &amp; Romolini, A. (2022). Social Media Government Communication and Stakeholder Engagement in the Era of Covid-19: Evidence from Italy. </w:t>
      </w:r>
      <w:r w:rsidRPr="00F711FA">
        <w:rPr>
          <w:rFonts w:ascii="Times New Roman" w:hAnsi="Times New Roman" w:cs="Times New Roman"/>
          <w:i/>
          <w:iCs/>
          <w:noProof/>
          <w:kern w:val="0"/>
          <w:sz w:val="18"/>
          <w:lang w:val="en-US"/>
        </w:rPr>
        <w:t>Int. J. Public Sect. Manag.</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35</w:t>
      </w:r>
      <w:r w:rsidRPr="00F711FA">
        <w:rPr>
          <w:rFonts w:ascii="Times New Roman" w:hAnsi="Times New Roman" w:cs="Times New Roman"/>
          <w:noProof/>
          <w:kern w:val="0"/>
          <w:sz w:val="18"/>
          <w:lang w:val="en-US"/>
        </w:rPr>
        <w:t>(3), 276–293. https://doi.org/10.1108/IJPSM-06-2021-0145</w:t>
      </w:r>
    </w:p>
    <w:p w14:paraId="3684F4C5"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Floreddu, P. B., &amp; Cabiddu, F. (2016). Social Media Communication Strategies. </w:t>
      </w:r>
      <w:r w:rsidRPr="00F711FA">
        <w:rPr>
          <w:rFonts w:ascii="Times New Roman" w:hAnsi="Times New Roman" w:cs="Times New Roman"/>
          <w:i/>
          <w:iCs/>
          <w:noProof/>
          <w:kern w:val="0"/>
          <w:sz w:val="18"/>
          <w:lang w:val="en-US"/>
        </w:rPr>
        <w:t xml:space="preserve">J. Serv. </w:t>
      </w:r>
      <w:r w:rsidRPr="00F907E8">
        <w:rPr>
          <w:rFonts w:ascii="Times New Roman" w:hAnsi="Times New Roman" w:cs="Times New Roman"/>
          <w:i/>
          <w:iCs/>
          <w:noProof/>
          <w:kern w:val="0"/>
          <w:sz w:val="18"/>
        </w:rPr>
        <w:t>Mark.</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30</w:t>
      </w:r>
      <w:r w:rsidRPr="00F907E8">
        <w:rPr>
          <w:rFonts w:ascii="Times New Roman" w:hAnsi="Times New Roman" w:cs="Times New Roman"/>
          <w:noProof/>
          <w:kern w:val="0"/>
          <w:sz w:val="18"/>
        </w:rPr>
        <w:t>(5), 490–503. https://doi.org/10.1108/JSM-01-2015-0036</w:t>
      </w:r>
    </w:p>
    <w:p w14:paraId="25AEF1A6"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Francis, L., Holmvall, C. M., &amp; O’Brien, L. E. (2015). </w:t>
      </w:r>
      <w:r w:rsidRPr="00F711FA">
        <w:rPr>
          <w:rFonts w:ascii="Times New Roman" w:hAnsi="Times New Roman" w:cs="Times New Roman"/>
          <w:noProof/>
          <w:kern w:val="0"/>
          <w:sz w:val="18"/>
          <w:lang w:val="en-US"/>
        </w:rPr>
        <w:t xml:space="preserve">The influence of workload and civility of treatment on the perpetration of email incivility. </w:t>
      </w:r>
      <w:r w:rsidRPr="00F711FA">
        <w:rPr>
          <w:rFonts w:ascii="Times New Roman" w:hAnsi="Times New Roman" w:cs="Times New Roman"/>
          <w:i/>
          <w:iCs/>
          <w:noProof/>
          <w:kern w:val="0"/>
          <w:sz w:val="18"/>
          <w:lang w:val="en-US"/>
        </w:rPr>
        <w:t>Comput. Human Behav.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46</w:t>
      </w:r>
      <w:r w:rsidRPr="00F711FA">
        <w:rPr>
          <w:rFonts w:ascii="Times New Roman" w:hAnsi="Times New Roman" w:cs="Times New Roman"/>
          <w:noProof/>
          <w:kern w:val="0"/>
          <w:sz w:val="18"/>
          <w:lang w:val="en-US"/>
        </w:rPr>
        <w:t>, 191–201. https://doi.org/10.1016/j.chb.2014.12.044</w:t>
      </w:r>
    </w:p>
    <w:p w14:paraId="43793D1A"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Ganesh, A., &amp; Iyer, S. (2023). Impact of Firm-Initiated Tweets on Stock Return and Trading Volume. </w:t>
      </w:r>
      <w:r w:rsidRPr="00F711FA">
        <w:rPr>
          <w:rFonts w:ascii="Times New Roman" w:hAnsi="Times New Roman" w:cs="Times New Roman"/>
          <w:i/>
          <w:iCs/>
          <w:noProof/>
          <w:kern w:val="0"/>
          <w:sz w:val="18"/>
          <w:lang w:val="en-US"/>
        </w:rPr>
        <w:t>J. Behav. Financ.</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24</w:t>
      </w:r>
      <w:r w:rsidRPr="00F711FA">
        <w:rPr>
          <w:rFonts w:ascii="Times New Roman" w:hAnsi="Times New Roman" w:cs="Times New Roman"/>
          <w:noProof/>
          <w:kern w:val="0"/>
          <w:sz w:val="18"/>
          <w:lang w:val="en-US"/>
        </w:rPr>
        <w:t>(2), 171–182. https://doi.org/10.1080/15427560.2021.1949717</w:t>
      </w:r>
    </w:p>
    <w:p w14:paraId="1D29F972"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Garner, B. (2022). Using Digital Communications to Manage the Farmers’ Market Brand Image. </w:t>
      </w:r>
      <w:r w:rsidRPr="00F907E8">
        <w:rPr>
          <w:rFonts w:ascii="Times New Roman" w:hAnsi="Times New Roman" w:cs="Times New Roman"/>
          <w:i/>
          <w:iCs/>
          <w:noProof/>
          <w:kern w:val="0"/>
          <w:sz w:val="18"/>
        </w:rPr>
        <w:t>J. Res. Mark. Entrep.</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24</w:t>
      </w:r>
      <w:r w:rsidRPr="00F907E8">
        <w:rPr>
          <w:rFonts w:ascii="Times New Roman" w:hAnsi="Times New Roman" w:cs="Times New Roman"/>
          <w:noProof/>
          <w:kern w:val="0"/>
          <w:sz w:val="18"/>
        </w:rPr>
        <w:t>(2), 420–439. https://doi.org/10.1108/JRME-05-2020-0051</w:t>
      </w:r>
    </w:p>
    <w:p w14:paraId="6E534C93"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Golmohammadi, A., Gauri, D. K., &amp; Mirahmad, H. (2023). </w:t>
      </w:r>
      <w:r w:rsidRPr="00F711FA">
        <w:rPr>
          <w:rFonts w:ascii="Times New Roman" w:hAnsi="Times New Roman" w:cs="Times New Roman"/>
          <w:noProof/>
          <w:kern w:val="0"/>
          <w:sz w:val="18"/>
          <w:lang w:val="en-US"/>
        </w:rPr>
        <w:t xml:space="preserve">Social Media Communication and Company Value: The Moderating Role of Industry Competitiveness. </w:t>
      </w:r>
      <w:r w:rsidRPr="00F711FA">
        <w:rPr>
          <w:rFonts w:ascii="Times New Roman" w:hAnsi="Times New Roman" w:cs="Times New Roman"/>
          <w:i/>
          <w:iCs/>
          <w:noProof/>
          <w:kern w:val="0"/>
          <w:sz w:val="18"/>
          <w:lang w:val="en-US"/>
        </w:rPr>
        <w:t>J. Serv. Res.</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26</w:t>
      </w:r>
      <w:r w:rsidRPr="00F711FA">
        <w:rPr>
          <w:rFonts w:ascii="Times New Roman" w:hAnsi="Times New Roman" w:cs="Times New Roman"/>
          <w:noProof/>
          <w:kern w:val="0"/>
          <w:sz w:val="18"/>
          <w:lang w:val="en-US"/>
        </w:rPr>
        <w:t>(1), 120–135. https://doi.org/10.1177/10946705211072429</w:t>
      </w:r>
    </w:p>
    <w:p w14:paraId="0CAD8C28"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Griffith, T. L., &amp; Northcraft, G. B. (1994). Distinguishing Between the Forest and the Trees: Media, Features, and Methodology in Electronic Communication Research. </w:t>
      </w:r>
      <w:r w:rsidRPr="00F907E8">
        <w:rPr>
          <w:rFonts w:ascii="Times New Roman" w:hAnsi="Times New Roman" w:cs="Times New Roman"/>
          <w:i/>
          <w:iCs/>
          <w:noProof/>
          <w:kern w:val="0"/>
          <w:sz w:val="18"/>
        </w:rPr>
        <w:t>Organ. Sci.</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5</w:t>
      </w:r>
      <w:r w:rsidRPr="00F907E8">
        <w:rPr>
          <w:rFonts w:ascii="Times New Roman" w:hAnsi="Times New Roman" w:cs="Times New Roman"/>
          <w:noProof/>
          <w:kern w:val="0"/>
          <w:sz w:val="18"/>
        </w:rPr>
        <w:t>(2), 272–285. https://doi.org/10.1287/orsc.5.2.272</w:t>
      </w:r>
    </w:p>
    <w:p w14:paraId="78E68B9B"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Grünberg, J., &amp; Armellini, A. (2004). </w:t>
      </w:r>
      <w:r w:rsidRPr="00F711FA">
        <w:rPr>
          <w:rFonts w:ascii="Times New Roman" w:hAnsi="Times New Roman" w:cs="Times New Roman"/>
          <w:noProof/>
          <w:kern w:val="0"/>
          <w:sz w:val="18"/>
          <w:lang w:val="en-US"/>
        </w:rPr>
        <w:t xml:space="preserve">Teacher collegiality and electronic communication: A study of the collaborative uses of email by secondary school teachers in Uruguay. </w:t>
      </w:r>
      <w:r w:rsidRPr="00F711FA">
        <w:rPr>
          <w:rFonts w:ascii="Times New Roman" w:hAnsi="Times New Roman" w:cs="Times New Roman"/>
          <w:i/>
          <w:iCs/>
          <w:noProof/>
          <w:kern w:val="0"/>
          <w:sz w:val="18"/>
          <w:lang w:val="en-US"/>
        </w:rPr>
        <w:t>Br. J. Educ. Technol.</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35</w:t>
      </w:r>
      <w:r w:rsidRPr="00F711FA">
        <w:rPr>
          <w:rFonts w:ascii="Times New Roman" w:hAnsi="Times New Roman" w:cs="Times New Roman"/>
          <w:noProof/>
          <w:kern w:val="0"/>
          <w:sz w:val="18"/>
          <w:lang w:val="en-US"/>
        </w:rPr>
        <w:t>(5), 597–606. https://doi.org/10.1111/j.0007-1013.2004.00416.x</w:t>
      </w:r>
    </w:p>
    <w:p w14:paraId="3F86B88A"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Harvey, K. J., Brown, B., Crawford, P., Macfarlane, A., &amp; McPherson, A. (2007). ‘Am I normal?’ Teenagers, Sexual Health and the Internet. </w:t>
      </w:r>
      <w:r w:rsidRPr="00F711FA">
        <w:rPr>
          <w:rFonts w:ascii="Times New Roman" w:hAnsi="Times New Roman" w:cs="Times New Roman"/>
          <w:i/>
          <w:iCs/>
          <w:noProof/>
          <w:kern w:val="0"/>
          <w:sz w:val="18"/>
          <w:lang w:val="en-US"/>
        </w:rPr>
        <w:t>Soc. Sci. Med.</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65</w:t>
      </w:r>
      <w:r w:rsidRPr="00F711FA">
        <w:rPr>
          <w:rFonts w:ascii="Times New Roman" w:hAnsi="Times New Roman" w:cs="Times New Roman"/>
          <w:noProof/>
          <w:kern w:val="0"/>
          <w:sz w:val="18"/>
          <w:lang w:val="en-US"/>
        </w:rPr>
        <w:t>(4), 771–781. https://doi.org/10.1016/j.socscimed.2007.04.005</w:t>
      </w:r>
    </w:p>
    <w:p w14:paraId="2E624A18"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Hatzithomas, L., Fotiadis, T. A., &amp; Coudounaris, D. N. (2016). Standardization, Adaptation, and Personalization of International Corporate Social Media Communications. </w:t>
      </w:r>
      <w:r w:rsidRPr="00F907E8">
        <w:rPr>
          <w:rFonts w:ascii="Times New Roman" w:hAnsi="Times New Roman" w:cs="Times New Roman"/>
          <w:i/>
          <w:iCs/>
          <w:noProof/>
          <w:kern w:val="0"/>
          <w:sz w:val="18"/>
        </w:rPr>
        <w:t>Psychol. Mark.</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33</w:t>
      </w:r>
      <w:r w:rsidRPr="00F907E8">
        <w:rPr>
          <w:rFonts w:ascii="Times New Roman" w:hAnsi="Times New Roman" w:cs="Times New Roman"/>
          <w:noProof/>
          <w:kern w:val="0"/>
          <w:sz w:val="18"/>
        </w:rPr>
        <w:t>(12), 1098–1105. https://doi.org/10.1002/mar.20944</w:t>
      </w:r>
    </w:p>
    <w:p w14:paraId="0BC14AE5"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907E8">
        <w:rPr>
          <w:rFonts w:ascii="Times New Roman" w:hAnsi="Times New Roman" w:cs="Times New Roman"/>
          <w:noProof/>
          <w:kern w:val="0"/>
          <w:sz w:val="18"/>
        </w:rPr>
        <w:t xml:space="preserve">Huang, L. V., &amp; Yeo, T. E. D. (2018). </w:t>
      </w:r>
      <w:r w:rsidRPr="00F711FA">
        <w:rPr>
          <w:rFonts w:ascii="Times New Roman" w:hAnsi="Times New Roman" w:cs="Times New Roman"/>
          <w:noProof/>
          <w:kern w:val="0"/>
          <w:sz w:val="18"/>
          <w:lang w:val="en-US"/>
        </w:rPr>
        <w:t xml:space="preserve">Tweeting #Leaders: Social Media Communication and Retweetability of Fortune 1000 Chief Executive Officers on Twitter. </w:t>
      </w:r>
      <w:r w:rsidRPr="00F907E8">
        <w:rPr>
          <w:rFonts w:ascii="Times New Roman" w:hAnsi="Times New Roman" w:cs="Times New Roman"/>
          <w:i/>
          <w:iCs/>
          <w:noProof/>
          <w:kern w:val="0"/>
          <w:sz w:val="18"/>
        </w:rPr>
        <w:t>Internet Res.</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28</w:t>
      </w:r>
      <w:r w:rsidRPr="00F907E8">
        <w:rPr>
          <w:rFonts w:ascii="Times New Roman" w:hAnsi="Times New Roman" w:cs="Times New Roman"/>
          <w:noProof/>
          <w:kern w:val="0"/>
          <w:sz w:val="18"/>
        </w:rPr>
        <w:t>(1), 123–142. https://doi.org/10.1108/IntR-08-2016-0248</w:t>
      </w:r>
    </w:p>
    <w:p w14:paraId="1162F44F"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907E8">
        <w:rPr>
          <w:rFonts w:ascii="Times New Roman" w:hAnsi="Times New Roman" w:cs="Times New Roman"/>
          <w:noProof/>
          <w:kern w:val="0"/>
          <w:sz w:val="18"/>
        </w:rPr>
        <w:t xml:space="preserve">Jha, A. K., &amp; Verma, N. K. (2023). </w:t>
      </w:r>
      <w:r w:rsidRPr="00F711FA">
        <w:rPr>
          <w:rFonts w:ascii="Times New Roman" w:hAnsi="Times New Roman" w:cs="Times New Roman"/>
          <w:noProof/>
          <w:kern w:val="0"/>
          <w:sz w:val="18"/>
          <w:lang w:val="en-US"/>
        </w:rPr>
        <w:t xml:space="preserve">Social Media Sustainability Communication: An Analysis of Firm Behaviour and Stakeholder Responses. </w:t>
      </w:r>
      <w:r w:rsidRPr="00F907E8">
        <w:rPr>
          <w:rFonts w:ascii="Times New Roman" w:hAnsi="Times New Roman" w:cs="Times New Roman"/>
          <w:i/>
          <w:iCs/>
          <w:noProof/>
          <w:kern w:val="0"/>
          <w:sz w:val="18"/>
        </w:rPr>
        <w:t>Inf. Syst. Front.</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25</w:t>
      </w:r>
      <w:r w:rsidRPr="00F907E8">
        <w:rPr>
          <w:rFonts w:ascii="Times New Roman" w:hAnsi="Times New Roman" w:cs="Times New Roman"/>
          <w:noProof/>
          <w:kern w:val="0"/>
          <w:sz w:val="18"/>
        </w:rPr>
        <w:t>(2), 723–742. https://doi.org/10.1007/s10796-022-10257-6</w:t>
      </w:r>
    </w:p>
    <w:p w14:paraId="1C432842"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Kaiser, M., &amp; Kuckertz, A. (2023). </w:t>
      </w:r>
      <w:r w:rsidRPr="00F711FA">
        <w:rPr>
          <w:rFonts w:ascii="Times New Roman" w:hAnsi="Times New Roman" w:cs="Times New Roman"/>
          <w:noProof/>
          <w:kern w:val="0"/>
          <w:sz w:val="18"/>
          <w:lang w:val="en-US"/>
        </w:rPr>
        <w:t xml:space="preserve">Emotional Robustness in Times of Crisis: The Effects of Venture Funding on the Digital Communication Styles of Entrepreneurs. </w:t>
      </w:r>
      <w:r w:rsidRPr="00F711FA">
        <w:rPr>
          <w:rFonts w:ascii="Times New Roman" w:hAnsi="Times New Roman" w:cs="Times New Roman"/>
          <w:i/>
          <w:iCs/>
          <w:noProof/>
          <w:kern w:val="0"/>
          <w:sz w:val="18"/>
          <w:lang w:val="en-US"/>
        </w:rPr>
        <w:t>J. Small Bus. Enterp. Dev.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30</w:t>
      </w:r>
      <w:r w:rsidRPr="00F711FA">
        <w:rPr>
          <w:rFonts w:ascii="Times New Roman" w:hAnsi="Times New Roman" w:cs="Times New Roman"/>
          <w:noProof/>
          <w:kern w:val="0"/>
          <w:sz w:val="18"/>
          <w:lang w:val="en-US"/>
        </w:rPr>
        <w:t>(4), 828–850. https://doi.org/10.1108/JSBED-10-2022-0423</w:t>
      </w:r>
    </w:p>
    <w:p w14:paraId="576C303C"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Kaufmann, R., &amp; Buckner, M. M. (2014). To Connect or Promote?: An Exploratory Examination of Facebook Pages Dedicated to Moms. </w:t>
      </w:r>
      <w:r w:rsidRPr="00F711FA">
        <w:rPr>
          <w:rFonts w:ascii="Times New Roman" w:hAnsi="Times New Roman" w:cs="Times New Roman"/>
          <w:i/>
          <w:iCs/>
          <w:noProof/>
          <w:kern w:val="0"/>
          <w:sz w:val="18"/>
          <w:lang w:val="en-US"/>
        </w:rPr>
        <w:t>Comput. Human Behav.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35</w:t>
      </w:r>
      <w:r w:rsidRPr="00F711FA">
        <w:rPr>
          <w:rFonts w:ascii="Times New Roman" w:hAnsi="Times New Roman" w:cs="Times New Roman"/>
          <w:noProof/>
          <w:kern w:val="0"/>
          <w:sz w:val="18"/>
          <w:lang w:val="en-US"/>
        </w:rPr>
        <w:t>, 479–482. https://doi.org/10.1016/j.chb.2014.02.030</w:t>
      </w:r>
    </w:p>
    <w:p w14:paraId="6C8359D7"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Ko, E. (Emily), Kim, D., &amp; Kim, G. (2022). Influence of Emojis on User Engagement in Brand-Related User Generated Content. </w:t>
      </w:r>
      <w:r w:rsidRPr="00F711FA">
        <w:rPr>
          <w:rFonts w:ascii="Times New Roman" w:hAnsi="Times New Roman" w:cs="Times New Roman"/>
          <w:i/>
          <w:iCs/>
          <w:noProof/>
          <w:kern w:val="0"/>
          <w:sz w:val="18"/>
          <w:lang w:val="en-US"/>
        </w:rPr>
        <w:t>Comput. Human Behav.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136</w:t>
      </w:r>
      <w:r w:rsidRPr="00F711FA">
        <w:rPr>
          <w:rFonts w:ascii="Times New Roman" w:hAnsi="Times New Roman" w:cs="Times New Roman"/>
          <w:noProof/>
          <w:kern w:val="0"/>
          <w:sz w:val="18"/>
          <w:lang w:val="en-US"/>
        </w:rPr>
        <w:t>, 107387. https://doi.org/10.1016/j.chb.2022.107387</w:t>
      </w:r>
    </w:p>
    <w:p w14:paraId="061A8A77"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Labrecque, L. I., Swani, K., &amp; Stephen, A. T. (2020). The Impact of Pronoun Choices on Consumer Engagement Actions: Exploring Top Global Brands’ Social Media Communications. </w:t>
      </w:r>
      <w:r w:rsidRPr="00F711FA">
        <w:rPr>
          <w:rFonts w:ascii="Times New Roman" w:hAnsi="Times New Roman" w:cs="Times New Roman"/>
          <w:i/>
          <w:iCs/>
          <w:noProof/>
          <w:kern w:val="0"/>
          <w:sz w:val="18"/>
          <w:lang w:val="en-US"/>
        </w:rPr>
        <w:t>Psychol. Mark.</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37</w:t>
      </w:r>
      <w:r w:rsidRPr="00F711FA">
        <w:rPr>
          <w:rFonts w:ascii="Times New Roman" w:hAnsi="Times New Roman" w:cs="Times New Roman"/>
          <w:noProof/>
          <w:kern w:val="0"/>
          <w:sz w:val="18"/>
          <w:lang w:val="en-US"/>
        </w:rPr>
        <w:t>(6), 796–814. https://doi.org/10.1002/mar.21341</w:t>
      </w:r>
    </w:p>
    <w:p w14:paraId="433EA65C"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Leggett, A. (2017). Online Civic Engagement and the Anti-domestic Violence Movement in China: Shifting Norms and Influencing Law. </w:t>
      </w:r>
      <w:r w:rsidRPr="00F711FA">
        <w:rPr>
          <w:rFonts w:ascii="Times New Roman" w:hAnsi="Times New Roman" w:cs="Times New Roman"/>
          <w:i/>
          <w:iCs/>
          <w:noProof/>
          <w:kern w:val="0"/>
          <w:sz w:val="18"/>
          <w:lang w:val="en-US"/>
        </w:rPr>
        <w:t>Voluntas</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28</w:t>
      </w:r>
      <w:r w:rsidRPr="00F711FA">
        <w:rPr>
          <w:rFonts w:ascii="Times New Roman" w:hAnsi="Times New Roman" w:cs="Times New Roman"/>
          <w:noProof/>
          <w:kern w:val="0"/>
          <w:sz w:val="18"/>
          <w:lang w:val="en-US"/>
        </w:rPr>
        <w:t>(5), 2251–2277. https://doi.org/10.1007/s11266-016-9680-9</w:t>
      </w:r>
    </w:p>
    <w:p w14:paraId="5580FAED"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Li, M., Chng, E., Chong, A. Y. L., &amp; See, S. (2019). An Empirical Analysis of Emoji Usage on Twitter. </w:t>
      </w:r>
      <w:r w:rsidRPr="00F711FA">
        <w:rPr>
          <w:rFonts w:ascii="Times New Roman" w:hAnsi="Times New Roman" w:cs="Times New Roman"/>
          <w:i/>
          <w:iCs/>
          <w:noProof/>
          <w:kern w:val="0"/>
          <w:sz w:val="18"/>
          <w:lang w:val="en-US"/>
        </w:rPr>
        <w:t>Ind. Manag. Data Syst.</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119</w:t>
      </w:r>
      <w:r w:rsidRPr="00F711FA">
        <w:rPr>
          <w:rFonts w:ascii="Times New Roman" w:hAnsi="Times New Roman" w:cs="Times New Roman"/>
          <w:noProof/>
          <w:kern w:val="0"/>
          <w:sz w:val="18"/>
          <w:lang w:val="en-US"/>
        </w:rPr>
        <w:t>(8), 1748–1763. https://doi.org/10.1108/IMDS-01-2019-0001</w:t>
      </w:r>
    </w:p>
    <w:p w14:paraId="50273854"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Lu, Q. S., &amp; Miller, R. (2019). How Social Media Communications Combine with Customer Loyalty Management to Boost Green Retail Sales. </w:t>
      </w:r>
      <w:r w:rsidRPr="00F711FA">
        <w:rPr>
          <w:rFonts w:ascii="Times New Roman" w:hAnsi="Times New Roman" w:cs="Times New Roman"/>
          <w:i/>
          <w:iCs/>
          <w:noProof/>
          <w:kern w:val="0"/>
          <w:sz w:val="18"/>
          <w:lang w:val="en-US"/>
        </w:rPr>
        <w:t>J. Interact. Mark.</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46</w:t>
      </w:r>
      <w:r w:rsidRPr="00F711FA">
        <w:rPr>
          <w:rFonts w:ascii="Times New Roman" w:hAnsi="Times New Roman" w:cs="Times New Roman"/>
          <w:noProof/>
          <w:kern w:val="0"/>
          <w:sz w:val="18"/>
          <w:lang w:val="en-US"/>
        </w:rPr>
        <w:t>(1), 87–100. https://doi.org/10.1016/j.intmar.2018.12.005</w:t>
      </w:r>
    </w:p>
    <w:p w14:paraId="0BA8CD61"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Mann, M., Byun, S. E., &amp; Ginder, W. (2021). B corps’ social media communications during the covid-19 pandemic: Through the lens of the triple bottom line. </w:t>
      </w:r>
      <w:r w:rsidRPr="00F711FA">
        <w:rPr>
          <w:rFonts w:ascii="Times New Roman" w:hAnsi="Times New Roman" w:cs="Times New Roman"/>
          <w:i/>
          <w:iCs/>
          <w:noProof/>
          <w:kern w:val="0"/>
          <w:sz w:val="18"/>
          <w:lang w:val="en-US"/>
        </w:rPr>
        <w:t>Sustain.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13</w:t>
      </w:r>
      <w:r w:rsidRPr="00F711FA">
        <w:rPr>
          <w:rFonts w:ascii="Times New Roman" w:hAnsi="Times New Roman" w:cs="Times New Roman"/>
          <w:noProof/>
          <w:kern w:val="0"/>
          <w:sz w:val="18"/>
          <w:lang w:val="en-US"/>
        </w:rPr>
        <w:t>(17), 1–21. https://doi.org/10.3390/su13179634</w:t>
      </w:r>
    </w:p>
    <w:p w14:paraId="65DBB41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Moor, L., &amp; Kanji, S. (2019). Money and Relationships Online: Communication and Norm Formation in Women’s Discussions of Couple Resource Allocation. </w:t>
      </w:r>
      <w:r w:rsidRPr="00F711FA">
        <w:rPr>
          <w:rFonts w:ascii="Times New Roman" w:hAnsi="Times New Roman" w:cs="Times New Roman"/>
          <w:i/>
          <w:iCs/>
          <w:noProof/>
          <w:kern w:val="0"/>
          <w:sz w:val="18"/>
          <w:lang w:val="en-US"/>
        </w:rPr>
        <w:t>Br. J. Sociol.</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70</w:t>
      </w:r>
      <w:r w:rsidRPr="00F711FA">
        <w:rPr>
          <w:rFonts w:ascii="Times New Roman" w:hAnsi="Times New Roman" w:cs="Times New Roman"/>
          <w:noProof/>
          <w:kern w:val="0"/>
          <w:sz w:val="18"/>
          <w:lang w:val="en-US"/>
        </w:rPr>
        <w:t>(3), 948–968. https://doi.org/10.1111/1468-4446.12492</w:t>
      </w:r>
    </w:p>
    <w:p w14:paraId="3897C20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Mousavi, R., &amp; Gu, B. (2023). Resilience Messaging: The Effect of Governors’ Social Media Communications on Community Compliance During a Public Health Crisis. </w:t>
      </w:r>
      <w:r w:rsidRPr="00F711FA">
        <w:rPr>
          <w:rFonts w:ascii="Times New Roman" w:hAnsi="Times New Roman" w:cs="Times New Roman"/>
          <w:i/>
          <w:iCs/>
          <w:noProof/>
          <w:kern w:val="0"/>
          <w:sz w:val="18"/>
          <w:lang w:val="en-US"/>
        </w:rPr>
        <w:t>Inf. Syst. Res.</w:t>
      </w:r>
      <w:r w:rsidRPr="00F711FA">
        <w:rPr>
          <w:rFonts w:ascii="Times New Roman" w:hAnsi="Times New Roman" w:cs="Times New Roman"/>
          <w:noProof/>
          <w:kern w:val="0"/>
          <w:sz w:val="18"/>
          <w:lang w:val="en-US"/>
        </w:rPr>
        <w:t>, 1–49. https://doi.org/10.1287/isre.2021.0599</w:t>
      </w:r>
    </w:p>
    <w:p w14:paraId="30FA3AF7"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Oates, S. (2012). Political Challengers or Political Outcasts?: Comparing Online Communication for the Communist Party of the Russian Federation and the British Liberal Democrats. </w:t>
      </w:r>
      <w:r w:rsidRPr="00F711FA">
        <w:rPr>
          <w:rFonts w:ascii="Times New Roman" w:hAnsi="Times New Roman" w:cs="Times New Roman"/>
          <w:i/>
          <w:iCs/>
          <w:noProof/>
          <w:kern w:val="0"/>
          <w:sz w:val="18"/>
          <w:lang w:val="en-US"/>
        </w:rPr>
        <w:t>Eur. Asia. Stud.</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64</w:t>
      </w:r>
      <w:r w:rsidRPr="00F711FA">
        <w:rPr>
          <w:rFonts w:ascii="Times New Roman" w:hAnsi="Times New Roman" w:cs="Times New Roman"/>
          <w:noProof/>
          <w:kern w:val="0"/>
          <w:sz w:val="18"/>
          <w:lang w:val="en-US"/>
        </w:rPr>
        <w:t>(8), 1460–1485. https://doi.org/10.1080/09668136.2012.712277</w:t>
      </w:r>
    </w:p>
    <w:p w14:paraId="0AB4DBB8"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Paakki, H., Vepsäläinen, H., &amp; Salovaara, A. (2021). Disruptive online communication: How asymmetric trolling-like response strategies steer conversation off the track. </w:t>
      </w:r>
      <w:r w:rsidRPr="00F711FA">
        <w:rPr>
          <w:rFonts w:ascii="Times New Roman" w:hAnsi="Times New Roman" w:cs="Times New Roman"/>
          <w:i/>
          <w:iCs/>
          <w:noProof/>
          <w:kern w:val="0"/>
          <w:sz w:val="18"/>
          <w:lang w:val="en-US"/>
        </w:rPr>
        <w:t>Comput. Support. Coop. Work An Int. J.</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30</w:t>
      </w:r>
      <w:r w:rsidRPr="00F711FA">
        <w:rPr>
          <w:rFonts w:ascii="Times New Roman" w:hAnsi="Times New Roman" w:cs="Times New Roman"/>
          <w:noProof/>
          <w:kern w:val="0"/>
          <w:sz w:val="18"/>
          <w:lang w:val="en-US"/>
        </w:rPr>
        <w:t>(3), 425–461. https://doi.org/10.1007/s10606-021-09397-1</w:t>
      </w:r>
    </w:p>
    <w:p w14:paraId="575DC7FB"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Palazzo, M., Vollero, A., Foroudi, P., &amp; Siano, A. (2019). Evaluating Constitutive Dimensions of CSR E-Communication: A Comparison between ‘Business-To-Business’ and ‘Close-To-Market’ Companies. </w:t>
      </w:r>
      <w:r w:rsidRPr="00F711FA">
        <w:rPr>
          <w:rFonts w:ascii="Times New Roman" w:hAnsi="Times New Roman" w:cs="Times New Roman"/>
          <w:i/>
          <w:iCs/>
          <w:noProof/>
          <w:kern w:val="0"/>
          <w:sz w:val="18"/>
          <w:lang w:val="en-US"/>
        </w:rPr>
        <w:t>J. Business-to-Bus. Mark.</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26</w:t>
      </w:r>
      <w:r w:rsidRPr="00F711FA">
        <w:rPr>
          <w:rFonts w:ascii="Times New Roman" w:hAnsi="Times New Roman" w:cs="Times New Roman"/>
          <w:noProof/>
          <w:kern w:val="0"/>
          <w:sz w:val="18"/>
          <w:lang w:val="en-US"/>
        </w:rPr>
        <w:t>(3–4), 341–355. https://doi.org/10.1080/1051712X.2019.1611087</w:t>
      </w:r>
    </w:p>
    <w:p w14:paraId="43CDD37B"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Pantano, E., Dennis, C., &amp; De Pietro, M. (2021). Shopping Centers Revisited: The Interplay between Consumers’ Spontaneous Online Communications and Retail Planning. </w:t>
      </w:r>
      <w:r w:rsidRPr="00F711FA">
        <w:rPr>
          <w:rFonts w:ascii="Times New Roman" w:hAnsi="Times New Roman" w:cs="Times New Roman"/>
          <w:i/>
          <w:iCs/>
          <w:noProof/>
          <w:kern w:val="0"/>
          <w:sz w:val="18"/>
          <w:lang w:val="en-US"/>
        </w:rPr>
        <w:t>J. Retail. Consum. Serv.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61</w:t>
      </w:r>
      <w:r w:rsidRPr="00F711FA">
        <w:rPr>
          <w:rFonts w:ascii="Times New Roman" w:hAnsi="Times New Roman" w:cs="Times New Roman"/>
          <w:noProof/>
          <w:kern w:val="0"/>
          <w:sz w:val="18"/>
          <w:lang w:val="en-US"/>
        </w:rPr>
        <w:t>(April), 102576. https://doi.org/10.1016/j.jretconser.2021.102576</w:t>
      </w:r>
    </w:p>
    <w:p w14:paraId="4A36F3B8"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Paul, J., Parameswar, N., Sindhani, M., &amp; Dhir, S. (2021). </w:t>
      </w:r>
      <w:r w:rsidRPr="00F711FA">
        <w:rPr>
          <w:rFonts w:ascii="Times New Roman" w:hAnsi="Times New Roman" w:cs="Times New Roman"/>
          <w:noProof/>
          <w:kern w:val="0"/>
          <w:sz w:val="18"/>
          <w:lang w:val="en-US"/>
        </w:rPr>
        <w:t xml:space="preserve">Use of Microblogging Platform for Digital Communication in Politics. </w:t>
      </w:r>
      <w:r w:rsidRPr="00F711FA">
        <w:rPr>
          <w:rFonts w:ascii="Times New Roman" w:hAnsi="Times New Roman" w:cs="Times New Roman"/>
          <w:i/>
          <w:iCs/>
          <w:noProof/>
          <w:kern w:val="0"/>
          <w:sz w:val="18"/>
          <w:lang w:val="en-US"/>
        </w:rPr>
        <w:t>J. Bus. Res.</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127</w:t>
      </w:r>
      <w:r w:rsidRPr="00F711FA">
        <w:rPr>
          <w:rFonts w:ascii="Times New Roman" w:hAnsi="Times New Roman" w:cs="Times New Roman"/>
          <w:noProof/>
          <w:kern w:val="0"/>
          <w:sz w:val="18"/>
          <w:lang w:val="en-US"/>
        </w:rPr>
        <w:t>(February), 322–331. https://doi.org/10.1016/j.jbusres.2021.01.046</w:t>
      </w:r>
    </w:p>
    <w:p w14:paraId="3930B21C"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Paxton, A., Varoquaux, N., Holdgraf, C., &amp; Geiger, R. S. (2022). Community, Time, and (Con)text: A Dynamical Systems Analysis of Online Communication and Community Health among Open-Source Software Communities. </w:t>
      </w:r>
      <w:r w:rsidRPr="00F711FA">
        <w:rPr>
          <w:rFonts w:ascii="Times New Roman" w:hAnsi="Times New Roman" w:cs="Times New Roman"/>
          <w:i/>
          <w:iCs/>
          <w:noProof/>
          <w:kern w:val="0"/>
          <w:sz w:val="18"/>
          <w:lang w:val="en-US"/>
        </w:rPr>
        <w:t>Cogn. Sci.</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46</w:t>
      </w:r>
      <w:r w:rsidRPr="00F711FA">
        <w:rPr>
          <w:rFonts w:ascii="Times New Roman" w:hAnsi="Times New Roman" w:cs="Times New Roman"/>
          <w:noProof/>
          <w:kern w:val="0"/>
          <w:sz w:val="18"/>
          <w:lang w:val="en-US"/>
        </w:rPr>
        <w:t>(5), 1–27. https://doi.org/10.1111/cogs.13134</w:t>
      </w:r>
    </w:p>
    <w:p w14:paraId="1C2DB4F7"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Platania, F., Hernandez, C. T., &amp; Arreola, F. (2022). Social Media Communication during Natural Disasters and the Impact on the Agricultural Market. </w:t>
      </w:r>
      <w:r w:rsidRPr="00F711FA">
        <w:rPr>
          <w:rFonts w:ascii="Times New Roman" w:hAnsi="Times New Roman" w:cs="Times New Roman"/>
          <w:i/>
          <w:iCs/>
          <w:noProof/>
          <w:kern w:val="0"/>
          <w:sz w:val="18"/>
          <w:lang w:val="en-US"/>
        </w:rPr>
        <w:t>Technol. Forecast. Soc. Change</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179</w:t>
      </w:r>
      <w:r w:rsidRPr="00F711FA">
        <w:rPr>
          <w:rFonts w:ascii="Times New Roman" w:hAnsi="Times New Roman" w:cs="Times New Roman"/>
          <w:noProof/>
          <w:kern w:val="0"/>
          <w:sz w:val="18"/>
          <w:lang w:val="en-US"/>
        </w:rPr>
        <w:t>, 121594. https://doi.org/10.1016/j.techfore.2022.121594</w:t>
      </w:r>
    </w:p>
    <w:p w14:paraId="20842493"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Prabowo, R., Thelwall, M., Hellsten, I., &amp; Scharnhorst, A. (2008). Evolving Debates in Online Communication: A Graph Analytical Approach. </w:t>
      </w:r>
      <w:r w:rsidRPr="00F711FA">
        <w:rPr>
          <w:rFonts w:ascii="Times New Roman" w:hAnsi="Times New Roman" w:cs="Times New Roman"/>
          <w:i/>
          <w:iCs/>
          <w:noProof/>
          <w:kern w:val="0"/>
          <w:sz w:val="18"/>
          <w:lang w:val="en-US"/>
        </w:rPr>
        <w:t>Internet Res.</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18</w:t>
      </w:r>
      <w:r w:rsidRPr="00F711FA">
        <w:rPr>
          <w:rFonts w:ascii="Times New Roman" w:hAnsi="Times New Roman" w:cs="Times New Roman"/>
          <w:noProof/>
          <w:kern w:val="0"/>
          <w:sz w:val="18"/>
          <w:lang w:val="en-US"/>
        </w:rPr>
        <w:t>(5), 520–540. https://doi.org/10.1108/10662240810912765</w:t>
      </w:r>
    </w:p>
    <w:p w14:paraId="087BE1C4"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Raman, R., Bhattacharya, S., &amp; Pramod, D. (2019). Predict Employee Attrition by using Predictive Analytics. </w:t>
      </w:r>
      <w:r w:rsidRPr="00F711FA">
        <w:rPr>
          <w:rFonts w:ascii="Times New Roman" w:hAnsi="Times New Roman" w:cs="Times New Roman"/>
          <w:i/>
          <w:iCs/>
          <w:noProof/>
          <w:kern w:val="0"/>
          <w:sz w:val="18"/>
          <w:lang w:val="en-US"/>
        </w:rPr>
        <w:t>Benchmarking</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26</w:t>
      </w:r>
      <w:r w:rsidRPr="00F711FA">
        <w:rPr>
          <w:rFonts w:ascii="Times New Roman" w:hAnsi="Times New Roman" w:cs="Times New Roman"/>
          <w:noProof/>
          <w:kern w:val="0"/>
          <w:sz w:val="18"/>
          <w:lang w:val="en-US"/>
        </w:rPr>
        <w:t>(1), 2–18. https://doi.org/10.1108/BIJ-03-2018-0083</w:t>
      </w:r>
    </w:p>
    <w:p w14:paraId="1390BED3"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Riordan, M. A., &amp; Kreuz, R. J. (2010). Cues in Computer-Mediated Communication: A Corpus Analysis. </w:t>
      </w:r>
      <w:r w:rsidRPr="00F711FA">
        <w:rPr>
          <w:rFonts w:ascii="Times New Roman" w:hAnsi="Times New Roman" w:cs="Times New Roman"/>
          <w:i/>
          <w:iCs/>
          <w:noProof/>
          <w:kern w:val="0"/>
          <w:sz w:val="18"/>
          <w:lang w:val="en-US"/>
        </w:rPr>
        <w:t>Comput. Human Behav.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26</w:t>
      </w:r>
      <w:r w:rsidRPr="00F711FA">
        <w:rPr>
          <w:rFonts w:ascii="Times New Roman" w:hAnsi="Times New Roman" w:cs="Times New Roman"/>
          <w:noProof/>
          <w:kern w:val="0"/>
          <w:sz w:val="18"/>
          <w:lang w:val="en-US"/>
        </w:rPr>
        <w:t>(6), 1806–1817. https://doi.org/10.1016/j.chb.2010.07.008</w:t>
      </w:r>
    </w:p>
    <w:p w14:paraId="32F554FB"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Samoggia, A., Bertazzoli, A., &amp; Ruggeri, A. (2019). Food Retailing Marketing Management: Social Media Communication for Healthy Food. </w:t>
      </w:r>
      <w:r w:rsidRPr="00F711FA">
        <w:rPr>
          <w:rFonts w:ascii="Times New Roman" w:hAnsi="Times New Roman" w:cs="Times New Roman"/>
          <w:i/>
          <w:iCs/>
          <w:noProof/>
          <w:kern w:val="0"/>
          <w:sz w:val="18"/>
          <w:lang w:val="en-US"/>
        </w:rPr>
        <w:t xml:space="preserve">Int. J. Retail Distrib. </w:t>
      </w:r>
      <w:r w:rsidRPr="00F907E8">
        <w:rPr>
          <w:rFonts w:ascii="Times New Roman" w:hAnsi="Times New Roman" w:cs="Times New Roman"/>
          <w:i/>
          <w:iCs/>
          <w:noProof/>
          <w:kern w:val="0"/>
          <w:sz w:val="18"/>
        </w:rPr>
        <w:t>Manag.</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47</w:t>
      </w:r>
      <w:r w:rsidRPr="00F907E8">
        <w:rPr>
          <w:rFonts w:ascii="Times New Roman" w:hAnsi="Times New Roman" w:cs="Times New Roman"/>
          <w:noProof/>
          <w:kern w:val="0"/>
          <w:sz w:val="18"/>
        </w:rPr>
        <w:t>(9), 928–956. https://doi.org/10.1108/IJRDM-08-2018-0178</w:t>
      </w:r>
    </w:p>
    <w:p w14:paraId="08CA0118"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Schoch, M., Gimpel, H., Maier, A., &amp; Neumeier, K. (2022). </w:t>
      </w:r>
      <w:r w:rsidRPr="00F711FA">
        <w:rPr>
          <w:rFonts w:ascii="Times New Roman" w:hAnsi="Times New Roman" w:cs="Times New Roman"/>
          <w:noProof/>
          <w:kern w:val="0"/>
          <w:sz w:val="18"/>
          <w:lang w:val="en-US"/>
        </w:rPr>
        <w:t xml:space="preserve">From Broken Habits to New Intentions: How COVID-19 Expands our Knowledge on Post-Adoptive use Behaviour of Digital Communication and Collaboration. </w:t>
      </w:r>
      <w:r w:rsidRPr="00F711FA">
        <w:rPr>
          <w:rFonts w:ascii="Times New Roman" w:hAnsi="Times New Roman" w:cs="Times New Roman"/>
          <w:i/>
          <w:iCs/>
          <w:noProof/>
          <w:kern w:val="0"/>
          <w:sz w:val="18"/>
          <w:lang w:val="en-US"/>
        </w:rPr>
        <w:t>Eur. J. Inf. Syst.</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32</w:t>
      </w:r>
      <w:r w:rsidRPr="00F711FA">
        <w:rPr>
          <w:rFonts w:ascii="Times New Roman" w:hAnsi="Times New Roman" w:cs="Times New Roman"/>
          <w:noProof/>
          <w:kern w:val="0"/>
          <w:sz w:val="18"/>
          <w:lang w:val="en-US"/>
        </w:rPr>
        <w:t>(6), 989–1010. https://doi.org/10.1080/0960085X.2022.2096489</w:t>
      </w:r>
    </w:p>
    <w:p w14:paraId="4898BC6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Seshadri, S., &amp; Carstenson, L. (2007). The perils of e‐mail communications in nonprofits. </w:t>
      </w:r>
      <w:r w:rsidRPr="00F711FA">
        <w:rPr>
          <w:rFonts w:ascii="Times New Roman" w:hAnsi="Times New Roman" w:cs="Times New Roman"/>
          <w:i/>
          <w:iCs/>
          <w:noProof/>
          <w:kern w:val="0"/>
          <w:sz w:val="18"/>
          <w:lang w:val="en-US"/>
        </w:rPr>
        <w:t>Nonprofit Manag. Leadersh.</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18</w:t>
      </w:r>
      <w:r w:rsidRPr="00F711FA">
        <w:rPr>
          <w:rFonts w:ascii="Times New Roman" w:hAnsi="Times New Roman" w:cs="Times New Roman"/>
          <w:noProof/>
          <w:kern w:val="0"/>
          <w:sz w:val="18"/>
          <w:lang w:val="en-US"/>
        </w:rPr>
        <w:t>(1), 77–99. https://doi.org/10.1002/nml.172</w:t>
      </w:r>
    </w:p>
    <w:p w14:paraId="267F93BB"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Sheng, J. (2019). Being Active in Online Communications: Firm Responsiveness and Customer Engagement Behaviour. </w:t>
      </w:r>
      <w:r w:rsidRPr="00F711FA">
        <w:rPr>
          <w:rFonts w:ascii="Times New Roman" w:hAnsi="Times New Roman" w:cs="Times New Roman"/>
          <w:i/>
          <w:iCs/>
          <w:noProof/>
          <w:kern w:val="0"/>
          <w:sz w:val="18"/>
          <w:lang w:val="en-US"/>
        </w:rPr>
        <w:t>J. Interact. Mark.</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46</w:t>
      </w:r>
      <w:r w:rsidRPr="00F711FA">
        <w:rPr>
          <w:rFonts w:ascii="Times New Roman" w:hAnsi="Times New Roman" w:cs="Times New Roman"/>
          <w:noProof/>
          <w:kern w:val="0"/>
          <w:sz w:val="18"/>
          <w:lang w:val="en-US"/>
        </w:rPr>
        <w:t>, 40–51. https://doi.org/10.1016/j.intmar.2018.11.004</w:t>
      </w:r>
    </w:p>
    <w:p w14:paraId="07533325"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Singh, S. K., Marinova, D., &amp; Singh, J. (2020). Business-to-Business E-Negotiations and Influence Tactics. </w:t>
      </w:r>
      <w:r w:rsidRPr="00F907E8">
        <w:rPr>
          <w:rFonts w:ascii="Times New Roman" w:hAnsi="Times New Roman" w:cs="Times New Roman"/>
          <w:i/>
          <w:iCs/>
          <w:noProof/>
          <w:kern w:val="0"/>
          <w:sz w:val="18"/>
        </w:rPr>
        <w:t>J. Mark.</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84</w:t>
      </w:r>
      <w:r w:rsidRPr="00F907E8">
        <w:rPr>
          <w:rFonts w:ascii="Times New Roman" w:hAnsi="Times New Roman" w:cs="Times New Roman"/>
          <w:noProof/>
          <w:kern w:val="0"/>
          <w:sz w:val="18"/>
        </w:rPr>
        <w:t>(2), 47–68. https://doi.org/10.1177/0022242919899381</w:t>
      </w:r>
    </w:p>
    <w:p w14:paraId="1DDDCD7D"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Skovholt, K., Grønning, A., &amp; Kankaanranta, A. (2014). </w:t>
      </w:r>
      <w:r w:rsidRPr="00F711FA">
        <w:rPr>
          <w:rFonts w:ascii="Times New Roman" w:hAnsi="Times New Roman" w:cs="Times New Roman"/>
          <w:noProof/>
          <w:kern w:val="0"/>
          <w:sz w:val="18"/>
          <w:lang w:val="en-US"/>
        </w:rPr>
        <w:t xml:space="preserve">The Communicative Functions of Emoticons in Workplace E-Mails::-). </w:t>
      </w:r>
      <w:r w:rsidRPr="00F711FA">
        <w:rPr>
          <w:rFonts w:ascii="Times New Roman" w:hAnsi="Times New Roman" w:cs="Times New Roman"/>
          <w:i/>
          <w:iCs/>
          <w:noProof/>
          <w:kern w:val="0"/>
          <w:sz w:val="18"/>
          <w:lang w:val="en-US"/>
        </w:rPr>
        <w:t>J. Comput. Commun.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19</w:t>
      </w:r>
      <w:r w:rsidRPr="00F711FA">
        <w:rPr>
          <w:rFonts w:ascii="Times New Roman" w:hAnsi="Times New Roman" w:cs="Times New Roman"/>
          <w:noProof/>
          <w:kern w:val="0"/>
          <w:sz w:val="18"/>
          <w:lang w:val="en-US"/>
        </w:rPr>
        <w:t>(4), 780–797. https://doi.org/10.1111/jcc4.12063</w:t>
      </w:r>
    </w:p>
    <w:p w14:paraId="6120ECFB"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Sonnier, G. P., Mcalister, L., &amp; Rutz, O. J. (2011). A Dynamic Model of the Effect of Online Communications on Firm Sales. </w:t>
      </w:r>
      <w:r w:rsidRPr="00F907E8">
        <w:rPr>
          <w:rFonts w:ascii="Times New Roman" w:hAnsi="Times New Roman" w:cs="Times New Roman"/>
          <w:i/>
          <w:iCs/>
          <w:noProof/>
          <w:kern w:val="0"/>
          <w:sz w:val="18"/>
        </w:rPr>
        <w:t>Mark. Sci.</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30</w:t>
      </w:r>
      <w:r w:rsidRPr="00F907E8">
        <w:rPr>
          <w:rFonts w:ascii="Times New Roman" w:hAnsi="Times New Roman" w:cs="Times New Roman"/>
          <w:noProof/>
          <w:kern w:val="0"/>
          <w:sz w:val="18"/>
        </w:rPr>
        <w:t>(4), 702–716. https://doi.org/10.1287/mksc.1110.0642</w:t>
      </w:r>
    </w:p>
    <w:p w14:paraId="47303858"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Srinivasan, R., Jha, A. K., &amp; Verma, N. K. (2023). </w:t>
      </w:r>
      <w:r w:rsidRPr="00F711FA">
        <w:rPr>
          <w:rFonts w:ascii="Times New Roman" w:hAnsi="Times New Roman" w:cs="Times New Roman"/>
          <w:noProof/>
          <w:kern w:val="0"/>
          <w:sz w:val="18"/>
          <w:lang w:val="en-US"/>
        </w:rPr>
        <w:t xml:space="preserve">To Talk or Not?: An Analysis of Firm-Initiated Social Media Communication’s Impact on Firm Value Preservation during a Massive Disruption across Multiple Firms and Industries. </w:t>
      </w:r>
      <w:r w:rsidRPr="00F711FA">
        <w:rPr>
          <w:rFonts w:ascii="Times New Roman" w:hAnsi="Times New Roman" w:cs="Times New Roman"/>
          <w:i/>
          <w:iCs/>
          <w:noProof/>
          <w:kern w:val="0"/>
          <w:sz w:val="18"/>
          <w:lang w:val="en-US"/>
        </w:rPr>
        <w:t>Decis. Sci.</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54</w:t>
      </w:r>
      <w:r w:rsidRPr="00F711FA">
        <w:rPr>
          <w:rFonts w:ascii="Times New Roman" w:hAnsi="Times New Roman" w:cs="Times New Roman"/>
          <w:noProof/>
          <w:kern w:val="0"/>
          <w:sz w:val="18"/>
          <w:lang w:val="en-US"/>
        </w:rPr>
        <w:t>(4), 410–431. https://doi.org/10.1111/deci.12563</w:t>
      </w:r>
    </w:p>
    <w:p w14:paraId="1FEE55AC"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Sussman, S. W., &amp; Sproull, L. (1999). Straight Talk: Delivering Bad News Through Electronic Communication. </w:t>
      </w:r>
      <w:r w:rsidRPr="00F711FA">
        <w:rPr>
          <w:rFonts w:ascii="Times New Roman" w:hAnsi="Times New Roman" w:cs="Times New Roman"/>
          <w:i/>
          <w:iCs/>
          <w:noProof/>
          <w:kern w:val="0"/>
          <w:sz w:val="18"/>
          <w:lang w:val="en-US"/>
        </w:rPr>
        <w:t>Inf. Syst. Res.</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10</w:t>
      </w:r>
      <w:r w:rsidRPr="00F711FA">
        <w:rPr>
          <w:rFonts w:ascii="Times New Roman" w:hAnsi="Times New Roman" w:cs="Times New Roman"/>
          <w:noProof/>
          <w:kern w:val="0"/>
          <w:sz w:val="18"/>
          <w:lang w:val="en-US"/>
        </w:rPr>
        <w:t>(2), 150–166. https://doi.org/10.1287/isre.10.2.150</w:t>
      </w:r>
    </w:p>
    <w:p w14:paraId="155968D3"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Swani, K., Milne, G. R., Brown, B. P., Assaf, A. G., &amp; Donthu, N. (2017). What messages to post? Evaluating the popularity of social media communications in business versus consumer markets. </w:t>
      </w:r>
      <w:r w:rsidRPr="00F907E8">
        <w:rPr>
          <w:rFonts w:ascii="Times New Roman" w:hAnsi="Times New Roman" w:cs="Times New Roman"/>
          <w:i/>
          <w:iCs/>
          <w:noProof/>
          <w:kern w:val="0"/>
          <w:sz w:val="18"/>
        </w:rPr>
        <w:t>Ind. Mark. Manag.</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62</w:t>
      </w:r>
      <w:r w:rsidRPr="00F907E8">
        <w:rPr>
          <w:rFonts w:ascii="Times New Roman" w:hAnsi="Times New Roman" w:cs="Times New Roman"/>
          <w:noProof/>
          <w:kern w:val="0"/>
          <w:sz w:val="18"/>
        </w:rPr>
        <w:t>, 77–87. https://doi.org/10.1016/j.indmarman.2016.07.006</w:t>
      </w:r>
    </w:p>
    <w:p w14:paraId="2217291E"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Torpe, L., &amp; Nielsen, J. (2004). </w:t>
      </w:r>
      <w:r w:rsidRPr="00F711FA">
        <w:rPr>
          <w:rFonts w:ascii="Times New Roman" w:hAnsi="Times New Roman" w:cs="Times New Roman"/>
          <w:noProof/>
          <w:kern w:val="0"/>
          <w:sz w:val="18"/>
          <w:lang w:val="en-US"/>
        </w:rPr>
        <w:t xml:space="preserve">Digital Communication Between Local Authorities and Citizens in Denmark. </w:t>
      </w:r>
      <w:r w:rsidRPr="00F711FA">
        <w:rPr>
          <w:rFonts w:ascii="Times New Roman" w:hAnsi="Times New Roman" w:cs="Times New Roman"/>
          <w:i/>
          <w:iCs/>
          <w:noProof/>
          <w:kern w:val="0"/>
          <w:sz w:val="18"/>
          <w:lang w:val="en-US"/>
        </w:rPr>
        <w:t>Local Gov. Stud.</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30</w:t>
      </w:r>
      <w:r w:rsidRPr="00F711FA">
        <w:rPr>
          <w:rFonts w:ascii="Times New Roman" w:hAnsi="Times New Roman" w:cs="Times New Roman"/>
          <w:noProof/>
          <w:kern w:val="0"/>
          <w:sz w:val="18"/>
          <w:lang w:val="en-US"/>
        </w:rPr>
        <w:t>(2), 230–244. https://doi.org/10.1080/0300393042000267254</w:t>
      </w:r>
    </w:p>
    <w:p w14:paraId="6D911BCB"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Trier, M. (2008). Towards Dynamic Visualization for Understanding Evolution of Digital Communication Networks. </w:t>
      </w:r>
      <w:r w:rsidRPr="00F711FA">
        <w:rPr>
          <w:rFonts w:ascii="Times New Roman" w:hAnsi="Times New Roman" w:cs="Times New Roman"/>
          <w:i/>
          <w:iCs/>
          <w:noProof/>
          <w:kern w:val="0"/>
          <w:sz w:val="18"/>
          <w:lang w:val="en-US"/>
        </w:rPr>
        <w:t>Inf. Syst. Res.</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19</w:t>
      </w:r>
      <w:r w:rsidRPr="00F711FA">
        <w:rPr>
          <w:rFonts w:ascii="Times New Roman" w:hAnsi="Times New Roman" w:cs="Times New Roman"/>
          <w:noProof/>
          <w:kern w:val="0"/>
          <w:sz w:val="18"/>
          <w:lang w:val="en-US"/>
        </w:rPr>
        <w:t>(3), 335–350. https://doi.org/10.1287/isre.l080.0191</w:t>
      </w:r>
    </w:p>
    <w:p w14:paraId="72E427EA"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Vollero, A., Siano, A., Palazzo, M., &amp; Amabile, S. (2020). Hoftsede’s Cultural Dimensions and Corporate Social Responsibility in Online Communication: Are They Independent Constructs? </w:t>
      </w:r>
      <w:r w:rsidRPr="00F711FA">
        <w:rPr>
          <w:rFonts w:ascii="Times New Roman" w:hAnsi="Times New Roman" w:cs="Times New Roman"/>
          <w:i/>
          <w:iCs/>
          <w:noProof/>
          <w:kern w:val="0"/>
          <w:sz w:val="18"/>
          <w:lang w:val="en-US"/>
        </w:rPr>
        <w:t>Corp. Soc. Responsib. Environ. Manag.</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27</w:t>
      </w:r>
      <w:r w:rsidRPr="00F711FA">
        <w:rPr>
          <w:rFonts w:ascii="Times New Roman" w:hAnsi="Times New Roman" w:cs="Times New Roman"/>
          <w:noProof/>
          <w:kern w:val="0"/>
          <w:sz w:val="18"/>
          <w:lang w:val="en-US"/>
        </w:rPr>
        <w:t>(1), 53–64. https://doi.org/10.1002/csr.1773</w:t>
      </w:r>
    </w:p>
    <w:p w14:paraId="35DC2EE0"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Vural, C. A., Baştuğ, S., &amp; Gülmez, S. (2021). Sustainable Brand Positioning by Container Shipping Firms: Evidence from Social Media Communications. </w:t>
      </w:r>
      <w:r w:rsidRPr="00F711FA">
        <w:rPr>
          <w:rFonts w:ascii="Times New Roman" w:hAnsi="Times New Roman" w:cs="Times New Roman"/>
          <w:i/>
          <w:iCs/>
          <w:noProof/>
          <w:kern w:val="0"/>
          <w:sz w:val="18"/>
          <w:lang w:val="en-US"/>
        </w:rPr>
        <w:t>Transp. Res. Part D Transp. Environ.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97</w:t>
      </w:r>
      <w:r w:rsidRPr="00F711FA">
        <w:rPr>
          <w:rFonts w:ascii="Times New Roman" w:hAnsi="Times New Roman" w:cs="Times New Roman"/>
          <w:noProof/>
          <w:kern w:val="0"/>
          <w:sz w:val="18"/>
          <w:lang w:val="en-US"/>
        </w:rPr>
        <w:t>. https://doi.org/10.1016/j.trd.2021.102938</w:t>
      </w:r>
    </w:p>
    <w:p w14:paraId="5AFF0C62"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rPr>
      </w:pPr>
      <w:r w:rsidRPr="00F711FA">
        <w:rPr>
          <w:rFonts w:ascii="Times New Roman" w:hAnsi="Times New Roman" w:cs="Times New Roman"/>
          <w:noProof/>
          <w:kern w:val="0"/>
          <w:sz w:val="18"/>
          <w:lang w:val="en-US"/>
        </w:rPr>
        <w:t xml:space="preserve">Wagner, T. F., Baccarella, C. V., &amp; Voigt, K. I. (2017). Framing Social Media Communication: Investigating the Effects of Brand Post Appeals on User Interaction. </w:t>
      </w:r>
      <w:r w:rsidRPr="00F907E8">
        <w:rPr>
          <w:rFonts w:ascii="Times New Roman" w:hAnsi="Times New Roman" w:cs="Times New Roman"/>
          <w:i/>
          <w:iCs/>
          <w:noProof/>
          <w:kern w:val="0"/>
          <w:sz w:val="18"/>
        </w:rPr>
        <w:t>Eur. Manag. J.</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35</w:t>
      </w:r>
      <w:r w:rsidRPr="00F907E8">
        <w:rPr>
          <w:rFonts w:ascii="Times New Roman" w:hAnsi="Times New Roman" w:cs="Times New Roman"/>
          <w:noProof/>
          <w:kern w:val="0"/>
          <w:sz w:val="18"/>
        </w:rPr>
        <w:t>(5), 606–616. https://doi.org/10.1016/j.emj.2017.05.002</w:t>
      </w:r>
    </w:p>
    <w:p w14:paraId="058AF09C"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907E8">
        <w:rPr>
          <w:rFonts w:ascii="Times New Roman" w:hAnsi="Times New Roman" w:cs="Times New Roman"/>
          <w:noProof/>
          <w:kern w:val="0"/>
          <w:sz w:val="18"/>
        </w:rPr>
        <w:t xml:space="preserve">Wang, N., Liang, H., Xue, Y., &amp; Ge, S. (2021). </w:t>
      </w:r>
      <w:r w:rsidRPr="00F711FA">
        <w:rPr>
          <w:rFonts w:ascii="Times New Roman" w:hAnsi="Times New Roman" w:cs="Times New Roman"/>
          <w:noProof/>
          <w:kern w:val="0"/>
          <w:sz w:val="18"/>
          <w:lang w:val="en-US"/>
        </w:rPr>
        <w:t xml:space="preserve">Mitigating Information Asymmetry to Achieve Crowdfunding Success: Signaling and Online Communication. </w:t>
      </w:r>
      <w:r w:rsidRPr="00F711FA">
        <w:rPr>
          <w:rFonts w:ascii="Times New Roman" w:hAnsi="Times New Roman" w:cs="Times New Roman"/>
          <w:i/>
          <w:iCs/>
          <w:noProof/>
          <w:kern w:val="0"/>
          <w:sz w:val="18"/>
          <w:lang w:val="en-US"/>
        </w:rPr>
        <w:t>J. Assoc. Inf. Syst.</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22</w:t>
      </w:r>
      <w:r w:rsidRPr="00F711FA">
        <w:rPr>
          <w:rFonts w:ascii="Times New Roman" w:hAnsi="Times New Roman" w:cs="Times New Roman"/>
          <w:noProof/>
          <w:kern w:val="0"/>
          <w:sz w:val="18"/>
          <w:lang w:val="en-US"/>
        </w:rPr>
        <w:t>(3), 773–796. https://doi.org/10.17705/1jais.00679</w:t>
      </w:r>
    </w:p>
    <w:p w14:paraId="3E3D3E74"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Warschauer, M., El Said, G. R., &amp; Zohry, A. (2002). Language Choice Online: Globalization and Identity in Egypt. </w:t>
      </w:r>
      <w:r w:rsidRPr="00F711FA">
        <w:rPr>
          <w:rFonts w:ascii="Times New Roman" w:hAnsi="Times New Roman" w:cs="Times New Roman"/>
          <w:i/>
          <w:iCs/>
          <w:noProof/>
          <w:kern w:val="0"/>
          <w:sz w:val="18"/>
          <w:lang w:val="en-US"/>
        </w:rPr>
        <w:t>J. Comput. Commun.</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7</w:t>
      </w:r>
      <w:r w:rsidRPr="00F711FA">
        <w:rPr>
          <w:rFonts w:ascii="Times New Roman" w:hAnsi="Times New Roman" w:cs="Times New Roman"/>
          <w:noProof/>
          <w:kern w:val="0"/>
          <w:sz w:val="18"/>
          <w:lang w:val="en-US"/>
        </w:rPr>
        <w:t>(4), 1–23. https://doi.org/10.1111/j.1083-6101.2002.tb00157.x</w:t>
      </w:r>
    </w:p>
    <w:p w14:paraId="4E91C14E"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Wasiak, J., Hicks, B., Newnes, L., Loftus, C., Dong, A., &amp; Burrow, L. (2011). Managing by E-mail: What E-Mail can do for Engineering Project Management. </w:t>
      </w:r>
      <w:r w:rsidRPr="00F711FA">
        <w:rPr>
          <w:rFonts w:ascii="Times New Roman" w:hAnsi="Times New Roman" w:cs="Times New Roman"/>
          <w:i/>
          <w:iCs/>
          <w:noProof/>
          <w:kern w:val="0"/>
          <w:sz w:val="18"/>
          <w:lang w:val="en-US"/>
        </w:rPr>
        <w:t>IEEE Trans. Eng. Manag.</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58</w:t>
      </w:r>
      <w:r w:rsidRPr="00F711FA">
        <w:rPr>
          <w:rFonts w:ascii="Times New Roman" w:hAnsi="Times New Roman" w:cs="Times New Roman"/>
          <w:noProof/>
          <w:kern w:val="0"/>
          <w:sz w:val="18"/>
          <w:lang w:val="en-US"/>
        </w:rPr>
        <w:t>(3), 445–456. https://doi.org/10.1109/TEM.2010.2090160</w:t>
      </w:r>
    </w:p>
    <w:p w14:paraId="48B1AD05"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Wen, Q., Gloor, P. A., Colladon, A. F., Tickoo, P., &amp; Joshi, T. (2020). Finding Top Performers through Email Patterns Analysis. </w:t>
      </w:r>
      <w:r w:rsidRPr="00F711FA">
        <w:rPr>
          <w:rFonts w:ascii="Times New Roman" w:hAnsi="Times New Roman" w:cs="Times New Roman"/>
          <w:i/>
          <w:iCs/>
          <w:noProof/>
          <w:kern w:val="0"/>
          <w:sz w:val="18"/>
          <w:lang w:val="en-US"/>
        </w:rPr>
        <w:t>J. Inf. Sci.</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46</w:t>
      </w:r>
      <w:r w:rsidRPr="00F711FA">
        <w:rPr>
          <w:rFonts w:ascii="Times New Roman" w:hAnsi="Times New Roman" w:cs="Times New Roman"/>
          <w:noProof/>
          <w:kern w:val="0"/>
          <w:sz w:val="18"/>
          <w:lang w:val="en-US"/>
        </w:rPr>
        <w:t>(4), 508–527. https://doi.org/10.1177/0165551519849519</w:t>
      </w:r>
    </w:p>
    <w:p w14:paraId="634770EE"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Xu, J. J., Fedorowicz, J., &amp; Williams, C. B. (2019). Effects of symbol sets and needs gratifications on audience engagement: Contextualizing police social media communication. </w:t>
      </w:r>
      <w:r w:rsidRPr="00F711FA">
        <w:rPr>
          <w:rFonts w:ascii="Times New Roman" w:hAnsi="Times New Roman" w:cs="Times New Roman"/>
          <w:i/>
          <w:iCs/>
          <w:noProof/>
          <w:kern w:val="0"/>
          <w:sz w:val="18"/>
          <w:lang w:val="en-US"/>
        </w:rPr>
        <w:t>J. Assoc. Inf. Syst.</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20</w:t>
      </w:r>
      <w:r w:rsidRPr="00F711FA">
        <w:rPr>
          <w:rFonts w:ascii="Times New Roman" w:hAnsi="Times New Roman" w:cs="Times New Roman"/>
          <w:noProof/>
          <w:kern w:val="0"/>
          <w:sz w:val="18"/>
          <w:lang w:val="en-US"/>
        </w:rPr>
        <w:t>(5), 536–569. https://doi.org/10.17705/1jais.00543</w:t>
      </w:r>
    </w:p>
    <w:p w14:paraId="46C44BAD"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Yates, J. A., Orlikowski, W. J., &amp; Okamura, K. (1999). Explicit and Implicit Structuring of Genres in Electronic Communication: Reinforcement and Change of Social Interaction. </w:t>
      </w:r>
      <w:r w:rsidRPr="00F711FA">
        <w:rPr>
          <w:rFonts w:ascii="Times New Roman" w:hAnsi="Times New Roman" w:cs="Times New Roman"/>
          <w:i/>
          <w:iCs/>
          <w:noProof/>
          <w:kern w:val="0"/>
          <w:sz w:val="18"/>
          <w:lang w:val="en-US"/>
        </w:rPr>
        <w:t>Organ. Sci.</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10</w:t>
      </w:r>
      <w:r w:rsidRPr="00F711FA">
        <w:rPr>
          <w:rFonts w:ascii="Times New Roman" w:hAnsi="Times New Roman" w:cs="Times New Roman"/>
          <w:noProof/>
          <w:kern w:val="0"/>
          <w:sz w:val="18"/>
          <w:lang w:val="en-US"/>
        </w:rPr>
        <w:t>(1), 83–103. https://doi.org/10.1287/orsc.10.1.83</w:t>
      </w:r>
    </w:p>
    <w:p w14:paraId="7398174B"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Yoo, W., Namkoong, K., Choi, M., Shah, D. V., Tsang, S., Hong, Y., Aguilar, M., &amp; Gustafson, D. H. (2014). Giving and Receiving Emotional Support Online: Communication Competence as a Moderator of Psychosocial Benefits for Women with Breast Cancer. </w:t>
      </w:r>
      <w:r w:rsidRPr="00F711FA">
        <w:rPr>
          <w:rFonts w:ascii="Times New Roman" w:hAnsi="Times New Roman" w:cs="Times New Roman"/>
          <w:i/>
          <w:iCs/>
          <w:noProof/>
          <w:kern w:val="0"/>
          <w:sz w:val="18"/>
          <w:lang w:val="en-US"/>
        </w:rPr>
        <w:t>Comput. Human Behav.</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30</w:t>
      </w:r>
      <w:r w:rsidRPr="00F711FA">
        <w:rPr>
          <w:rFonts w:ascii="Times New Roman" w:hAnsi="Times New Roman" w:cs="Times New Roman"/>
          <w:noProof/>
          <w:kern w:val="0"/>
          <w:sz w:val="18"/>
          <w:lang w:val="en-US"/>
        </w:rPr>
        <w:t>, 13–22. https://doi.org/10.1016/j.chb.2013.07.024</w:t>
      </w:r>
    </w:p>
    <w:p w14:paraId="2CC28438"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Yue, C. A., Men, L. R., &amp; Hart, E. B. (2023). “Chief Engagement Officers?” A Comparative Study Between U.S. Corporate and Nonprofit Executive Leaders’ Social Media Communication Strategies. </w:t>
      </w:r>
      <w:r w:rsidRPr="00F711FA">
        <w:rPr>
          <w:rFonts w:ascii="Times New Roman" w:hAnsi="Times New Roman" w:cs="Times New Roman"/>
          <w:i/>
          <w:iCs/>
          <w:noProof/>
          <w:kern w:val="0"/>
          <w:sz w:val="18"/>
          <w:lang w:val="en-US"/>
        </w:rPr>
        <w:t>Nonprofit Manag. Leadersh.</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33</w:t>
      </w:r>
      <w:r w:rsidRPr="00F711FA">
        <w:rPr>
          <w:rFonts w:ascii="Times New Roman" w:hAnsi="Times New Roman" w:cs="Times New Roman"/>
          <w:noProof/>
          <w:kern w:val="0"/>
          <w:sz w:val="18"/>
          <w:lang w:val="en-US"/>
        </w:rPr>
        <w:t>(4), 879–892. https://doi.org/10.1002/nml.21551</w:t>
      </w:r>
    </w:p>
    <w:p w14:paraId="3D572871" w14:textId="77777777" w:rsidR="00F907E8" w:rsidRPr="00F711FA" w:rsidRDefault="00F907E8" w:rsidP="00F907E8">
      <w:pPr>
        <w:widowControl w:val="0"/>
        <w:autoSpaceDE w:val="0"/>
        <w:autoSpaceDN w:val="0"/>
        <w:adjustRightInd w:val="0"/>
        <w:spacing w:line="240" w:lineRule="auto"/>
        <w:ind w:left="480" w:hanging="480"/>
        <w:rPr>
          <w:rFonts w:ascii="Times New Roman" w:hAnsi="Times New Roman" w:cs="Times New Roman"/>
          <w:noProof/>
          <w:kern w:val="0"/>
          <w:sz w:val="18"/>
          <w:lang w:val="en-US"/>
        </w:rPr>
      </w:pPr>
      <w:r w:rsidRPr="00F711FA">
        <w:rPr>
          <w:rFonts w:ascii="Times New Roman" w:hAnsi="Times New Roman" w:cs="Times New Roman"/>
          <w:noProof/>
          <w:kern w:val="0"/>
          <w:sz w:val="18"/>
          <w:lang w:val="en-US"/>
        </w:rPr>
        <w:t xml:space="preserve">Zack, M. H., &amp; McKenney, J. L. (1995). Social Context and Interaction in Ongoing Computer-Supported Management Groups. </w:t>
      </w:r>
      <w:r w:rsidRPr="00F711FA">
        <w:rPr>
          <w:rFonts w:ascii="Times New Roman" w:hAnsi="Times New Roman" w:cs="Times New Roman"/>
          <w:i/>
          <w:iCs/>
          <w:noProof/>
          <w:kern w:val="0"/>
          <w:sz w:val="18"/>
          <w:lang w:val="en-US"/>
        </w:rPr>
        <w:t>Organ. Sci.</w:t>
      </w:r>
      <w:r w:rsidRPr="00F711FA">
        <w:rPr>
          <w:rFonts w:ascii="Times New Roman" w:hAnsi="Times New Roman" w:cs="Times New Roman"/>
          <w:noProof/>
          <w:kern w:val="0"/>
          <w:sz w:val="18"/>
          <w:lang w:val="en-US"/>
        </w:rPr>
        <w:t xml:space="preserve">, </w:t>
      </w:r>
      <w:r w:rsidRPr="00F711FA">
        <w:rPr>
          <w:rFonts w:ascii="Times New Roman" w:hAnsi="Times New Roman" w:cs="Times New Roman"/>
          <w:i/>
          <w:iCs/>
          <w:noProof/>
          <w:kern w:val="0"/>
          <w:sz w:val="18"/>
          <w:lang w:val="en-US"/>
        </w:rPr>
        <w:t>6</w:t>
      </w:r>
      <w:r w:rsidRPr="00F711FA">
        <w:rPr>
          <w:rFonts w:ascii="Times New Roman" w:hAnsi="Times New Roman" w:cs="Times New Roman"/>
          <w:noProof/>
          <w:kern w:val="0"/>
          <w:sz w:val="18"/>
          <w:lang w:val="en-US"/>
        </w:rPr>
        <w:t>(4), 394–422. https://doi.org/10.1287/orsc.6.4.394</w:t>
      </w:r>
    </w:p>
    <w:p w14:paraId="53B7578F" w14:textId="77777777" w:rsidR="00F907E8" w:rsidRPr="00F907E8" w:rsidRDefault="00F907E8" w:rsidP="00F907E8">
      <w:pPr>
        <w:widowControl w:val="0"/>
        <w:autoSpaceDE w:val="0"/>
        <w:autoSpaceDN w:val="0"/>
        <w:adjustRightInd w:val="0"/>
        <w:spacing w:line="240" w:lineRule="auto"/>
        <w:ind w:left="480" w:hanging="480"/>
        <w:rPr>
          <w:rFonts w:ascii="Times New Roman" w:hAnsi="Times New Roman" w:cs="Times New Roman"/>
          <w:noProof/>
          <w:sz w:val="18"/>
        </w:rPr>
      </w:pPr>
      <w:r w:rsidRPr="00F711FA">
        <w:rPr>
          <w:rFonts w:ascii="Times New Roman" w:hAnsi="Times New Roman" w:cs="Times New Roman"/>
          <w:noProof/>
          <w:kern w:val="0"/>
          <w:sz w:val="18"/>
          <w:lang w:val="en-US"/>
        </w:rPr>
        <w:t xml:space="preserve">Zhou, L., &amp; Zhang, D. (2008). Following Linguistic Footprints: Automatic Deception Detection in Online Communication. </w:t>
      </w:r>
      <w:r w:rsidRPr="00F907E8">
        <w:rPr>
          <w:rFonts w:ascii="Times New Roman" w:hAnsi="Times New Roman" w:cs="Times New Roman"/>
          <w:i/>
          <w:iCs/>
          <w:noProof/>
          <w:kern w:val="0"/>
          <w:sz w:val="18"/>
        </w:rPr>
        <w:t>Commun. ACM</w:t>
      </w:r>
      <w:r w:rsidRPr="00F907E8">
        <w:rPr>
          <w:rFonts w:ascii="Times New Roman" w:hAnsi="Times New Roman" w:cs="Times New Roman"/>
          <w:noProof/>
          <w:kern w:val="0"/>
          <w:sz w:val="18"/>
        </w:rPr>
        <w:t xml:space="preserve">, </w:t>
      </w:r>
      <w:r w:rsidRPr="00F907E8">
        <w:rPr>
          <w:rFonts w:ascii="Times New Roman" w:hAnsi="Times New Roman" w:cs="Times New Roman"/>
          <w:i/>
          <w:iCs/>
          <w:noProof/>
          <w:kern w:val="0"/>
          <w:sz w:val="18"/>
        </w:rPr>
        <w:t>51</w:t>
      </w:r>
      <w:r w:rsidRPr="00F907E8">
        <w:rPr>
          <w:rFonts w:ascii="Times New Roman" w:hAnsi="Times New Roman" w:cs="Times New Roman"/>
          <w:noProof/>
          <w:kern w:val="0"/>
          <w:sz w:val="18"/>
        </w:rPr>
        <w:t>(9), 119–122. https://doi.org/10.1145/1378727.1389972</w:t>
      </w:r>
    </w:p>
    <w:p w14:paraId="4689AE70" w14:textId="1BA7515E" w:rsidR="005C2B8C" w:rsidRPr="005C2B8C" w:rsidRDefault="005C2B8C" w:rsidP="005C2B8C">
      <w:pPr>
        <w:tabs>
          <w:tab w:val="left" w:pos="12171"/>
        </w:tabs>
        <w:rPr>
          <w:rFonts w:ascii="Times New Roman" w:hAnsi="Times New Roman" w:cs="Times New Roman"/>
          <w:sz w:val="18"/>
          <w:szCs w:val="18"/>
          <w:lang w:val="en-US"/>
        </w:rPr>
      </w:pPr>
      <w:r>
        <w:rPr>
          <w:rFonts w:ascii="Times New Roman" w:hAnsi="Times New Roman" w:cs="Times New Roman"/>
          <w:sz w:val="18"/>
          <w:szCs w:val="18"/>
          <w:lang w:val="en-US"/>
        </w:rPr>
        <w:fldChar w:fldCharType="end"/>
      </w:r>
    </w:p>
    <w:sectPr w:rsidR="005C2B8C" w:rsidRPr="005C2B8C" w:rsidSect="005C2B8C">
      <w:pgSz w:w="11901" w:h="16817"/>
      <w:pgMar w:top="1236"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bS0MDIzMjEwNTQ0M7ZQ0lEKTi0uzszPAykwNKgFAMdqmxktAAAA"/>
  </w:docVars>
  <w:rsids>
    <w:rsidRoot w:val="00576827"/>
    <w:rsid w:val="0000188A"/>
    <w:rsid w:val="000018CB"/>
    <w:rsid w:val="000024C7"/>
    <w:rsid w:val="0000595F"/>
    <w:rsid w:val="00005F47"/>
    <w:rsid w:val="00006331"/>
    <w:rsid w:val="000115B6"/>
    <w:rsid w:val="0001264B"/>
    <w:rsid w:val="0001457E"/>
    <w:rsid w:val="000148B2"/>
    <w:rsid w:val="00014EAD"/>
    <w:rsid w:val="0001528A"/>
    <w:rsid w:val="00016540"/>
    <w:rsid w:val="00016924"/>
    <w:rsid w:val="00020C38"/>
    <w:rsid w:val="00022B08"/>
    <w:rsid w:val="0002366B"/>
    <w:rsid w:val="000255CB"/>
    <w:rsid w:val="0002633D"/>
    <w:rsid w:val="000315C6"/>
    <w:rsid w:val="000317D2"/>
    <w:rsid w:val="0003271D"/>
    <w:rsid w:val="0003292E"/>
    <w:rsid w:val="00032B71"/>
    <w:rsid w:val="0003402C"/>
    <w:rsid w:val="00034A2F"/>
    <w:rsid w:val="000352D0"/>
    <w:rsid w:val="00035D40"/>
    <w:rsid w:val="00036138"/>
    <w:rsid w:val="000368DD"/>
    <w:rsid w:val="00036B44"/>
    <w:rsid w:val="00040937"/>
    <w:rsid w:val="00040D11"/>
    <w:rsid w:val="000416F2"/>
    <w:rsid w:val="000423C0"/>
    <w:rsid w:val="00043CDD"/>
    <w:rsid w:val="000443CB"/>
    <w:rsid w:val="00044530"/>
    <w:rsid w:val="00044907"/>
    <w:rsid w:val="00044A7F"/>
    <w:rsid w:val="00046B9B"/>
    <w:rsid w:val="00047473"/>
    <w:rsid w:val="000479A4"/>
    <w:rsid w:val="00051062"/>
    <w:rsid w:val="00051130"/>
    <w:rsid w:val="0005241E"/>
    <w:rsid w:val="00052971"/>
    <w:rsid w:val="00052C62"/>
    <w:rsid w:val="000556E1"/>
    <w:rsid w:val="0005724B"/>
    <w:rsid w:val="00060AF7"/>
    <w:rsid w:val="00061C9F"/>
    <w:rsid w:val="000622D4"/>
    <w:rsid w:val="00062D26"/>
    <w:rsid w:val="0006416C"/>
    <w:rsid w:val="0006637C"/>
    <w:rsid w:val="00067490"/>
    <w:rsid w:val="00070327"/>
    <w:rsid w:val="00070BDA"/>
    <w:rsid w:val="00070CAC"/>
    <w:rsid w:val="00071683"/>
    <w:rsid w:val="000717D9"/>
    <w:rsid w:val="0007257F"/>
    <w:rsid w:val="00073E6D"/>
    <w:rsid w:val="0007545B"/>
    <w:rsid w:val="00075839"/>
    <w:rsid w:val="00076BDF"/>
    <w:rsid w:val="000777D9"/>
    <w:rsid w:val="00077967"/>
    <w:rsid w:val="000817E5"/>
    <w:rsid w:val="00082E8A"/>
    <w:rsid w:val="00085F32"/>
    <w:rsid w:val="000860B4"/>
    <w:rsid w:val="00090733"/>
    <w:rsid w:val="000939C9"/>
    <w:rsid w:val="00095AEA"/>
    <w:rsid w:val="00095ED7"/>
    <w:rsid w:val="000A3099"/>
    <w:rsid w:val="000A3730"/>
    <w:rsid w:val="000A43A3"/>
    <w:rsid w:val="000A5894"/>
    <w:rsid w:val="000A5CE9"/>
    <w:rsid w:val="000A79DD"/>
    <w:rsid w:val="000B035E"/>
    <w:rsid w:val="000B2C59"/>
    <w:rsid w:val="000B2EDF"/>
    <w:rsid w:val="000B5214"/>
    <w:rsid w:val="000C404B"/>
    <w:rsid w:val="000C5A0D"/>
    <w:rsid w:val="000C5A14"/>
    <w:rsid w:val="000C5B49"/>
    <w:rsid w:val="000C6F89"/>
    <w:rsid w:val="000C7EDE"/>
    <w:rsid w:val="000D1F30"/>
    <w:rsid w:val="000D324E"/>
    <w:rsid w:val="000D3BC3"/>
    <w:rsid w:val="000D40C0"/>
    <w:rsid w:val="000D5B85"/>
    <w:rsid w:val="000D62AC"/>
    <w:rsid w:val="000D7394"/>
    <w:rsid w:val="000E11D7"/>
    <w:rsid w:val="000E12B7"/>
    <w:rsid w:val="000E3EE6"/>
    <w:rsid w:val="000E50D7"/>
    <w:rsid w:val="000E6323"/>
    <w:rsid w:val="000E7BC5"/>
    <w:rsid w:val="000F072F"/>
    <w:rsid w:val="000F1E0E"/>
    <w:rsid w:val="000F2AA3"/>
    <w:rsid w:val="000F3689"/>
    <w:rsid w:val="000F3B07"/>
    <w:rsid w:val="000F49AB"/>
    <w:rsid w:val="000F4F82"/>
    <w:rsid w:val="000F5F16"/>
    <w:rsid w:val="0010068B"/>
    <w:rsid w:val="00100B9A"/>
    <w:rsid w:val="00100BBB"/>
    <w:rsid w:val="00101EC0"/>
    <w:rsid w:val="00105D6B"/>
    <w:rsid w:val="0010746A"/>
    <w:rsid w:val="00107FFD"/>
    <w:rsid w:val="00110EEC"/>
    <w:rsid w:val="001128D5"/>
    <w:rsid w:val="00113CA7"/>
    <w:rsid w:val="0011617C"/>
    <w:rsid w:val="00116964"/>
    <w:rsid w:val="00117E8E"/>
    <w:rsid w:val="00117FBB"/>
    <w:rsid w:val="00121353"/>
    <w:rsid w:val="00121710"/>
    <w:rsid w:val="00121B1C"/>
    <w:rsid w:val="0012455C"/>
    <w:rsid w:val="00127C78"/>
    <w:rsid w:val="0013008D"/>
    <w:rsid w:val="001301F6"/>
    <w:rsid w:val="00130EC1"/>
    <w:rsid w:val="0013585B"/>
    <w:rsid w:val="001366C1"/>
    <w:rsid w:val="00137189"/>
    <w:rsid w:val="00140F3A"/>
    <w:rsid w:val="001413E3"/>
    <w:rsid w:val="00143CA8"/>
    <w:rsid w:val="00145512"/>
    <w:rsid w:val="001462F7"/>
    <w:rsid w:val="00151145"/>
    <w:rsid w:val="00154551"/>
    <w:rsid w:val="00155361"/>
    <w:rsid w:val="001570E4"/>
    <w:rsid w:val="001577B3"/>
    <w:rsid w:val="0016125D"/>
    <w:rsid w:val="001613CE"/>
    <w:rsid w:val="0016481F"/>
    <w:rsid w:val="001651AE"/>
    <w:rsid w:val="00167CB6"/>
    <w:rsid w:val="00167D63"/>
    <w:rsid w:val="00167D8F"/>
    <w:rsid w:val="00172995"/>
    <w:rsid w:val="001734DA"/>
    <w:rsid w:val="00173BAD"/>
    <w:rsid w:val="001741B5"/>
    <w:rsid w:val="001747DA"/>
    <w:rsid w:val="001748C2"/>
    <w:rsid w:val="00175D29"/>
    <w:rsid w:val="00180AB7"/>
    <w:rsid w:val="00183374"/>
    <w:rsid w:val="00183D30"/>
    <w:rsid w:val="00184762"/>
    <w:rsid w:val="00185B15"/>
    <w:rsid w:val="00185C42"/>
    <w:rsid w:val="00191CF9"/>
    <w:rsid w:val="001930F4"/>
    <w:rsid w:val="0019520E"/>
    <w:rsid w:val="001A1F1B"/>
    <w:rsid w:val="001A26FA"/>
    <w:rsid w:val="001A3DDE"/>
    <w:rsid w:val="001A44C7"/>
    <w:rsid w:val="001B0A51"/>
    <w:rsid w:val="001B171D"/>
    <w:rsid w:val="001B18F0"/>
    <w:rsid w:val="001B276B"/>
    <w:rsid w:val="001B2DFF"/>
    <w:rsid w:val="001B4B34"/>
    <w:rsid w:val="001B4BE7"/>
    <w:rsid w:val="001B6434"/>
    <w:rsid w:val="001B7897"/>
    <w:rsid w:val="001B7D53"/>
    <w:rsid w:val="001C027D"/>
    <w:rsid w:val="001C06D0"/>
    <w:rsid w:val="001C0BB5"/>
    <w:rsid w:val="001C1B69"/>
    <w:rsid w:val="001C2B5D"/>
    <w:rsid w:val="001C37BA"/>
    <w:rsid w:val="001C38DB"/>
    <w:rsid w:val="001C40B3"/>
    <w:rsid w:val="001C4BB1"/>
    <w:rsid w:val="001C5905"/>
    <w:rsid w:val="001C59E6"/>
    <w:rsid w:val="001D2AE6"/>
    <w:rsid w:val="001D4669"/>
    <w:rsid w:val="001D5E9A"/>
    <w:rsid w:val="001D6CFE"/>
    <w:rsid w:val="001D7496"/>
    <w:rsid w:val="001E0B2C"/>
    <w:rsid w:val="001E4935"/>
    <w:rsid w:val="001F0EA9"/>
    <w:rsid w:val="001F36AA"/>
    <w:rsid w:val="001F4455"/>
    <w:rsid w:val="001F4597"/>
    <w:rsid w:val="001F6B2E"/>
    <w:rsid w:val="002007A0"/>
    <w:rsid w:val="00203024"/>
    <w:rsid w:val="002039B4"/>
    <w:rsid w:val="00203DD9"/>
    <w:rsid w:val="00204FFB"/>
    <w:rsid w:val="00206AB5"/>
    <w:rsid w:val="00207664"/>
    <w:rsid w:val="00211899"/>
    <w:rsid w:val="00211F24"/>
    <w:rsid w:val="00214386"/>
    <w:rsid w:val="00214591"/>
    <w:rsid w:val="00215CB2"/>
    <w:rsid w:val="00216462"/>
    <w:rsid w:val="0022004D"/>
    <w:rsid w:val="00220A9C"/>
    <w:rsid w:val="00222BAA"/>
    <w:rsid w:val="00223453"/>
    <w:rsid w:val="00225430"/>
    <w:rsid w:val="00225B4A"/>
    <w:rsid w:val="00227387"/>
    <w:rsid w:val="00227A8C"/>
    <w:rsid w:val="00227E4A"/>
    <w:rsid w:val="00232BCB"/>
    <w:rsid w:val="00233960"/>
    <w:rsid w:val="00234543"/>
    <w:rsid w:val="0023681A"/>
    <w:rsid w:val="00241B74"/>
    <w:rsid w:val="002437F0"/>
    <w:rsid w:val="0024496C"/>
    <w:rsid w:val="00244E26"/>
    <w:rsid w:val="00245390"/>
    <w:rsid w:val="002519F0"/>
    <w:rsid w:val="00251F6B"/>
    <w:rsid w:val="0025290D"/>
    <w:rsid w:val="00253125"/>
    <w:rsid w:val="002538C6"/>
    <w:rsid w:val="002543DB"/>
    <w:rsid w:val="00254760"/>
    <w:rsid w:val="00255E4C"/>
    <w:rsid w:val="002572A6"/>
    <w:rsid w:val="002602F3"/>
    <w:rsid w:val="00260F82"/>
    <w:rsid w:val="00261574"/>
    <w:rsid w:val="00263EFE"/>
    <w:rsid w:val="002642A0"/>
    <w:rsid w:val="00264489"/>
    <w:rsid w:val="00265829"/>
    <w:rsid w:val="00266E26"/>
    <w:rsid w:val="00274355"/>
    <w:rsid w:val="0027477E"/>
    <w:rsid w:val="0027549D"/>
    <w:rsid w:val="00276C1B"/>
    <w:rsid w:val="00283B06"/>
    <w:rsid w:val="002848BE"/>
    <w:rsid w:val="00286136"/>
    <w:rsid w:val="00286260"/>
    <w:rsid w:val="00287404"/>
    <w:rsid w:val="002907F5"/>
    <w:rsid w:val="002939CC"/>
    <w:rsid w:val="0029551A"/>
    <w:rsid w:val="002A08ED"/>
    <w:rsid w:val="002A0B7A"/>
    <w:rsid w:val="002A186B"/>
    <w:rsid w:val="002A1C7B"/>
    <w:rsid w:val="002A3170"/>
    <w:rsid w:val="002A5D6F"/>
    <w:rsid w:val="002A5E7A"/>
    <w:rsid w:val="002A5FC6"/>
    <w:rsid w:val="002A6F52"/>
    <w:rsid w:val="002A77A2"/>
    <w:rsid w:val="002B0C35"/>
    <w:rsid w:val="002B54FB"/>
    <w:rsid w:val="002B5B71"/>
    <w:rsid w:val="002B7262"/>
    <w:rsid w:val="002B79BE"/>
    <w:rsid w:val="002C277C"/>
    <w:rsid w:val="002C2FFD"/>
    <w:rsid w:val="002C4EC0"/>
    <w:rsid w:val="002D253D"/>
    <w:rsid w:val="002D33B1"/>
    <w:rsid w:val="002D42EF"/>
    <w:rsid w:val="002D45DE"/>
    <w:rsid w:val="002D53C8"/>
    <w:rsid w:val="002D5602"/>
    <w:rsid w:val="002D5629"/>
    <w:rsid w:val="002D57FC"/>
    <w:rsid w:val="002D6324"/>
    <w:rsid w:val="002D79C7"/>
    <w:rsid w:val="002E2ED5"/>
    <w:rsid w:val="002E37AD"/>
    <w:rsid w:val="002E3A78"/>
    <w:rsid w:val="002E4666"/>
    <w:rsid w:val="002E47C7"/>
    <w:rsid w:val="002E6978"/>
    <w:rsid w:val="002E6AB4"/>
    <w:rsid w:val="002E6D00"/>
    <w:rsid w:val="002F0138"/>
    <w:rsid w:val="002F0DC9"/>
    <w:rsid w:val="002F257B"/>
    <w:rsid w:val="002F375E"/>
    <w:rsid w:val="002F46F9"/>
    <w:rsid w:val="002F4831"/>
    <w:rsid w:val="002F52A7"/>
    <w:rsid w:val="003022C7"/>
    <w:rsid w:val="003038E7"/>
    <w:rsid w:val="00306A60"/>
    <w:rsid w:val="00307953"/>
    <w:rsid w:val="0031328F"/>
    <w:rsid w:val="00314893"/>
    <w:rsid w:val="00317627"/>
    <w:rsid w:val="00320184"/>
    <w:rsid w:val="00320650"/>
    <w:rsid w:val="00320E33"/>
    <w:rsid w:val="00321BEA"/>
    <w:rsid w:val="00322613"/>
    <w:rsid w:val="00323B89"/>
    <w:rsid w:val="003251BD"/>
    <w:rsid w:val="00326C60"/>
    <w:rsid w:val="00332BFC"/>
    <w:rsid w:val="00335EE4"/>
    <w:rsid w:val="0033734C"/>
    <w:rsid w:val="00337C83"/>
    <w:rsid w:val="003404AE"/>
    <w:rsid w:val="00343ABC"/>
    <w:rsid w:val="00343F05"/>
    <w:rsid w:val="00343F65"/>
    <w:rsid w:val="00347F98"/>
    <w:rsid w:val="00353E26"/>
    <w:rsid w:val="00354F1F"/>
    <w:rsid w:val="00362430"/>
    <w:rsid w:val="0036383E"/>
    <w:rsid w:val="0036510A"/>
    <w:rsid w:val="00367EF8"/>
    <w:rsid w:val="0037042F"/>
    <w:rsid w:val="00370C1C"/>
    <w:rsid w:val="00370FB6"/>
    <w:rsid w:val="00372066"/>
    <w:rsid w:val="00372916"/>
    <w:rsid w:val="00375A4B"/>
    <w:rsid w:val="00375FA8"/>
    <w:rsid w:val="00380C02"/>
    <w:rsid w:val="00381261"/>
    <w:rsid w:val="00381FB1"/>
    <w:rsid w:val="00384164"/>
    <w:rsid w:val="0038451D"/>
    <w:rsid w:val="0038567D"/>
    <w:rsid w:val="003862AE"/>
    <w:rsid w:val="00387CB2"/>
    <w:rsid w:val="003908C4"/>
    <w:rsid w:val="003909F5"/>
    <w:rsid w:val="00390CE4"/>
    <w:rsid w:val="00390DBC"/>
    <w:rsid w:val="00390F90"/>
    <w:rsid w:val="00392C32"/>
    <w:rsid w:val="0039366F"/>
    <w:rsid w:val="003948D8"/>
    <w:rsid w:val="00394950"/>
    <w:rsid w:val="003A0622"/>
    <w:rsid w:val="003A2201"/>
    <w:rsid w:val="003A2397"/>
    <w:rsid w:val="003A2CC5"/>
    <w:rsid w:val="003A3F4B"/>
    <w:rsid w:val="003A48EE"/>
    <w:rsid w:val="003A5B4D"/>
    <w:rsid w:val="003A7AC5"/>
    <w:rsid w:val="003B0D8F"/>
    <w:rsid w:val="003B261D"/>
    <w:rsid w:val="003B2E32"/>
    <w:rsid w:val="003B327A"/>
    <w:rsid w:val="003B41DF"/>
    <w:rsid w:val="003B77FB"/>
    <w:rsid w:val="003B7CDF"/>
    <w:rsid w:val="003C0C37"/>
    <w:rsid w:val="003C16B1"/>
    <w:rsid w:val="003C494C"/>
    <w:rsid w:val="003C6499"/>
    <w:rsid w:val="003C7168"/>
    <w:rsid w:val="003D0405"/>
    <w:rsid w:val="003D11E2"/>
    <w:rsid w:val="003D213C"/>
    <w:rsid w:val="003D2DA6"/>
    <w:rsid w:val="003D6FFC"/>
    <w:rsid w:val="003D7342"/>
    <w:rsid w:val="003E14A6"/>
    <w:rsid w:val="003E1527"/>
    <w:rsid w:val="003E2F74"/>
    <w:rsid w:val="003E5FEE"/>
    <w:rsid w:val="003E60B4"/>
    <w:rsid w:val="003E6913"/>
    <w:rsid w:val="003E691C"/>
    <w:rsid w:val="003E7111"/>
    <w:rsid w:val="003F22F0"/>
    <w:rsid w:val="00401207"/>
    <w:rsid w:val="00401F9D"/>
    <w:rsid w:val="00402651"/>
    <w:rsid w:val="00402F8E"/>
    <w:rsid w:val="00404643"/>
    <w:rsid w:val="00404ECC"/>
    <w:rsid w:val="00405747"/>
    <w:rsid w:val="00406D15"/>
    <w:rsid w:val="00407B30"/>
    <w:rsid w:val="0041071F"/>
    <w:rsid w:val="00410ADF"/>
    <w:rsid w:val="00411178"/>
    <w:rsid w:val="004114F8"/>
    <w:rsid w:val="00411A95"/>
    <w:rsid w:val="00412103"/>
    <w:rsid w:val="0041733F"/>
    <w:rsid w:val="00421BFF"/>
    <w:rsid w:val="00422FDE"/>
    <w:rsid w:val="0042306E"/>
    <w:rsid w:val="00423A6E"/>
    <w:rsid w:val="004256C6"/>
    <w:rsid w:val="00425DEF"/>
    <w:rsid w:val="00426EC7"/>
    <w:rsid w:val="00427A8E"/>
    <w:rsid w:val="004301BA"/>
    <w:rsid w:val="00430682"/>
    <w:rsid w:val="00430E45"/>
    <w:rsid w:val="0043164F"/>
    <w:rsid w:val="00431939"/>
    <w:rsid w:val="00431B4A"/>
    <w:rsid w:val="00431D98"/>
    <w:rsid w:val="0043500B"/>
    <w:rsid w:val="00437D4B"/>
    <w:rsid w:val="004407B2"/>
    <w:rsid w:val="00444037"/>
    <w:rsid w:val="0044793D"/>
    <w:rsid w:val="00452CD9"/>
    <w:rsid w:val="00455D24"/>
    <w:rsid w:val="0045600C"/>
    <w:rsid w:val="00456402"/>
    <w:rsid w:val="004569E5"/>
    <w:rsid w:val="00460829"/>
    <w:rsid w:val="00461ACC"/>
    <w:rsid w:val="00463777"/>
    <w:rsid w:val="00466071"/>
    <w:rsid w:val="00467333"/>
    <w:rsid w:val="00467746"/>
    <w:rsid w:val="00467A0B"/>
    <w:rsid w:val="00471F15"/>
    <w:rsid w:val="00472D57"/>
    <w:rsid w:val="0047374B"/>
    <w:rsid w:val="00477A98"/>
    <w:rsid w:val="00483583"/>
    <w:rsid w:val="00483A0E"/>
    <w:rsid w:val="0048550D"/>
    <w:rsid w:val="004860AD"/>
    <w:rsid w:val="00487F1F"/>
    <w:rsid w:val="00491F44"/>
    <w:rsid w:val="0049221B"/>
    <w:rsid w:val="00492E51"/>
    <w:rsid w:val="00492F51"/>
    <w:rsid w:val="00493396"/>
    <w:rsid w:val="00495878"/>
    <w:rsid w:val="00496D4F"/>
    <w:rsid w:val="004A0794"/>
    <w:rsid w:val="004A16CB"/>
    <w:rsid w:val="004A16D5"/>
    <w:rsid w:val="004A1718"/>
    <w:rsid w:val="004A38D2"/>
    <w:rsid w:val="004A4F59"/>
    <w:rsid w:val="004A5020"/>
    <w:rsid w:val="004A6744"/>
    <w:rsid w:val="004A7189"/>
    <w:rsid w:val="004A791B"/>
    <w:rsid w:val="004B0247"/>
    <w:rsid w:val="004B029D"/>
    <w:rsid w:val="004B2991"/>
    <w:rsid w:val="004B382D"/>
    <w:rsid w:val="004B3FDE"/>
    <w:rsid w:val="004B7EE3"/>
    <w:rsid w:val="004C09C1"/>
    <w:rsid w:val="004C103E"/>
    <w:rsid w:val="004C14FF"/>
    <w:rsid w:val="004C2827"/>
    <w:rsid w:val="004C5277"/>
    <w:rsid w:val="004C53D2"/>
    <w:rsid w:val="004D0C57"/>
    <w:rsid w:val="004D31FA"/>
    <w:rsid w:val="004D43AE"/>
    <w:rsid w:val="004D469C"/>
    <w:rsid w:val="004D5446"/>
    <w:rsid w:val="004D6FDE"/>
    <w:rsid w:val="004D72A1"/>
    <w:rsid w:val="004D7A86"/>
    <w:rsid w:val="004E0F2A"/>
    <w:rsid w:val="004E369F"/>
    <w:rsid w:val="004E3A32"/>
    <w:rsid w:val="004E3B3C"/>
    <w:rsid w:val="004E497D"/>
    <w:rsid w:val="004E4CB9"/>
    <w:rsid w:val="004E56FC"/>
    <w:rsid w:val="004E6226"/>
    <w:rsid w:val="004E7506"/>
    <w:rsid w:val="004E7A87"/>
    <w:rsid w:val="004E7D17"/>
    <w:rsid w:val="004F0A63"/>
    <w:rsid w:val="004F11BD"/>
    <w:rsid w:val="004F6ECD"/>
    <w:rsid w:val="004F6EF7"/>
    <w:rsid w:val="00502DF2"/>
    <w:rsid w:val="00503BA4"/>
    <w:rsid w:val="00505DB8"/>
    <w:rsid w:val="00507761"/>
    <w:rsid w:val="005139FF"/>
    <w:rsid w:val="00520578"/>
    <w:rsid w:val="00522341"/>
    <w:rsid w:val="0052415F"/>
    <w:rsid w:val="00524F10"/>
    <w:rsid w:val="0052663A"/>
    <w:rsid w:val="00526D30"/>
    <w:rsid w:val="00532254"/>
    <w:rsid w:val="0053287B"/>
    <w:rsid w:val="00534576"/>
    <w:rsid w:val="00534AE0"/>
    <w:rsid w:val="00534BC8"/>
    <w:rsid w:val="0053582F"/>
    <w:rsid w:val="00540D7B"/>
    <w:rsid w:val="00544B05"/>
    <w:rsid w:val="005459C9"/>
    <w:rsid w:val="00545B1E"/>
    <w:rsid w:val="00545C29"/>
    <w:rsid w:val="00550D4A"/>
    <w:rsid w:val="00550D57"/>
    <w:rsid w:val="00554B32"/>
    <w:rsid w:val="00560555"/>
    <w:rsid w:val="00560AF2"/>
    <w:rsid w:val="0056184D"/>
    <w:rsid w:val="005618DB"/>
    <w:rsid w:val="00561BAD"/>
    <w:rsid w:val="0056323F"/>
    <w:rsid w:val="00565FCF"/>
    <w:rsid w:val="00567497"/>
    <w:rsid w:val="00567ECA"/>
    <w:rsid w:val="005689FC"/>
    <w:rsid w:val="0057037B"/>
    <w:rsid w:val="0057109D"/>
    <w:rsid w:val="005717FC"/>
    <w:rsid w:val="00572EB2"/>
    <w:rsid w:val="00574B9D"/>
    <w:rsid w:val="00576827"/>
    <w:rsid w:val="00576C83"/>
    <w:rsid w:val="005774F9"/>
    <w:rsid w:val="005815A3"/>
    <w:rsid w:val="00581D0B"/>
    <w:rsid w:val="00582ADA"/>
    <w:rsid w:val="00583133"/>
    <w:rsid w:val="00585623"/>
    <w:rsid w:val="00586F0F"/>
    <w:rsid w:val="00587574"/>
    <w:rsid w:val="005905AC"/>
    <w:rsid w:val="005A197D"/>
    <w:rsid w:val="005A23F6"/>
    <w:rsid w:val="005A2BF8"/>
    <w:rsid w:val="005A57F3"/>
    <w:rsid w:val="005A5ADA"/>
    <w:rsid w:val="005A6358"/>
    <w:rsid w:val="005A649F"/>
    <w:rsid w:val="005B12A6"/>
    <w:rsid w:val="005B2956"/>
    <w:rsid w:val="005B2DB0"/>
    <w:rsid w:val="005B4010"/>
    <w:rsid w:val="005B41CF"/>
    <w:rsid w:val="005B5C72"/>
    <w:rsid w:val="005B75E8"/>
    <w:rsid w:val="005B766D"/>
    <w:rsid w:val="005B7F7C"/>
    <w:rsid w:val="005C0B9B"/>
    <w:rsid w:val="005C2B8C"/>
    <w:rsid w:val="005C3D97"/>
    <w:rsid w:val="005C5E58"/>
    <w:rsid w:val="005C6D79"/>
    <w:rsid w:val="005C6ED6"/>
    <w:rsid w:val="005C7186"/>
    <w:rsid w:val="005C72E4"/>
    <w:rsid w:val="005D24C0"/>
    <w:rsid w:val="005D61B5"/>
    <w:rsid w:val="005D621B"/>
    <w:rsid w:val="005E2112"/>
    <w:rsid w:val="005E2B5E"/>
    <w:rsid w:val="005E3700"/>
    <w:rsid w:val="005E3A05"/>
    <w:rsid w:val="005E5870"/>
    <w:rsid w:val="005E5DF3"/>
    <w:rsid w:val="005F12F2"/>
    <w:rsid w:val="005F1EDA"/>
    <w:rsid w:val="005F398B"/>
    <w:rsid w:val="005F3A72"/>
    <w:rsid w:val="005F3A77"/>
    <w:rsid w:val="005F3C05"/>
    <w:rsid w:val="005F6EF5"/>
    <w:rsid w:val="005F6F94"/>
    <w:rsid w:val="005F7CB7"/>
    <w:rsid w:val="00601584"/>
    <w:rsid w:val="006023DA"/>
    <w:rsid w:val="0060330D"/>
    <w:rsid w:val="006114BA"/>
    <w:rsid w:val="00612276"/>
    <w:rsid w:val="0061238D"/>
    <w:rsid w:val="00613BA1"/>
    <w:rsid w:val="006160EA"/>
    <w:rsid w:val="00616959"/>
    <w:rsid w:val="00617B8D"/>
    <w:rsid w:val="00622156"/>
    <w:rsid w:val="00623467"/>
    <w:rsid w:val="00625B72"/>
    <w:rsid w:val="00630EE4"/>
    <w:rsid w:val="0063330D"/>
    <w:rsid w:val="0063538B"/>
    <w:rsid w:val="00635967"/>
    <w:rsid w:val="00640A98"/>
    <w:rsid w:val="00641F30"/>
    <w:rsid w:val="00642805"/>
    <w:rsid w:val="0064280F"/>
    <w:rsid w:val="00644173"/>
    <w:rsid w:val="00644D67"/>
    <w:rsid w:val="00650879"/>
    <w:rsid w:val="0065114C"/>
    <w:rsid w:val="00654326"/>
    <w:rsid w:val="006557A2"/>
    <w:rsid w:val="00655CE5"/>
    <w:rsid w:val="00664EAC"/>
    <w:rsid w:val="006651BC"/>
    <w:rsid w:val="006653AC"/>
    <w:rsid w:val="0066543D"/>
    <w:rsid w:val="00665AB4"/>
    <w:rsid w:val="00666D6C"/>
    <w:rsid w:val="006673FE"/>
    <w:rsid w:val="0066798C"/>
    <w:rsid w:val="0067247F"/>
    <w:rsid w:val="00673368"/>
    <w:rsid w:val="006734AA"/>
    <w:rsid w:val="006740AE"/>
    <w:rsid w:val="006767D6"/>
    <w:rsid w:val="006774FE"/>
    <w:rsid w:val="00677DC8"/>
    <w:rsid w:val="00680217"/>
    <w:rsid w:val="006803FF"/>
    <w:rsid w:val="0068128C"/>
    <w:rsid w:val="0068154B"/>
    <w:rsid w:val="0068283E"/>
    <w:rsid w:val="006843A1"/>
    <w:rsid w:val="00684EA6"/>
    <w:rsid w:val="00685329"/>
    <w:rsid w:val="00686F7A"/>
    <w:rsid w:val="0069314C"/>
    <w:rsid w:val="0069353F"/>
    <w:rsid w:val="00694523"/>
    <w:rsid w:val="0069455D"/>
    <w:rsid w:val="00695891"/>
    <w:rsid w:val="00695A15"/>
    <w:rsid w:val="00695F28"/>
    <w:rsid w:val="00696AAF"/>
    <w:rsid w:val="00697BE9"/>
    <w:rsid w:val="006A00DC"/>
    <w:rsid w:val="006A0772"/>
    <w:rsid w:val="006A0ADB"/>
    <w:rsid w:val="006A197D"/>
    <w:rsid w:val="006A2A17"/>
    <w:rsid w:val="006A2F53"/>
    <w:rsid w:val="006A3187"/>
    <w:rsid w:val="006A7610"/>
    <w:rsid w:val="006B0AC6"/>
    <w:rsid w:val="006B1571"/>
    <w:rsid w:val="006B1ACF"/>
    <w:rsid w:val="006B1F5B"/>
    <w:rsid w:val="006B2C92"/>
    <w:rsid w:val="006B3561"/>
    <w:rsid w:val="006B3713"/>
    <w:rsid w:val="006B3905"/>
    <w:rsid w:val="006B417F"/>
    <w:rsid w:val="006B51C0"/>
    <w:rsid w:val="006B574D"/>
    <w:rsid w:val="006B778D"/>
    <w:rsid w:val="006C0AD7"/>
    <w:rsid w:val="006C3EBF"/>
    <w:rsid w:val="006C463B"/>
    <w:rsid w:val="006C59CE"/>
    <w:rsid w:val="006C5CCA"/>
    <w:rsid w:val="006C6EE7"/>
    <w:rsid w:val="006C709F"/>
    <w:rsid w:val="006C778B"/>
    <w:rsid w:val="006D03D6"/>
    <w:rsid w:val="006D1AEA"/>
    <w:rsid w:val="006D1C9B"/>
    <w:rsid w:val="006D23D5"/>
    <w:rsid w:val="006D41DE"/>
    <w:rsid w:val="006D5BA1"/>
    <w:rsid w:val="006D5CB3"/>
    <w:rsid w:val="006D63C2"/>
    <w:rsid w:val="006D6F6A"/>
    <w:rsid w:val="006D7E92"/>
    <w:rsid w:val="006E2651"/>
    <w:rsid w:val="006E40C0"/>
    <w:rsid w:val="006F011A"/>
    <w:rsid w:val="006F0BDA"/>
    <w:rsid w:val="006F6CAD"/>
    <w:rsid w:val="007007E4"/>
    <w:rsid w:val="00700DDD"/>
    <w:rsid w:val="00701E4A"/>
    <w:rsid w:val="00702BCD"/>
    <w:rsid w:val="00702EFF"/>
    <w:rsid w:val="00703B7C"/>
    <w:rsid w:val="0070426E"/>
    <w:rsid w:val="00705ADD"/>
    <w:rsid w:val="00705F37"/>
    <w:rsid w:val="00706E82"/>
    <w:rsid w:val="00706FD1"/>
    <w:rsid w:val="0071117A"/>
    <w:rsid w:val="00714F3D"/>
    <w:rsid w:val="007153DB"/>
    <w:rsid w:val="00715A8D"/>
    <w:rsid w:val="00716289"/>
    <w:rsid w:val="00716433"/>
    <w:rsid w:val="00717E31"/>
    <w:rsid w:val="00721CBD"/>
    <w:rsid w:val="00722B97"/>
    <w:rsid w:val="0072311A"/>
    <w:rsid w:val="00723E6D"/>
    <w:rsid w:val="00724B5E"/>
    <w:rsid w:val="00725E4F"/>
    <w:rsid w:val="00731D72"/>
    <w:rsid w:val="0073487A"/>
    <w:rsid w:val="0073509F"/>
    <w:rsid w:val="007354DC"/>
    <w:rsid w:val="00736B36"/>
    <w:rsid w:val="00740C3E"/>
    <w:rsid w:val="0074101F"/>
    <w:rsid w:val="00741B9D"/>
    <w:rsid w:val="00743762"/>
    <w:rsid w:val="007443F5"/>
    <w:rsid w:val="007449DA"/>
    <w:rsid w:val="00744F33"/>
    <w:rsid w:val="00747338"/>
    <w:rsid w:val="0074751B"/>
    <w:rsid w:val="007529E8"/>
    <w:rsid w:val="0075308E"/>
    <w:rsid w:val="0075333F"/>
    <w:rsid w:val="007542DD"/>
    <w:rsid w:val="0075590E"/>
    <w:rsid w:val="00756615"/>
    <w:rsid w:val="00757D7B"/>
    <w:rsid w:val="00757DF5"/>
    <w:rsid w:val="00763580"/>
    <w:rsid w:val="0076367A"/>
    <w:rsid w:val="00764636"/>
    <w:rsid w:val="00766FD6"/>
    <w:rsid w:val="0077086E"/>
    <w:rsid w:val="0077295B"/>
    <w:rsid w:val="007733BC"/>
    <w:rsid w:val="007736EE"/>
    <w:rsid w:val="007739A5"/>
    <w:rsid w:val="007749E4"/>
    <w:rsid w:val="00777489"/>
    <w:rsid w:val="00780779"/>
    <w:rsid w:val="00780FEF"/>
    <w:rsid w:val="007812E4"/>
    <w:rsid w:val="0078252C"/>
    <w:rsid w:val="00783DC5"/>
    <w:rsid w:val="00784B0E"/>
    <w:rsid w:val="0078566F"/>
    <w:rsid w:val="00785D0B"/>
    <w:rsid w:val="00787E91"/>
    <w:rsid w:val="00792203"/>
    <w:rsid w:val="007924EA"/>
    <w:rsid w:val="00793A31"/>
    <w:rsid w:val="00796593"/>
    <w:rsid w:val="00796CE5"/>
    <w:rsid w:val="007A1598"/>
    <w:rsid w:val="007A2FEE"/>
    <w:rsid w:val="007A4A2F"/>
    <w:rsid w:val="007A560C"/>
    <w:rsid w:val="007A67C2"/>
    <w:rsid w:val="007A6A38"/>
    <w:rsid w:val="007A6B9A"/>
    <w:rsid w:val="007B07A5"/>
    <w:rsid w:val="007B2614"/>
    <w:rsid w:val="007B359A"/>
    <w:rsid w:val="007B4395"/>
    <w:rsid w:val="007B6380"/>
    <w:rsid w:val="007B6BB3"/>
    <w:rsid w:val="007C01CC"/>
    <w:rsid w:val="007C09D1"/>
    <w:rsid w:val="007C2009"/>
    <w:rsid w:val="007C25B4"/>
    <w:rsid w:val="007C3152"/>
    <w:rsid w:val="007C7705"/>
    <w:rsid w:val="007D0D2F"/>
    <w:rsid w:val="007D1407"/>
    <w:rsid w:val="007D3694"/>
    <w:rsid w:val="007D59FB"/>
    <w:rsid w:val="007D6C83"/>
    <w:rsid w:val="007D6D4A"/>
    <w:rsid w:val="007D7EDD"/>
    <w:rsid w:val="007E0A05"/>
    <w:rsid w:val="007E0E20"/>
    <w:rsid w:val="007E3EF2"/>
    <w:rsid w:val="007E4AAA"/>
    <w:rsid w:val="007E4C69"/>
    <w:rsid w:val="007E4D07"/>
    <w:rsid w:val="007E54F2"/>
    <w:rsid w:val="007E5826"/>
    <w:rsid w:val="007E6149"/>
    <w:rsid w:val="007F085B"/>
    <w:rsid w:val="007F237D"/>
    <w:rsid w:val="007F24C7"/>
    <w:rsid w:val="007F2C9E"/>
    <w:rsid w:val="007F2E9B"/>
    <w:rsid w:val="007F300C"/>
    <w:rsid w:val="007F383F"/>
    <w:rsid w:val="007F3CF5"/>
    <w:rsid w:val="007F4914"/>
    <w:rsid w:val="007F5AAA"/>
    <w:rsid w:val="00800862"/>
    <w:rsid w:val="0080093F"/>
    <w:rsid w:val="00801E97"/>
    <w:rsid w:val="00802592"/>
    <w:rsid w:val="00803113"/>
    <w:rsid w:val="00803D81"/>
    <w:rsid w:val="00804357"/>
    <w:rsid w:val="008047C9"/>
    <w:rsid w:val="00804DF9"/>
    <w:rsid w:val="008053B6"/>
    <w:rsid w:val="0080592F"/>
    <w:rsid w:val="00805EBD"/>
    <w:rsid w:val="0080722E"/>
    <w:rsid w:val="00807BA7"/>
    <w:rsid w:val="00810785"/>
    <w:rsid w:val="00814168"/>
    <w:rsid w:val="008148E9"/>
    <w:rsid w:val="008155F9"/>
    <w:rsid w:val="00815FB9"/>
    <w:rsid w:val="00817744"/>
    <w:rsid w:val="00820B21"/>
    <w:rsid w:val="00822BB3"/>
    <w:rsid w:val="00823689"/>
    <w:rsid w:val="00831F21"/>
    <w:rsid w:val="00832464"/>
    <w:rsid w:val="0083588C"/>
    <w:rsid w:val="00836053"/>
    <w:rsid w:val="0084008C"/>
    <w:rsid w:val="0084236C"/>
    <w:rsid w:val="00843239"/>
    <w:rsid w:val="00843282"/>
    <w:rsid w:val="008434FF"/>
    <w:rsid w:val="008442ED"/>
    <w:rsid w:val="00844D67"/>
    <w:rsid w:val="008531AA"/>
    <w:rsid w:val="00853563"/>
    <w:rsid w:val="00854BE6"/>
    <w:rsid w:val="008563DC"/>
    <w:rsid w:val="00856561"/>
    <w:rsid w:val="00860CC7"/>
    <w:rsid w:val="00860E8E"/>
    <w:rsid w:val="008612F8"/>
    <w:rsid w:val="0086633C"/>
    <w:rsid w:val="00870056"/>
    <w:rsid w:val="0087447A"/>
    <w:rsid w:val="00874E4A"/>
    <w:rsid w:val="00874F73"/>
    <w:rsid w:val="00875617"/>
    <w:rsid w:val="00876C4F"/>
    <w:rsid w:val="00877151"/>
    <w:rsid w:val="00881088"/>
    <w:rsid w:val="008826B9"/>
    <w:rsid w:val="00885405"/>
    <w:rsid w:val="008859C5"/>
    <w:rsid w:val="00885AF9"/>
    <w:rsid w:val="00886148"/>
    <w:rsid w:val="0088666C"/>
    <w:rsid w:val="0088671D"/>
    <w:rsid w:val="00891BAA"/>
    <w:rsid w:val="00894757"/>
    <w:rsid w:val="00894E19"/>
    <w:rsid w:val="0089542E"/>
    <w:rsid w:val="00895492"/>
    <w:rsid w:val="00895596"/>
    <w:rsid w:val="008A1AFD"/>
    <w:rsid w:val="008A26E0"/>
    <w:rsid w:val="008A3620"/>
    <w:rsid w:val="008A362F"/>
    <w:rsid w:val="008A3F72"/>
    <w:rsid w:val="008A48F5"/>
    <w:rsid w:val="008A4C5C"/>
    <w:rsid w:val="008A5276"/>
    <w:rsid w:val="008A59B7"/>
    <w:rsid w:val="008A6446"/>
    <w:rsid w:val="008A7438"/>
    <w:rsid w:val="008A78CC"/>
    <w:rsid w:val="008B03CD"/>
    <w:rsid w:val="008B112C"/>
    <w:rsid w:val="008B1755"/>
    <w:rsid w:val="008B2054"/>
    <w:rsid w:val="008B4CB4"/>
    <w:rsid w:val="008B4F6F"/>
    <w:rsid w:val="008C1315"/>
    <w:rsid w:val="008C17E0"/>
    <w:rsid w:val="008C1838"/>
    <w:rsid w:val="008C4856"/>
    <w:rsid w:val="008C4BA0"/>
    <w:rsid w:val="008C5664"/>
    <w:rsid w:val="008C6B5B"/>
    <w:rsid w:val="008D180C"/>
    <w:rsid w:val="008D45D7"/>
    <w:rsid w:val="008D600D"/>
    <w:rsid w:val="008D698D"/>
    <w:rsid w:val="008D6E28"/>
    <w:rsid w:val="008E0057"/>
    <w:rsid w:val="008E0864"/>
    <w:rsid w:val="008E1A0B"/>
    <w:rsid w:val="008E2832"/>
    <w:rsid w:val="008E33D7"/>
    <w:rsid w:val="008F1532"/>
    <w:rsid w:val="008F4058"/>
    <w:rsid w:val="008F565F"/>
    <w:rsid w:val="008F5734"/>
    <w:rsid w:val="008F5D71"/>
    <w:rsid w:val="008F6939"/>
    <w:rsid w:val="008F6EC5"/>
    <w:rsid w:val="00901461"/>
    <w:rsid w:val="00903B55"/>
    <w:rsid w:val="00904877"/>
    <w:rsid w:val="00907118"/>
    <w:rsid w:val="00910066"/>
    <w:rsid w:val="009114C8"/>
    <w:rsid w:val="00911E60"/>
    <w:rsid w:val="00912FAA"/>
    <w:rsid w:val="0091340D"/>
    <w:rsid w:val="00915260"/>
    <w:rsid w:val="00916706"/>
    <w:rsid w:val="00916D8D"/>
    <w:rsid w:val="009174B7"/>
    <w:rsid w:val="00921E1D"/>
    <w:rsid w:val="00921F6B"/>
    <w:rsid w:val="00922D2E"/>
    <w:rsid w:val="0092436C"/>
    <w:rsid w:val="00925DE3"/>
    <w:rsid w:val="009271F1"/>
    <w:rsid w:val="00930717"/>
    <w:rsid w:val="00930D0B"/>
    <w:rsid w:val="009311B9"/>
    <w:rsid w:val="009335CA"/>
    <w:rsid w:val="00933AE6"/>
    <w:rsid w:val="0093432D"/>
    <w:rsid w:val="00945902"/>
    <w:rsid w:val="00945C5D"/>
    <w:rsid w:val="00946F21"/>
    <w:rsid w:val="009500AC"/>
    <w:rsid w:val="00951B30"/>
    <w:rsid w:val="0095338A"/>
    <w:rsid w:val="00953E7F"/>
    <w:rsid w:val="00954379"/>
    <w:rsid w:val="009550EF"/>
    <w:rsid w:val="009554E7"/>
    <w:rsid w:val="009557D3"/>
    <w:rsid w:val="009565C6"/>
    <w:rsid w:val="009568DA"/>
    <w:rsid w:val="00960034"/>
    <w:rsid w:val="00960AB8"/>
    <w:rsid w:val="00960B94"/>
    <w:rsid w:val="009610F8"/>
    <w:rsid w:val="00965DD4"/>
    <w:rsid w:val="00970C0E"/>
    <w:rsid w:val="00970C98"/>
    <w:rsid w:val="00974EDB"/>
    <w:rsid w:val="00976A97"/>
    <w:rsid w:val="0098267A"/>
    <w:rsid w:val="00984176"/>
    <w:rsid w:val="00986A67"/>
    <w:rsid w:val="00986E27"/>
    <w:rsid w:val="00987E77"/>
    <w:rsid w:val="009928AC"/>
    <w:rsid w:val="009928F6"/>
    <w:rsid w:val="00993249"/>
    <w:rsid w:val="00993A2B"/>
    <w:rsid w:val="0099522E"/>
    <w:rsid w:val="00997881"/>
    <w:rsid w:val="009A1F2A"/>
    <w:rsid w:val="009A3890"/>
    <w:rsid w:val="009A3CC3"/>
    <w:rsid w:val="009A57A9"/>
    <w:rsid w:val="009A638A"/>
    <w:rsid w:val="009A64F6"/>
    <w:rsid w:val="009A6A41"/>
    <w:rsid w:val="009B1478"/>
    <w:rsid w:val="009B1533"/>
    <w:rsid w:val="009B17FB"/>
    <w:rsid w:val="009B1F33"/>
    <w:rsid w:val="009B23F3"/>
    <w:rsid w:val="009B249B"/>
    <w:rsid w:val="009B39A6"/>
    <w:rsid w:val="009B52BD"/>
    <w:rsid w:val="009B53AA"/>
    <w:rsid w:val="009B7CE9"/>
    <w:rsid w:val="009C03E2"/>
    <w:rsid w:val="009C17A4"/>
    <w:rsid w:val="009C1D12"/>
    <w:rsid w:val="009C1EF3"/>
    <w:rsid w:val="009C22D5"/>
    <w:rsid w:val="009C3156"/>
    <w:rsid w:val="009C7746"/>
    <w:rsid w:val="009D0323"/>
    <w:rsid w:val="009D0889"/>
    <w:rsid w:val="009D1C6E"/>
    <w:rsid w:val="009D1E98"/>
    <w:rsid w:val="009D26F1"/>
    <w:rsid w:val="009D2E99"/>
    <w:rsid w:val="009D2F53"/>
    <w:rsid w:val="009D4A5D"/>
    <w:rsid w:val="009D61F7"/>
    <w:rsid w:val="009D6EBA"/>
    <w:rsid w:val="009D78E6"/>
    <w:rsid w:val="009E0461"/>
    <w:rsid w:val="009E0973"/>
    <w:rsid w:val="009E21E5"/>
    <w:rsid w:val="009E2F80"/>
    <w:rsid w:val="009E43AA"/>
    <w:rsid w:val="009E4A7F"/>
    <w:rsid w:val="009E5AAD"/>
    <w:rsid w:val="009F2634"/>
    <w:rsid w:val="009F3A34"/>
    <w:rsid w:val="009F4F74"/>
    <w:rsid w:val="00A0018D"/>
    <w:rsid w:val="00A024B6"/>
    <w:rsid w:val="00A026B4"/>
    <w:rsid w:val="00A04AB7"/>
    <w:rsid w:val="00A06A43"/>
    <w:rsid w:val="00A06DFD"/>
    <w:rsid w:val="00A07832"/>
    <w:rsid w:val="00A07EFA"/>
    <w:rsid w:val="00A11A57"/>
    <w:rsid w:val="00A13A63"/>
    <w:rsid w:val="00A13E6F"/>
    <w:rsid w:val="00A14653"/>
    <w:rsid w:val="00A14EA2"/>
    <w:rsid w:val="00A16A9A"/>
    <w:rsid w:val="00A17887"/>
    <w:rsid w:val="00A2011E"/>
    <w:rsid w:val="00A20F76"/>
    <w:rsid w:val="00A2201D"/>
    <w:rsid w:val="00A247AF"/>
    <w:rsid w:val="00A24B35"/>
    <w:rsid w:val="00A25B61"/>
    <w:rsid w:val="00A265AC"/>
    <w:rsid w:val="00A273D8"/>
    <w:rsid w:val="00A27665"/>
    <w:rsid w:val="00A31289"/>
    <w:rsid w:val="00A31793"/>
    <w:rsid w:val="00A31AF7"/>
    <w:rsid w:val="00A31C80"/>
    <w:rsid w:val="00A33109"/>
    <w:rsid w:val="00A33E19"/>
    <w:rsid w:val="00A34F73"/>
    <w:rsid w:val="00A360EA"/>
    <w:rsid w:val="00A36DFF"/>
    <w:rsid w:val="00A37298"/>
    <w:rsid w:val="00A425C6"/>
    <w:rsid w:val="00A430D3"/>
    <w:rsid w:val="00A43616"/>
    <w:rsid w:val="00A43B78"/>
    <w:rsid w:val="00A461D3"/>
    <w:rsid w:val="00A4650C"/>
    <w:rsid w:val="00A5231C"/>
    <w:rsid w:val="00A53180"/>
    <w:rsid w:val="00A5435D"/>
    <w:rsid w:val="00A54832"/>
    <w:rsid w:val="00A55AC9"/>
    <w:rsid w:val="00A56390"/>
    <w:rsid w:val="00A5681A"/>
    <w:rsid w:val="00A56DFD"/>
    <w:rsid w:val="00A578CD"/>
    <w:rsid w:val="00A60063"/>
    <w:rsid w:val="00A60B60"/>
    <w:rsid w:val="00A60D8F"/>
    <w:rsid w:val="00A63438"/>
    <w:rsid w:val="00A711E4"/>
    <w:rsid w:val="00A73743"/>
    <w:rsid w:val="00A754DD"/>
    <w:rsid w:val="00A75D8E"/>
    <w:rsid w:val="00A824C2"/>
    <w:rsid w:val="00A83095"/>
    <w:rsid w:val="00A83477"/>
    <w:rsid w:val="00A85786"/>
    <w:rsid w:val="00A86782"/>
    <w:rsid w:val="00A86BE7"/>
    <w:rsid w:val="00A871F3"/>
    <w:rsid w:val="00A90E91"/>
    <w:rsid w:val="00A919A6"/>
    <w:rsid w:val="00A923B0"/>
    <w:rsid w:val="00A94A62"/>
    <w:rsid w:val="00AA02E6"/>
    <w:rsid w:val="00AA1697"/>
    <w:rsid w:val="00AA1698"/>
    <w:rsid w:val="00AA21C3"/>
    <w:rsid w:val="00AA2D67"/>
    <w:rsid w:val="00AA3692"/>
    <w:rsid w:val="00AA62ED"/>
    <w:rsid w:val="00AA671F"/>
    <w:rsid w:val="00AA70C8"/>
    <w:rsid w:val="00AA7AFA"/>
    <w:rsid w:val="00AA7FE9"/>
    <w:rsid w:val="00AB0252"/>
    <w:rsid w:val="00AB1103"/>
    <w:rsid w:val="00AB2409"/>
    <w:rsid w:val="00AB27AF"/>
    <w:rsid w:val="00AB6DDF"/>
    <w:rsid w:val="00AB7A75"/>
    <w:rsid w:val="00AC011F"/>
    <w:rsid w:val="00AC10DD"/>
    <w:rsid w:val="00AC1134"/>
    <w:rsid w:val="00AC2AD7"/>
    <w:rsid w:val="00AD286F"/>
    <w:rsid w:val="00AD28CD"/>
    <w:rsid w:val="00AD3281"/>
    <w:rsid w:val="00AD46AA"/>
    <w:rsid w:val="00AD599D"/>
    <w:rsid w:val="00AE0F6D"/>
    <w:rsid w:val="00AE107E"/>
    <w:rsid w:val="00AE3F7C"/>
    <w:rsid w:val="00AE5B0F"/>
    <w:rsid w:val="00AE63BC"/>
    <w:rsid w:val="00AE69E7"/>
    <w:rsid w:val="00AF0431"/>
    <w:rsid w:val="00AF0B0C"/>
    <w:rsid w:val="00AF4301"/>
    <w:rsid w:val="00AF55D2"/>
    <w:rsid w:val="00AF56E4"/>
    <w:rsid w:val="00AF6081"/>
    <w:rsid w:val="00AF6E7B"/>
    <w:rsid w:val="00AF7F64"/>
    <w:rsid w:val="00B000DA"/>
    <w:rsid w:val="00B006A5"/>
    <w:rsid w:val="00B00D83"/>
    <w:rsid w:val="00B0161A"/>
    <w:rsid w:val="00B059E2"/>
    <w:rsid w:val="00B065A9"/>
    <w:rsid w:val="00B06A6D"/>
    <w:rsid w:val="00B10BB2"/>
    <w:rsid w:val="00B1103F"/>
    <w:rsid w:val="00B126A2"/>
    <w:rsid w:val="00B129B9"/>
    <w:rsid w:val="00B15201"/>
    <w:rsid w:val="00B157CF"/>
    <w:rsid w:val="00B15FD1"/>
    <w:rsid w:val="00B16A01"/>
    <w:rsid w:val="00B1753C"/>
    <w:rsid w:val="00B2018F"/>
    <w:rsid w:val="00B20235"/>
    <w:rsid w:val="00B20524"/>
    <w:rsid w:val="00B2226A"/>
    <w:rsid w:val="00B2312C"/>
    <w:rsid w:val="00B24BD7"/>
    <w:rsid w:val="00B24F16"/>
    <w:rsid w:val="00B2511E"/>
    <w:rsid w:val="00B257D7"/>
    <w:rsid w:val="00B26040"/>
    <w:rsid w:val="00B2653E"/>
    <w:rsid w:val="00B31803"/>
    <w:rsid w:val="00B3510A"/>
    <w:rsid w:val="00B36EF5"/>
    <w:rsid w:val="00B37AA9"/>
    <w:rsid w:val="00B42C34"/>
    <w:rsid w:val="00B43F28"/>
    <w:rsid w:val="00B47B24"/>
    <w:rsid w:val="00B47C98"/>
    <w:rsid w:val="00B47F90"/>
    <w:rsid w:val="00B50873"/>
    <w:rsid w:val="00B513B9"/>
    <w:rsid w:val="00B5192C"/>
    <w:rsid w:val="00B527A7"/>
    <w:rsid w:val="00B53649"/>
    <w:rsid w:val="00B546C3"/>
    <w:rsid w:val="00B5508B"/>
    <w:rsid w:val="00B552EA"/>
    <w:rsid w:val="00B567EA"/>
    <w:rsid w:val="00B56C9D"/>
    <w:rsid w:val="00B66D68"/>
    <w:rsid w:val="00B674A3"/>
    <w:rsid w:val="00B67D56"/>
    <w:rsid w:val="00B700CC"/>
    <w:rsid w:val="00B70B10"/>
    <w:rsid w:val="00B72760"/>
    <w:rsid w:val="00B73189"/>
    <w:rsid w:val="00B73B5F"/>
    <w:rsid w:val="00B746FE"/>
    <w:rsid w:val="00B7622B"/>
    <w:rsid w:val="00B779BD"/>
    <w:rsid w:val="00B77F92"/>
    <w:rsid w:val="00B812F1"/>
    <w:rsid w:val="00B8179E"/>
    <w:rsid w:val="00B81BD4"/>
    <w:rsid w:val="00B84897"/>
    <w:rsid w:val="00B85527"/>
    <w:rsid w:val="00B858A6"/>
    <w:rsid w:val="00B87DBD"/>
    <w:rsid w:val="00B929CE"/>
    <w:rsid w:val="00B93F64"/>
    <w:rsid w:val="00B95B40"/>
    <w:rsid w:val="00B97A6B"/>
    <w:rsid w:val="00BA1EEC"/>
    <w:rsid w:val="00BA2091"/>
    <w:rsid w:val="00BA2C20"/>
    <w:rsid w:val="00BA5B73"/>
    <w:rsid w:val="00BA5BD5"/>
    <w:rsid w:val="00BA5CE5"/>
    <w:rsid w:val="00BA61B5"/>
    <w:rsid w:val="00BA6C86"/>
    <w:rsid w:val="00BA7372"/>
    <w:rsid w:val="00BA753E"/>
    <w:rsid w:val="00BB0DE1"/>
    <w:rsid w:val="00BB1D65"/>
    <w:rsid w:val="00BB4879"/>
    <w:rsid w:val="00BB572D"/>
    <w:rsid w:val="00BB7B0F"/>
    <w:rsid w:val="00BC1E59"/>
    <w:rsid w:val="00BC2169"/>
    <w:rsid w:val="00BC2E0C"/>
    <w:rsid w:val="00BD1115"/>
    <w:rsid w:val="00BD13F9"/>
    <w:rsid w:val="00BD25FD"/>
    <w:rsid w:val="00BD2671"/>
    <w:rsid w:val="00BD3431"/>
    <w:rsid w:val="00BD5337"/>
    <w:rsid w:val="00BD608A"/>
    <w:rsid w:val="00BD6792"/>
    <w:rsid w:val="00BD6A17"/>
    <w:rsid w:val="00BD6EDB"/>
    <w:rsid w:val="00BD73EB"/>
    <w:rsid w:val="00BD78F3"/>
    <w:rsid w:val="00BE0039"/>
    <w:rsid w:val="00BE060D"/>
    <w:rsid w:val="00BE0B2F"/>
    <w:rsid w:val="00BE2305"/>
    <w:rsid w:val="00BE253E"/>
    <w:rsid w:val="00BE436F"/>
    <w:rsid w:val="00BE452F"/>
    <w:rsid w:val="00BE6342"/>
    <w:rsid w:val="00BE7E60"/>
    <w:rsid w:val="00BF18D8"/>
    <w:rsid w:val="00BF30A2"/>
    <w:rsid w:val="00BF4562"/>
    <w:rsid w:val="00BF512B"/>
    <w:rsid w:val="00BF7795"/>
    <w:rsid w:val="00C00205"/>
    <w:rsid w:val="00C0587D"/>
    <w:rsid w:val="00C06C21"/>
    <w:rsid w:val="00C06DD6"/>
    <w:rsid w:val="00C076F7"/>
    <w:rsid w:val="00C10104"/>
    <w:rsid w:val="00C13A28"/>
    <w:rsid w:val="00C13A8F"/>
    <w:rsid w:val="00C13BFC"/>
    <w:rsid w:val="00C148EF"/>
    <w:rsid w:val="00C14C86"/>
    <w:rsid w:val="00C16B8F"/>
    <w:rsid w:val="00C209B5"/>
    <w:rsid w:val="00C259E0"/>
    <w:rsid w:val="00C25F9C"/>
    <w:rsid w:val="00C266D7"/>
    <w:rsid w:val="00C30C01"/>
    <w:rsid w:val="00C31B6D"/>
    <w:rsid w:val="00C331EC"/>
    <w:rsid w:val="00C33283"/>
    <w:rsid w:val="00C33858"/>
    <w:rsid w:val="00C37B88"/>
    <w:rsid w:val="00C40C1B"/>
    <w:rsid w:val="00C41197"/>
    <w:rsid w:val="00C44E85"/>
    <w:rsid w:val="00C46EA4"/>
    <w:rsid w:val="00C515AA"/>
    <w:rsid w:val="00C5192F"/>
    <w:rsid w:val="00C51982"/>
    <w:rsid w:val="00C53612"/>
    <w:rsid w:val="00C560FE"/>
    <w:rsid w:val="00C57492"/>
    <w:rsid w:val="00C57567"/>
    <w:rsid w:val="00C60589"/>
    <w:rsid w:val="00C618FF"/>
    <w:rsid w:val="00C6197C"/>
    <w:rsid w:val="00C61A9E"/>
    <w:rsid w:val="00C65BB3"/>
    <w:rsid w:val="00C6605C"/>
    <w:rsid w:val="00C66CA3"/>
    <w:rsid w:val="00C67779"/>
    <w:rsid w:val="00C71934"/>
    <w:rsid w:val="00C72CAB"/>
    <w:rsid w:val="00C81376"/>
    <w:rsid w:val="00C822C9"/>
    <w:rsid w:val="00C831E9"/>
    <w:rsid w:val="00C8340B"/>
    <w:rsid w:val="00C83834"/>
    <w:rsid w:val="00C83905"/>
    <w:rsid w:val="00C858FF"/>
    <w:rsid w:val="00C9019D"/>
    <w:rsid w:val="00C90548"/>
    <w:rsid w:val="00C907E3"/>
    <w:rsid w:val="00C909BE"/>
    <w:rsid w:val="00C90C5F"/>
    <w:rsid w:val="00C9547A"/>
    <w:rsid w:val="00C95DF2"/>
    <w:rsid w:val="00C95E56"/>
    <w:rsid w:val="00C970D3"/>
    <w:rsid w:val="00CA297A"/>
    <w:rsid w:val="00CA3E83"/>
    <w:rsid w:val="00CA5464"/>
    <w:rsid w:val="00CA75FC"/>
    <w:rsid w:val="00CB0763"/>
    <w:rsid w:val="00CB66D6"/>
    <w:rsid w:val="00CB75A5"/>
    <w:rsid w:val="00CB7835"/>
    <w:rsid w:val="00CB7934"/>
    <w:rsid w:val="00CC14A3"/>
    <w:rsid w:val="00CC2B92"/>
    <w:rsid w:val="00CC3E4B"/>
    <w:rsid w:val="00CC4067"/>
    <w:rsid w:val="00CC4432"/>
    <w:rsid w:val="00CC5808"/>
    <w:rsid w:val="00CC62DD"/>
    <w:rsid w:val="00CD03A5"/>
    <w:rsid w:val="00CD1019"/>
    <w:rsid w:val="00CD3905"/>
    <w:rsid w:val="00CD41A2"/>
    <w:rsid w:val="00CD452D"/>
    <w:rsid w:val="00CD4DD8"/>
    <w:rsid w:val="00CD519E"/>
    <w:rsid w:val="00CD6D10"/>
    <w:rsid w:val="00CD7614"/>
    <w:rsid w:val="00CE1FAB"/>
    <w:rsid w:val="00CE213F"/>
    <w:rsid w:val="00CE76BF"/>
    <w:rsid w:val="00CE7DDB"/>
    <w:rsid w:val="00CF1CA4"/>
    <w:rsid w:val="00CF2155"/>
    <w:rsid w:val="00CF37BA"/>
    <w:rsid w:val="00CF4A2A"/>
    <w:rsid w:val="00CF5243"/>
    <w:rsid w:val="00CF54B4"/>
    <w:rsid w:val="00CF5A88"/>
    <w:rsid w:val="00CF7501"/>
    <w:rsid w:val="00D00020"/>
    <w:rsid w:val="00D02C0F"/>
    <w:rsid w:val="00D03526"/>
    <w:rsid w:val="00D03BCB"/>
    <w:rsid w:val="00D1295B"/>
    <w:rsid w:val="00D138EC"/>
    <w:rsid w:val="00D13E94"/>
    <w:rsid w:val="00D1492E"/>
    <w:rsid w:val="00D152AC"/>
    <w:rsid w:val="00D15D2E"/>
    <w:rsid w:val="00D1F2A8"/>
    <w:rsid w:val="00D21E6A"/>
    <w:rsid w:val="00D22AEE"/>
    <w:rsid w:val="00D22E02"/>
    <w:rsid w:val="00D24F55"/>
    <w:rsid w:val="00D25791"/>
    <w:rsid w:val="00D265CD"/>
    <w:rsid w:val="00D273EE"/>
    <w:rsid w:val="00D27A64"/>
    <w:rsid w:val="00D329E4"/>
    <w:rsid w:val="00D3310D"/>
    <w:rsid w:val="00D33CE5"/>
    <w:rsid w:val="00D354C2"/>
    <w:rsid w:val="00D35DB1"/>
    <w:rsid w:val="00D37ACF"/>
    <w:rsid w:val="00D401A7"/>
    <w:rsid w:val="00D44359"/>
    <w:rsid w:val="00D44F6C"/>
    <w:rsid w:val="00D45451"/>
    <w:rsid w:val="00D5043D"/>
    <w:rsid w:val="00D518C0"/>
    <w:rsid w:val="00D53122"/>
    <w:rsid w:val="00D5775B"/>
    <w:rsid w:val="00D60DB9"/>
    <w:rsid w:val="00D610D6"/>
    <w:rsid w:val="00D6161E"/>
    <w:rsid w:val="00D629E5"/>
    <w:rsid w:val="00D6432B"/>
    <w:rsid w:val="00D65C4E"/>
    <w:rsid w:val="00D66261"/>
    <w:rsid w:val="00D663E4"/>
    <w:rsid w:val="00D66AC0"/>
    <w:rsid w:val="00D6765A"/>
    <w:rsid w:val="00D71BAD"/>
    <w:rsid w:val="00D71FA0"/>
    <w:rsid w:val="00D7367F"/>
    <w:rsid w:val="00D748C2"/>
    <w:rsid w:val="00D749BB"/>
    <w:rsid w:val="00D76152"/>
    <w:rsid w:val="00D76C41"/>
    <w:rsid w:val="00D805E4"/>
    <w:rsid w:val="00D81813"/>
    <w:rsid w:val="00D81977"/>
    <w:rsid w:val="00D824EA"/>
    <w:rsid w:val="00D83431"/>
    <w:rsid w:val="00D85060"/>
    <w:rsid w:val="00D90ADA"/>
    <w:rsid w:val="00D917A7"/>
    <w:rsid w:val="00D92D8C"/>
    <w:rsid w:val="00D93D50"/>
    <w:rsid w:val="00D94796"/>
    <w:rsid w:val="00D948EA"/>
    <w:rsid w:val="00D94B3C"/>
    <w:rsid w:val="00D96226"/>
    <w:rsid w:val="00DA0D3E"/>
    <w:rsid w:val="00DA1E46"/>
    <w:rsid w:val="00DA264F"/>
    <w:rsid w:val="00DA2880"/>
    <w:rsid w:val="00DA2AFF"/>
    <w:rsid w:val="00DA2C41"/>
    <w:rsid w:val="00DA3BAD"/>
    <w:rsid w:val="00DA4C04"/>
    <w:rsid w:val="00DA4EC6"/>
    <w:rsid w:val="00DA72CA"/>
    <w:rsid w:val="00DA7901"/>
    <w:rsid w:val="00DB053E"/>
    <w:rsid w:val="00DB0776"/>
    <w:rsid w:val="00DB14D6"/>
    <w:rsid w:val="00DB2007"/>
    <w:rsid w:val="00DB32BF"/>
    <w:rsid w:val="00DB3ADC"/>
    <w:rsid w:val="00DB4C5D"/>
    <w:rsid w:val="00DB52E3"/>
    <w:rsid w:val="00DB6257"/>
    <w:rsid w:val="00DB7837"/>
    <w:rsid w:val="00DC03CC"/>
    <w:rsid w:val="00DC38EE"/>
    <w:rsid w:val="00DC3E4D"/>
    <w:rsid w:val="00DC63F0"/>
    <w:rsid w:val="00DC73B5"/>
    <w:rsid w:val="00DC7FC2"/>
    <w:rsid w:val="00DD153B"/>
    <w:rsid w:val="00DD1947"/>
    <w:rsid w:val="00DD2D05"/>
    <w:rsid w:val="00DD4039"/>
    <w:rsid w:val="00DD4361"/>
    <w:rsid w:val="00DD456E"/>
    <w:rsid w:val="00DD4FDA"/>
    <w:rsid w:val="00DD6F98"/>
    <w:rsid w:val="00DD71CA"/>
    <w:rsid w:val="00DD7AD5"/>
    <w:rsid w:val="00DE062C"/>
    <w:rsid w:val="00DE1AC3"/>
    <w:rsid w:val="00DE38C0"/>
    <w:rsid w:val="00DE4B54"/>
    <w:rsid w:val="00DE6509"/>
    <w:rsid w:val="00DE73B5"/>
    <w:rsid w:val="00DF4F78"/>
    <w:rsid w:val="00DF539C"/>
    <w:rsid w:val="00DF60D5"/>
    <w:rsid w:val="00DF64AD"/>
    <w:rsid w:val="00DF735B"/>
    <w:rsid w:val="00DF79FF"/>
    <w:rsid w:val="00E0111D"/>
    <w:rsid w:val="00E01202"/>
    <w:rsid w:val="00E03530"/>
    <w:rsid w:val="00E03778"/>
    <w:rsid w:val="00E07BF2"/>
    <w:rsid w:val="00E1038A"/>
    <w:rsid w:val="00E10D38"/>
    <w:rsid w:val="00E125AF"/>
    <w:rsid w:val="00E12938"/>
    <w:rsid w:val="00E13EB3"/>
    <w:rsid w:val="00E176D2"/>
    <w:rsid w:val="00E17B53"/>
    <w:rsid w:val="00E2093E"/>
    <w:rsid w:val="00E209C6"/>
    <w:rsid w:val="00E219CF"/>
    <w:rsid w:val="00E22E3E"/>
    <w:rsid w:val="00E24D85"/>
    <w:rsid w:val="00E30967"/>
    <w:rsid w:val="00E331D1"/>
    <w:rsid w:val="00E34835"/>
    <w:rsid w:val="00E36E8E"/>
    <w:rsid w:val="00E37A64"/>
    <w:rsid w:val="00E42D1D"/>
    <w:rsid w:val="00E43522"/>
    <w:rsid w:val="00E45198"/>
    <w:rsid w:val="00E45508"/>
    <w:rsid w:val="00E46851"/>
    <w:rsid w:val="00E471FE"/>
    <w:rsid w:val="00E51113"/>
    <w:rsid w:val="00E514B1"/>
    <w:rsid w:val="00E51AAD"/>
    <w:rsid w:val="00E51FE3"/>
    <w:rsid w:val="00E54BDC"/>
    <w:rsid w:val="00E54EE5"/>
    <w:rsid w:val="00E5517E"/>
    <w:rsid w:val="00E5619F"/>
    <w:rsid w:val="00E56668"/>
    <w:rsid w:val="00E57502"/>
    <w:rsid w:val="00E57DCD"/>
    <w:rsid w:val="00E60B84"/>
    <w:rsid w:val="00E610E4"/>
    <w:rsid w:val="00E61125"/>
    <w:rsid w:val="00E65569"/>
    <w:rsid w:val="00E6571A"/>
    <w:rsid w:val="00E65A2F"/>
    <w:rsid w:val="00E66787"/>
    <w:rsid w:val="00E7146D"/>
    <w:rsid w:val="00E716C2"/>
    <w:rsid w:val="00E71786"/>
    <w:rsid w:val="00E72109"/>
    <w:rsid w:val="00E73D90"/>
    <w:rsid w:val="00E74056"/>
    <w:rsid w:val="00E81D58"/>
    <w:rsid w:val="00E82121"/>
    <w:rsid w:val="00E833EA"/>
    <w:rsid w:val="00E84DEF"/>
    <w:rsid w:val="00E920D4"/>
    <w:rsid w:val="00E945A7"/>
    <w:rsid w:val="00E96AE1"/>
    <w:rsid w:val="00E97FF3"/>
    <w:rsid w:val="00EA007A"/>
    <w:rsid w:val="00EA0E4C"/>
    <w:rsid w:val="00EA1ABE"/>
    <w:rsid w:val="00EA2549"/>
    <w:rsid w:val="00EA30EB"/>
    <w:rsid w:val="00EA5BF5"/>
    <w:rsid w:val="00EB5C0A"/>
    <w:rsid w:val="00EB6EDC"/>
    <w:rsid w:val="00EC00DF"/>
    <w:rsid w:val="00EC460C"/>
    <w:rsid w:val="00EC698B"/>
    <w:rsid w:val="00ED26C7"/>
    <w:rsid w:val="00ED30CD"/>
    <w:rsid w:val="00ED36EE"/>
    <w:rsid w:val="00ED6D3D"/>
    <w:rsid w:val="00ED6EB8"/>
    <w:rsid w:val="00EE20C8"/>
    <w:rsid w:val="00EE4D8C"/>
    <w:rsid w:val="00EE579A"/>
    <w:rsid w:val="00EE637F"/>
    <w:rsid w:val="00EF14BF"/>
    <w:rsid w:val="00EF18BB"/>
    <w:rsid w:val="00EF31D7"/>
    <w:rsid w:val="00EF3E67"/>
    <w:rsid w:val="00EF4AE9"/>
    <w:rsid w:val="00EF620D"/>
    <w:rsid w:val="00EF7477"/>
    <w:rsid w:val="00F01DE0"/>
    <w:rsid w:val="00F01FA5"/>
    <w:rsid w:val="00F04352"/>
    <w:rsid w:val="00F053AB"/>
    <w:rsid w:val="00F067E9"/>
    <w:rsid w:val="00F10E55"/>
    <w:rsid w:val="00F139E2"/>
    <w:rsid w:val="00F14001"/>
    <w:rsid w:val="00F14575"/>
    <w:rsid w:val="00F15522"/>
    <w:rsid w:val="00F168F8"/>
    <w:rsid w:val="00F16B95"/>
    <w:rsid w:val="00F17392"/>
    <w:rsid w:val="00F20808"/>
    <w:rsid w:val="00F2168E"/>
    <w:rsid w:val="00F218C9"/>
    <w:rsid w:val="00F23523"/>
    <w:rsid w:val="00F23F6C"/>
    <w:rsid w:val="00F2516E"/>
    <w:rsid w:val="00F27AF5"/>
    <w:rsid w:val="00F306E0"/>
    <w:rsid w:val="00F321DC"/>
    <w:rsid w:val="00F32F0F"/>
    <w:rsid w:val="00F36F5A"/>
    <w:rsid w:val="00F37168"/>
    <w:rsid w:val="00F40674"/>
    <w:rsid w:val="00F408E3"/>
    <w:rsid w:val="00F40BA1"/>
    <w:rsid w:val="00F40E64"/>
    <w:rsid w:val="00F4188C"/>
    <w:rsid w:val="00F420AF"/>
    <w:rsid w:val="00F42F1F"/>
    <w:rsid w:val="00F434BD"/>
    <w:rsid w:val="00F44979"/>
    <w:rsid w:val="00F4516B"/>
    <w:rsid w:val="00F45705"/>
    <w:rsid w:val="00F46CE7"/>
    <w:rsid w:val="00F51D5C"/>
    <w:rsid w:val="00F52891"/>
    <w:rsid w:val="00F529F2"/>
    <w:rsid w:val="00F5434E"/>
    <w:rsid w:val="00F55454"/>
    <w:rsid w:val="00F60679"/>
    <w:rsid w:val="00F62671"/>
    <w:rsid w:val="00F6358B"/>
    <w:rsid w:val="00F63FD4"/>
    <w:rsid w:val="00F6467E"/>
    <w:rsid w:val="00F64817"/>
    <w:rsid w:val="00F64DB6"/>
    <w:rsid w:val="00F6720B"/>
    <w:rsid w:val="00F67600"/>
    <w:rsid w:val="00F70290"/>
    <w:rsid w:val="00F711FA"/>
    <w:rsid w:val="00F72471"/>
    <w:rsid w:val="00F728FA"/>
    <w:rsid w:val="00F72987"/>
    <w:rsid w:val="00F72B24"/>
    <w:rsid w:val="00F74A3F"/>
    <w:rsid w:val="00F773B5"/>
    <w:rsid w:val="00F775D6"/>
    <w:rsid w:val="00F809F2"/>
    <w:rsid w:val="00F8121E"/>
    <w:rsid w:val="00F82127"/>
    <w:rsid w:val="00F8273B"/>
    <w:rsid w:val="00F8464F"/>
    <w:rsid w:val="00F86499"/>
    <w:rsid w:val="00F8708B"/>
    <w:rsid w:val="00F907E8"/>
    <w:rsid w:val="00F92E4D"/>
    <w:rsid w:val="00F942B5"/>
    <w:rsid w:val="00F94B76"/>
    <w:rsid w:val="00FA06A3"/>
    <w:rsid w:val="00FA18E0"/>
    <w:rsid w:val="00FA5B60"/>
    <w:rsid w:val="00FA5DFD"/>
    <w:rsid w:val="00FA66B6"/>
    <w:rsid w:val="00FA6CC6"/>
    <w:rsid w:val="00FA7663"/>
    <w:rsid w:val="00FB024E"/>
    <w:rsid w:val="00FB034F"/>
    <w:rsid w:val="00FB1D3C"/>
    <w:rsid w:val="00FB1DFE"/>
    <w:rsid w:val="00FB7576"/>
    <w:rsid w:val="00FB7938"/>
    <w:rsid w:val="00FB7ABD"/>
    <w:rsid w:val="00FC28C5"/>
    <w:rsid w:val="00FC2B42"/>
    <w:rsid w:val="00FC4006"/>
    <w:rsid w:val="00FC4B22"/>
    <w:rsid w:val="00FC660F"/>
    <w:rsid w:val="00FD1F43"/>
    <w:rsid w:val="00FD21D5"/>
    <w:rsid w:val="00FD28D3"/>
    <w:rsid w:val="00FD298C"/>
    <w:rsid w:val="00FD3009"/>
    <w:rsid w:val="00FD49FE"/>
    <w:rsid w:val="00FD52BC"/>
    <w:rsid w:val="00FD567D"/>
    <w:rsid w:val="00FD6277"/>
    <w:rsid w:val="00FE0BD8"/>
    <w:rsid w:val="00FE1631"/>
    <w:rsid w:val="00FE4C02"/>
    <w:rsid w:val="00FE503A"/>
    <w:rsid w:val="00FE6C92"/>
    <w:rsid w:val="00FF17EF"/>
    <w:rsid w:val="00FF20AF"/>
    <w:rsid w:val="00FF2E37"/>
    <w:rsid w:val="00FF2FD0"/>
    <w:rsid w:val="00FF3045"/>
    <w:rsid w:val="00FF559B"/>
    <w:rsid w:val="00FF5F00"/>
    <w:rsid w:val="00FF64BB"/>
    <w:rsid w:val="00FF72F1"/>
    <w:rsid w:val="0113A6AB"/>
    <w:rsid w:val="0125B09C"/>
    <w:rsid w:val="01454B82"/>
    <w:rsid w:val="019DF307"/>
    <w:rsid w:val="01A56BE5"/>
    <w:rsid w:val="02294F2D"/>
    <w:rsid w:val="02391278"/>
    <w:rsid w:val="025BF683"/>
    <w:rsid w:val="02A13138"/>
    <w:rsid w:val="02F6C650"/>
    <w:rsid w:val="03701985"/>
    <w:rsid w:val="03752F72"/>
    <w:rsid w:val="038BC21B"/>
    <w:rsid w:val="0397FF00"/>
    <w:rsid w:val="03B60F95"/>
    <w:rsid w:val="03CCB1ED"/>
    <w:rsid w:val="041B212F"/>
    <w:rsid w:val="052306DD"/>
    <w:rsid w:val="0578047B"/>
    <w:rsid w:val="058E435C"/>
    <w:rsid w:val="05B1C352"/>
    <w:rsid w:val="05D7962E"/>
    <w:rsid w:val="0607C14F"/>
    <w:rsid w:val="0639B2A6"/>
    <w:rsid w:val="0668FC5E"/>
    <w:rsid w:val="067FBFA5"/>
    <w:rsid w:val="0696FFA7"/>
    <w:rsid w:val="06F41056"/>
    <w:rsid w:val="06F7D9B2"/>
    <w:rsid w:val="0713A6B3"/>
    <w:rsid w:val="0793A803"/>
    <w:rsid w:val="07AD5714"/>
    <w:rsid w:val="07B44E91"/>
    <w:rsid w:val="07C21F9B"/>
    <w:rsid w:val="0842B3CB"/>
    <w:rsid w:val="086F6FE5"/>
    <w:rsid w:val="08E70DDE"/>
    <w:rsid w:val="08EE2605"/>
    <w:rsid w:val="091FD13D"/>
    <w:rsid w:val="092A0D75"/>
    <w:rsid w:val="094A0F83"/>
    <w:rsid w:val="0955341D"/>
    <w:rsid w:val="0A35CFD9"/>
    <w:rsid w:val="0A45871D"/>
    <w:rsid w:val="0A5FED6A"/>
    <w:rsid w:val="0A7A225A"/>
    <w:rsid w:val="0A7ED5BB"/>
    <w:rsid w:val="0A8FEB77"/>
    <w:rsid w:val="0B26CBDE"/>
    <w:rsid w:val="0B8A3FE6"/>
    <w:rsid w:val="0C6C9BB9"/>
    <w:rsid w:val="0CA16D2B"/>
    <w:rsid w:val="0CF7A38E"/>
    <w:rsid w:val="0D45D976"/>
    <w:rsid w:val="0D596678"/>
    <w:rsid w:val="0D644F1D"/>
    <w:rsid w:val="0D9AC104"/>
    <w:rsid w:val="0DD70D9E"/>
    <w:rsid w:val="0E002658"/>
    <w:rsid w:val="0E12AD6A"/>
    <w:rsid w:val="0E13EC4D"/>
    <w:rsid w:val="0E32EB7C"/>
    <w:rsid w:val="0E7D711A"/>
    <w:rsid w:val="0E94B2A0"/>
    <w:rsid w:val="0EAC4701"/>
    <w:rsid w:val="0ED2A2DF"/>
    <w:rsid w:val="0F623A12"/>
    <w:rsid w:val="0F6BC07E"/>
    <w:rsid w:val="0FF17599"/>
    <w:rsid w:val="0FF4F9F6"/>
    <w:rsid w:val="100FF90C"/>
    <w:rsid w:val="101F6CE0"/>
    <w:rsid w:val="1054E1FB"/>
    <w:rsid w:val="107CD123"/>
    <w:rsid w:val="109E1465"/>
    <w:rsid w:val="111381FB"/>
    <w:rsid w:val="111EF6E8"/>
    <w:rsid w:val="112392D8"/>
    <w:rsid w:val="1164C115"/>
    <w:rsid w:val="1167EF08"/>
    <w:rsid w:val="11ADA49C"/>
    <w:rsid w:val="11E9FB4D"/>
    <w:rsid w:val="12474721"/>
    <w:rsid w:val="124A80C0"/>
    <w:rsid w:val="124B460B"/>
    <w:rsid w:val="1252CA06"/>
    <w:rsid w:val="12DF7359"/>
    <w:rsid w:val="12F9CC6C"/>
    <w:rsid w:val="13363997"/>
    <w:rsid w:val="13831BB0"/>
    <w:rsid w:val="143CCF78"/>
    <w:rsid w:val="14D4D634"/>
    <w:rsid w:val="14F05A7F"/>
    <w:rsid w:val="15598650"/>
    <w:rsid w:val="15919C0C"/>
    <w:rsid w:val="1597DF3C"/>
    <w:rsid w:val="15F49EA5"/>
    <w:rsid w:val="168A0C72"/>
    <w:rsid w:val="16F6F289"/>
    <w:rsid w:val="173A9D5A"/>
    <w:rsid w:val="1809E8A3"/>
    <w:rsid w:val="18553C48"/>
    <w:rsid w:val="195FB682"/>
    <w:rsid w:val="197CD2FD"/>
    <w:rsid w:val="1A519F2E"/>
    <w:rsid w:val="1A70D114"/>
    <w:rsid w:val="1B28326B"/>
    <w:rsid w:val="1BF7F252"/>
    <w:rsid w:val="1C113BA2"/>
    <w:rsid w:val="1C2A7120"/>
    <w:rsid w:val="1C398292"/>
    <w:rsid w:val="1C47236C"/>
    <w:rsid w:val="1C710E75"/>
    <w:rsid w:val="1CA537A2"/>
    <w:rsid w:val="1CCEE8A5"/>
    <w:rsid w:val="1D2186A8"/>
    <w:rsid w:val="1DBDBBB0"/>
    <w:rsid w:val="1DDB510D"/>
    <w:rsid w:val="1E38A443"/>
    <w:rsid w:val="1E818B18"/>
    <w:rsid w:val="1EB9A315"/>
    <w:rsid w:val="1EF70726"/>
    <w:rsid w:val="1F6C6125"/>
    <w:rsid w:val="1F876BE5"/>
    <w:rsid w:val="1FA3CEA3"/>
    <w:rsid w:val="1FD251AE"/>
    <w:rsid w:val="20067A98"/>
    <w:rsid w:val="2039BB3C"/>
    <w:rsid w:val="2062AE0A"/>
    <w:rsid w:val="208C8E74"/>
    <w:rsid w:val="218F9B97"/>
    <w:rsid w:val="21BCFE6D"/>
    <w:rsid w:val="21DEE75A"/>
    <w:rsid w:val="21E64884"/>
    <w:rsid w:val="221BA825"/>
    <w:rsid w:val="223F3749"/>
    <w:rsid w:val="22B00F66"/>
    <w:rsid w:val="22B01E29"/>
    <w:rsid w:val="22DCFF48"/>
    <w:rsid w:val="233851D7"/>
    <w:rsid w:val="233B9D9E"/>
    <w:rsid w:val="2355B18A"/>
    <w:rsid w:val="23CEDF70"/>
    <w:rsid w:val="23EDB003"/>
    <w:rsid w:val="246F4287"/>
    <w:rsid w:val="249D0F27"/>
    <w:rsid w:val="24E6D593"/>
    <w:rsid w:val="24F8C4E9"/>
    <w:rsid w:val="2503D053"/>
    <w:rsid w:val="251CF9F7"/>
    <w:rsid w:val="252EA142"/>
    <w:rsid w:val="2537B4F5"/>
    <w:rsid w:val="25DC8195"/>
    <w:rsid w:val="26370EA5"/>
    <w:rsid w:val="264254D3"/>
    <w:rsid w:val="2660D226"/>
    <w:rsid w:val="26C75049"/>
    <w:rsid w:val="278B63FA"/>
    <w:rsid w:val="282CA460"/>
    <w:rsid w:val="28A21917"/>
    <w:rsid w:val="28B20E41"/>
    <w:rsid w:val="29310023"/>
    <w:rsid w:val="2931B171"/>
    <w:rsid w:val="293DE463"/>
    <w:rsid w:val="2998CC4E"/>
    <w:rsid w:val="299E3517"/>
    <w:rsid w:val="299F3899"/>
    <w:rsid w:val="29B45B46"/>
    <w:rsid w:val="29D00EFD"/>
    <w:rsid w:val="2A6EC8E7"/>
    <w:rsid w:val="2A8986C7"/>
    <w:rsid w:val="2A8C7D0B"/>
    <w:rsid w:val="2AD7649B"/>
    <w:rsid w:val="2AE14E4F"/>
    <w:rsid w:val="2AFB6A79"/>
    <w:rsid w:val="2B22EE63"/>
    <w:rsid w:val="2B47A4F0"/>
    <w:rsid w:val="2B6EA2FB"/>
    <w:rsid w:val="2C6689F7"/>
    <w:rsid w:val="2C6B59E6"/>
    <w:rsid w:val="2D1B1815"/>
    <w:rsid w:val="2D284047"/>
    <w:rsid w:val="2D59F58E"/>
    <w:rsid w:val="2D5A7E7C"/>
    <w:rsid w:val="2D70DEA4"/>
    <w:rsid w:val="2D8034F2"/>
    <w:rsid w:val="2DB9C48D"/>
    <w:rsid w:val="2DC4DD84"/>
    <w:rsid w:val="2DDDBB06"/>
    <w:rsid w:val="2E05A2D3"/>
    <w:rsid w:val="2E1C380A"/>
    <w:rsid w:val="2E4270FE"/>
    <w:rsid w:val="2EBFA12E"/>
    <w:rsid w:val="2EEED6A6"/>
    <w:rsid w:val="2F32A1FE"/>
    <w:rsid w:val="2FE2A692"/>
    <w:rsid w:val="2FEE909B"/>
    <w:rsid w:val="3008A928"/>
    <w:rsid w:val="306024B9"/>
    <w:rsid w:val="307A87D3"/>
    <w:rsid w:val="3080B5F5"/>
    <w:rsid w:val="30C949B8"/>
    <w:rsid w:val="30E4D642"/>
    <w:rsid w:val="30FB2C55"/>
    <w:rsid w:val="310211D6"/>
    <w:rsid w:val="31077104"/>
    <w:rsid w:val="31097F57"/>
    <w:rsid w:val="3181C8A9"/>
    <w:rsid w:val="319ABA7C"/>
    <w:rsid w:val="31D9B52D"/>
    <w:rsid w:val="31E177AC"/>
    <w:rsid w:val="31E74DC5"/>
    <w:rsid w:val="322F1441"/>
    <w:rsid w:val="324451D0"/>
    <w:rsid w:val="3282377F"/>
    <w:rsid w:val="329EA1CF"/>
    <w:rsid w:val="32B50534"/>
    <w:rsid w:val="32B622CB"/>
    <w:rsid w:val="32EE5B09"/>
    <w:rsid w:val="334D8B22"/>
    <w:rsid w:val="33726EA6"/>
    <w:rsid w:val="33C094EF"/>
    <w:rsid w:val="33F3359A"/>
    <w:rsid w:val="3462DE71"/>
    <w:rsid w:val="34BBA885"/>
    <w:rsid w:val="35388450"/>
    <w:rsid w:val="353B84CF"/>
    <w:rsid w:val="360BBDFF"/>
    <w:rsid w:val="360D652D"/>
    <w:rsid w:val="362BCD00"/>
    <w:rsid w:val="36364F65"/>
    <w:rsid w:val="36396F0C"/>
    <w:rsid w:val="363BC880"/>
    <w:rsid w:val="36534977"/>
    <w:rsid w:val="367422B7"/>
    <w:rsid w:val="36B76D5B"/>
    <w:rsid w:val="36BD0A89"/>
    <w:rsid w:val="36D2692B"/>
    <w:rsid w:val="36E64B40"/>
    <w:rsid w:val="36FD0FFB"/>
    <w:rsid w:val="37E4461B"/>
    <w:rsid w:val="38417F4B"/>
    <w:rsid w:val="38D10CFB"/>
    <w:rsid w:val="392128E5"/>
    <w:rsid w:val="39284CBC"/>
    <w:rsid w:val="3935DCF2"/>
    <w:rsid w:val="393673EF"/>
    <w:rsid w:val="39580BE2"/>
    <w:rsid w:val="39CD70B6"/>
    <w:rsid w:val="39EBE60F"/>
    <w:rsid w:val="3A19A3EF"/>
    <w:rsid w:val="3A27BFB8"/>
    <w:rsid w:val="3A42AEC1"/>
    <w:rsid w:val="3A677F05"/>
    <w:rsid w:val="3ADA58FC"/>
    <w:rsid w:val="3B2CF3E1"/>
    <w:rsid w:val="3B421EB5"/>
    <w:rsid w:val="3BD83E34"/>
    <w:rsid w:val="3BD92D7B"/>
    <w:rsid w:val="3C359DCE"/>
    <w:rsid w:val="3C94E2CE"/>
    <w:rsid w:val="3CCD1C59"/>
    <w:rsid w:val="3CE938B1"/>
    <w:rsid w:val="3CEDF263"/>
    <w:rsid w:val="3D7684AE"/>
    <w:rsid w:val="3D804704"/>
    <w:rsid w:val="3D9568DB"/>
    <w:rsid w:val="3D96A68D"/>
    <w:rsid w:val="3DD3ADFB"/>
    <w:rsid w:val="3DDE9832"/>
    <w:rsid w:val="3E09F101"/>
    <w:rsid w:val="3E19CBDC"/>
    <w:rsid w:val="3E3A0D98"/>
    <w:rsid w:val="3E4B77D4"/>
    <w:rsid w:val="3E82CE2C"/>
    <w:rsid w:val="3E9C084A"/>
    <w:rsid w:val="3EBB6E97"/>
    <w:rsid w:val="3F316098"/>
    <w:rsid w:val="3F412B96"/>
    <w:rsid w:val="3F45E987"/>
    <w:rsid w:val="3FC043F4"/>
    <w:rsid w:val="401B1573"/>
    <w:rsid w:val="402DD35E"/>
    <w:rsid w:val="40334DF8"/>
    <w:rsid w:val="4115F8C1"/>
    <w:rsid w:val="4141617F"/>
    <w:rsid w:val="419241DD"/>
    <w:rsid w:val="4197C9CD"/>
    <w:rsid w:val="41B653DD"/>
    <w:rsid w:val="41BAE5DD"/>
    <w:rsid w:val="41C04494"/>
    <w:rsid w:val="41CF89F9"/>
    <w:rsid w:val="41FDFE2F"/>
    <w:rsid w:val="421BDADB"/>
    <w:rsid w:val="426D33FF"/>
    <w:rsid w:val="426DC7CF"/>
    <w:rsid w:val="42807A26"/>
    <w:rsid w:val="429465C4"/>
    <w:rsid w:val="42A8FE50"/>
    <w:rsid w:val="4382E9F7"/>
    <w:rsid w:val="4383913F"/>
    <w:rsid w:val="4398FC55"/>
    <w:rsid w:val="43AFDC9C"/>
    <w:rsid w:val="43C8DA02"/>
    <w:rsid w:val="44111D5D"/>
    <w:rsid w:val="4413995F"/>
    <w:rsid w:val="4481CDC7"/>
    <w:rsid w:val="448FCB5C"/>
    <w:rsid w:val="44BA5E12"/>
    <w:rsid w:val="450EA74A"/>
    <w:rsid w:val="4532CDF8"/>
    <w:rsid w:val="4536A019"/>
    <w:rsid w:val="453D961B"/>
    <w:rsid w:val="45483B6E"/>
    <w:rsid w:val="4549AC5F"/>
    <w:rsid w:val="458FFCA4"/>
    <w:rsid w:val="45A88CA8"/>
    <w:rsid w:val="45B97F74"/>
    <w:rsid w:val="45F8B664"/>
    <w:rsid w:val="4624F3A4"/>
    <w:rsid w:val="4663BFB6"/>
    <w:rsid w:val="46707F06"/>
    <w:rsid w:val="46948B48"/>
    <w:rsid w:val="469F10B7"/>
    <w:rsid w:val="46D4A255"/>
    <w:rsid w:val="46DFD5DD"/>
    <w:rsid w:val="4763DCD0"/>
    <w:rsid w:val="47AE3326"/>
    <w:rsid w:val="4845D991"/>
    <w:rsid w:val="48FD4B37"/>
    <w:rsid w:val="49446EA8"/>
    <w:rsid w:val="495DF40F"/>
    <w:rsid w:val="49622764"/>
    <w:rsid w:val="49C8EF91"/>
    <w:rsid w:val="4A3C6058"/>
    <w:rsid w:val="4A49114E"/>
    <w:rsid w:val="4A71DFBB"/>
    <w:rsid w:val="4AE28C3F"/>
    <w:rsid w:val="4B0C659F"/>
    <w:rsid w:val="4B150865"/>
    <w:rsid w:val="4B4D15DC"/>
    <w:rsid w:val="4B617B8D"/>
    <w:rsid w:val="4BA710A4"/>
    <w:rsid w:val="4C2748C3"/>
    <w:rsid w:val="4C568643"/>
    <w:rsid w:val="4CB796A9"/>
    <w:rsid w:val="4D007B88"/>
    <w:rsid w:val="4D8B7CA7"/>
    <w:rsid w:val="4E28817C"/>
    <w:rsid w:val="4E2A2290"/>
    <w:rsid w:val="4E4A99DC"/>
    <w:rsid w:val="4EC56FC7"/>
    <w:rsid w:val="4EFBE378"/>
    <w:rsid w:val="4F536646"/>
    <w:rsid w:val="4FCD28D3"/>
    <w:rsid w:val="4FCE01F2"/>
    <w:rsid w:val="503C2072"/>
    <w:rsid w:val="5066A647"/>
    <w:rsid w:val="50793D00"/>
    <w:rsid w:val="50B5D30E"/>
    <w:rsid w:val="50CA6CE9"/>
    <w:rsid w:val="5100AB87"/>
    <w:rsid w:val="5180337F"/>
    <w:rsid w:val="51B8E75B"/>
    <w:rsid w:val="520209F6"/>
    <w:rsid w:val="52635EE9"/>
    <w:rsid w:val="527C6D4C"/>
    <w:rsid w:val="52A91F16"/>
    <w:rsid w:val="52EEF953"/>
    <w:rsid w:val="53056BA0"/>
    <w:rsid w:val="535FB513"/>
    <w:rsid w:val="53AAF8BB"/>
    <w:rsid w:val="53E883A2"/>
    <w:rsid w:val="5434FE4A"/>
    <w:rsid w:val="5463E792"/>
    <w:rsid w:val="54814E91"/>
    <w:rsid w:val="54CEE297"/>
    <w:rsid w:val="54FFF5B9"/>
    <w:rsid w:val="5505B378"/>
    <w:rsid w:val="554C918E"/>
    <w:rsid w:val="55920C04"/>
    <w:rsid w:val="55C00539"/>
    <w:rsid w:val="55C7ACF3"/>
    <w:rsid w:val="55E7B4FF"/>
    <w:rsid w:val="55F7A909"/>
    <w:rsid w:val="56042ABA"/>
    <w:rsid w:val="56305913"/>
    <w:rsid w:val="5648F4A7"/>
    <w:rsid w:val="565C8748"/>
    <w:rsid w:val="5674300F"/>
    <w:rsid w:val="56BFC78D"/>
    <w:rsid w:val="56DB0B5F"/>
    <w:rsid w:val="56E43E27"/>
    <w:rsid w:val="57168BBE"/>
    <w:rsid w:val="5724B473"/>
    <w:rsid w:val="5728F5B5"/>
    <w:rsid w:val="5767BF7E"/>
    <w:rsid w:val="578FFA69"/>
    <w:rsid w:val="57A6C462"/>
    <w:rsid w:val="57BD14BC"/>
    <w:rsid w:val="57CC1079"/>
    <w:rsid w:val="57F4A69C"/>
    <w:rsid w:val="580A67C2"/>
    <w:rsid w:val="58186F47"/>
    <w:rsid w:val="5839EA9F"/>
    <w:rsid w:val="585791CB"/>
    <w:rsid w:val="58666F0B"/>
    <w:rsid w:val="5896D640"/>
    <w:rsid w:val="58E54DCB"/>
    <w:rsid w:val="58F8EF8E"/>
    <w:rsid w:val="591E904C"/>
    <w:rsid w:val="59447C9A"/>
    <w:rsid w:val="594586F8"/>
    <w:rsid w:val="59651127"/>
    <w:rsid w:val="59814877"/>
    <w:rsid w:val="5A16F32C"/>
    <w:rsid w:val="5A20BC98"/>
    <w:rsid w:val="5A96601B"/>
    <w:rsid w:val="5AC08A86"/>
    <w:rsid w:val="5AE0BD4F"/>
    <w:rsid w:val="5AEB1599"/>
    <w:rsid w:val="5B2517E6"/>
    <w:rsid w:val="5B44A983"/>
    <w:rsid w:val="5B559DC1"/>
    <w:rsid w:val="5B82F070"/>
    <w:rsid w:val="5B89CA4E"/>
    <w:rsid w:val="5BC743D0"/>
    <w:rsid w:val="5C046FA2"/>
    <w:rsid w:val="5D06B5C9"/>
    <w:rsid w:val="5D122253"/>
    <w:rsid w:val="5D28AFAB"/>
    <w:rsid w:val="5D4E6D58"/>
    <w:rsid w:val="5D532E52"/>
    <w:rsid w:val="5D5619B2"/>
    <w:rsid w:val="5DB4EC1C"/>
    <w:rsid w:val="5DEE6E55"/>
    <w:rsid w:val="5E0ADBDA"/>
    <w:rsid w:val="5E878BD5"/>
    <w:rsid w:val="5E99D0DA"/>
    <w:rsid w:val="5EBA20FA"/>
    <w:rsid w:val="5EC7F2D3"/>
    <w:rsid w:val="5ECED8F6"/>
    <w:rsid w:val="5EE26C59"/>
    <w:rsid w:val="5F09E0BA"/>
    <w:rsid w:val="5F1485F5"/>
    <w:rsid w:val="5F1B2F7D"/>
    <w:rsid w:val="5F6F08AB"/>
    <w:rsid w:val="5F92D789"/>
    <w:rsid w:val="5FB20687"/>
    <w:rsid w:val="6002B39B"/>
    <w:rsid w:val="60317335"/>
    <w:rsid w:val="60468B18"/>
    <w:rsid w:val="6050577D"/>
    <w:rsid w:val="6053F8C6"/>
    <w:rsid w:val="606BAE10"/>
    <w:rsid w:val="60BCC45E"/>
    <w:rsid w:val="614484DE"/>
    <w:rsid w:val="616B252E"/>
    <w:rsid w:val="61EFD9D3"/>
    <w:rsid w:val="6205522B"/>
    <w:rsid w:val="6209061D"/>
    <w:rsid w:val="6233134E"/>
    <w:rsid w:val="62748059"/>
    <w:rsid w:val="627950C9"/>
    <w:rsid w:val="6285B899"/>
    <w:rsid w:val="62A04B43"/>
    <w:rsid w:val="62A81A00"/>
    <w:rsid w:val="63004D65"/>
    <w:rsid w:val="6310D934"/>
    <w:rsid w:val="633B15AB"/>
    <w:rsid w:val="63E83966"/>
    <w:rsid w:val="6444C5BA"/>
    <w:rsid w:val="64701B41"/>
    <w:rsid w:val="649520A4"/>
    <w:rsid w:val="64EA82F9"/>
    <w:rsid w:val="64EB8C16"/>
    <w:rsid w:val="64F80794"/>
    <w:rsid w:val="65226209"/>
    <w:rsid w:val="65845181"/>
    <w:rsid w:val="65EA0CCA"/>
    <w:rsid w:val="66091FBE"/>
    <w:rsid w:val="6627F7E2"/>
    <w:rsid w:val="6644D764"/>
    <w:rsid w:val="66858A5F"/>
    <w:rsid w:val="68231EA2"/>
    <w:rsid w:val="687AB5D8"/>
    <w:rsid w:val="688DFE18"/>
    <w:rsid w:val="688ED01D"/>
    <w:rsid w:val="68C96F2E"/>
    <w:rsid w:val="68D23740"/>
    <w:rsid w:val="68D8A964"/>
    <w:rsid w:val="68DF7770"/>
    <w:rsid w:val="694FFB5E"/>
    <w:rsid w:val="697E34E0"/>
    <w:rsid w:val="69DB5DFF"/>
    <w:rsid w:val="69F62AB9"/>
    <w:rsid w:val="6A22B9DF"/>
    <w:rsid w:val="6A6CEDAF"/>
    <w:rsid w:val="6A725002"/>
    <w:rsid w:val="6AA1D1AB"/>
    <w:rsid w:val="6AFD3877"/>
    <w:rsid w:val="6B6DF733"/>
    <w:rsid w:val="6B93CC1A"/>
    <w:rsid w:val="6B9BCE6E"/>
    <w:rsid w:val="6B9D0976"/>
    <w:rsid w:val="6BEF946E"/>
    <w:rsid w:val="6CB08C2E"/>
    <w:rsid w:val="6CDB4C75"/>
    <w:rsid w:val="6D0A9226"/>
    <w:rsid w:val="6D1CE697"/>
    <w:rsid w:val="6D1F7B66"/>
    <w:rsid w:val="6D320645"/>
    <w:rsid w:val="6D492AAE"/>
    <w:rsid w:val="6D56DEF1"/>
    <w:rsid w:val="6D696F7D"/>
    <w:rsid w:val="6D77E5E3"/>
    <w:rsid w:val="6DAD72E3"/>
    <w:rsid w:val="6DECD5BF"/>
    <w:rsid w:val="6E0A1C1D"/>
    <w:rsid w:val="6E0F46D3"/>
    <w:rsid w:val="6E2C7D63"/>
    <w:rsid w:val="6E62E131"/>
    <w:rsid w:val="6E6EA0E7"/>
    <w:rsid w:val="6E7EC01A"/>
    <w:rsid w:val="6EA702A4"/>
    <w:rsid w:val="6EC8B010"/>
    <w:rsid w:val="6ECF54A4"/>
    <w:rsid w:val="6EDA0D36"/>
    <w:rsid w:val="6F07F9E5"/>
    <w:rsid w:val="6F75994C"/>
    <w:rsid w:val="6FD207C6"/>
    <w:rsid w:val="70042477"/>
    <w:rsid w:val="70369689"/>
    <w:rsid w:val="70DCCFF7"/>
    <w:rsid w:val="70F52157"/>
    <w:rsid w:val="70F53F88"/>
    <w:rsid w:val="712263AE"/>
    <w:rsid w:val="718C8574"/>
    <w:rsid w:val="71FFF48D"/>
    <w:rsid w:val="726283D5"/>
    <w:rsid w:val="72678A40"/>
    <w:rsid w:val="72920F49"/>
    <w:rsid w:val="72F828BE"/>
    <w:rsid w:val="7334B59C"/>
    <w:rsid w:val="73872B88"/>
    <w:rsid w:val="739A5233"/>
    <w:rsid w:val="73A844E5"/>
    <w:rsid w:val="73F110D2"/>
    <w:rsid w:val="74015EE5"/>
    <w:rsid w:val="740CF482"/>
    <w:rsid w:val="7447599C"/>
    <w:rsid w:val="7484ED3B"/>
    <w:rsid w:val="7491DAC0"/>
    <w:rsid w:val="74B3E51F"/>
    <w:rsid w:val="74F5BAE3"/>
    <w:rsid w:val="75002296"/>
    <w:rsid w:val="7594F4EA"/>
    <w:rsid w:val="75A60382"/>
    <w:rsid w:val="75F1C736"/>
    <w:rsid w:val="76621422"/>
    <w:rsid w:val="76738225"/>
    <w:rsid w:val="767663D9"/>
    <w:rsid w:val="76860523"/>
    <w:rsid w:val="7692D60C"/>
    <w:rsid w:val="76A59FAB"/>
    <w:rsid w:val="76C1679C"/>
    <w:rsid w:val="772360A8"/>
    <w:rsid w:val="772DD1D7"/>
    <w:rsid w:val="7752F93B"/>
    <w:rsid w:val="77AC7F42"/>
    <w:rsid w:val="77BB4BF1"/>
    <w:rsid w:val="78262E68"/>
    <w:rsid w:val="78444330"/>
    <w:rsid w:val="7878CA44"/>
    <w:rsid w:val="78A01D07"/>
    <w:rsid w:val="78BB1444"/>
    <w:rsid w:val="78C01197"/>
    <w:rsid w:val="78CF3C00"/>
    <w:rsid w:val="78E4D2A8"/>
    <w:rsid w:val="78EA9A7A"/>
    <w:rsid w:val="790D5BEA"/>
    <w:rsid w:val="791CB322"/>
    <w:rsid w:val="7922E40F"/>
    <w:rsid w:val="793E2CF7"/>
    <w:rsid w:val="79ADE585"/>
    <w:rsid w:val="79DE34BB"/>
    <w:rsid w:val="7A2CF920"/>
    <w:rsid w:val="7A4DAD08"/>
    <w:rsid w:val="7A765C0A"/>
    <w:rsid w:val="7A8E7E74"/>
    <w:rsid w:val="7ADD3A7E"/>
    <w:rsid w:val="7B103831"/>
    <w:rsid w:val="7B1E6813"/>
    <w:rsid w:val="7B3FA9F0"/>
    <w:rsid w:val="7B6682E7"/>
    <w:rsid w:val="7BE01028"/>
    <w:rsid w:val="7BF3B7AF"/>
    <w:rsid w:val="7C668A79"/>
    <w:rsid w:val="7C7E49E2"/>
    <w:rsid w:val="7C813E35"/>
    <w:rsid w:val="7C98788C"/>
    <w:rsid w:val="7CDAE37E"/>
    <w:rsid w:val="7D7DF811"/>
    <w:rsid w:val="7D8B6633"/>
    <w:rsid w:val="7DD9540A"/>
    <w:rsid w:val="7DDE0A8C"/>
    <w:rsid w:val="7DE5BC3E"/>
    <w:rsid w:val="7E0A0067"/>
    <w:rsid w:val="7E8102BA"/>
    <w:rsid w:val="7EA376B7"/>
    <w:rsid w:val="7EA82744"/>
    <w:rsid w:val="7EB89C6F"/>
    <w:rsid w:val="7EDDF8F5"/>
    <w:rsid w:val="7F5F8DD7"/>
    <w:rsid w:val="7F72527C"/>
    <w:rsid w:val="7FC9340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80C29"/>
  <w15:chartTrackingRefBased/>
  <w15:docId w15:val="{79A5A03C-9828-4F4D-85C9-01E7CF5C0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76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76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7682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7682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7682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7682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7682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7682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7682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7682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7682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7682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7682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7682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7682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7682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7682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76827"/>
    <w:rPr>
      <w:rFonts w:eastAsiaTheme="majorEastAsia" w:cstheme="majorBidi"/>
      <w:color w:val="272727" w:themeColor="text1" w:themeTint="D8"/>
    </w:rPr>
  </w:style>
  <w:style w:type="paragraph" w:styleId="Titel">
    <w:name w:val="Title"/>
    <w:basedOn w:val="Standard"/>
    <w:next w:val="Standard"/>
    <w:link w:val="TitelZchn"/>
    <w:uiPriority w:val="10"/>
    <w:qFormat/>
    <w:rsid w:val="00576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7682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7682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7682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7682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76827"/>
    <w:rPr>
      <w:i/>
      <w:iCs/>
      <w:color w:val="404040" w:themeColor="text1" w:themeTint="BF"/>
    </w:rPr>
  </w:style>
  <w:style w:type="paragraph" w:styleId="Listenabsatz">
    <w:name w:val="List Paragraph"/>
    <w:basedOn w:val="Standard"/>
    <w:uiPriority w:val="34"/>
    <w:qFormat/>
    <w:rsid w:val="00576827"/>
    <w:pPr>
      <w:ind w:left="720"/>
      <w:contextualSpacing/>
    </w:pPr>
  </w:style>
  <w:style w:type="character" w:styleId="IntensiveHervorhebung">
    <w:name w:val="Intense Emphasis"/>
    <w:basedOn w:val="Absatz-Standardschriftart"/>
    <w:uiPriority w:val="21"/>
    <w:qFormat/>
    <w:rsid w:val="00576827"/>
    <w:rPr>
      <w:i/>
      <w:iCs/>
      <w:color w:val="0F4761" w:themeColor="accent1" w:themeShade="BF"/>
    </w:rPr>
  </w:style>
  <w:style w:type="paragraph" w:styleId="IntensivesZitat">
    <w:name w:val="Intense Quote"/>
    <w:basedOn w:val="Standard"/>
    <w:next w:val="Standard"/>
    <w:link w:val="IntensivesZitatZchn"/>
    <w:uiPriority w:val="30"/>
    <w:qFormat/>
    <w:rsid w:val="00576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76827"/>
    <w:rPr>
      <w:i/>
      <w:iCs/>
      <w:color w:val="0F4761" w:themeColor="accent1" w:themeShade="BF"/>
    </w:rPr>
  </w:style>
  <w:style w:type="character" w:styleId="IntensiverVerweis">
    <w:name w:val="Intense Reference"/>
    <w:basedOn w:val="Absatz-Standardschriftart"/>
    <w:uiPriority w:val="32"/>
    <w:qFormat/>
    <w:rsid w:val="00576827"/>
    <w:rPr>
      <w:b/>
      <w:bCs/>
      <w:smallCaps/>
      <w:color w:val="0F4761" w:themeColor="accent1" w:themeShade="BF"/>
      <w:spacing w:val="5"/>
    </w:rPr>
  </w:style>
  <w:style w:type="character" w:styleId="Hyperlink">
    <w:name w:val="Hyperlink"/>
    <w:basedOn w:val="Absatz-Standardschriftart"/>
    <w:uiPriority w:val="99"/>
    <w:unhideWhenUsed/>
    <w:rsid w:val="00576827"/>
    <w:rPr>
      <w:color w:val="467886"/>
      <w:u w:val="single"/>
    </w:rPr>
  </w:style>
  <w:style w:type="character" w:styleId="BesuchterLink">
    <w:name w:val="FollowedHyperlink"/>
    <w:basedOn w:val="Absatz-Standardschriftart"/>
    <w:uiPriority w:val="99"/>
    <w:semiHidden/>
    <w:unhideWhenUsed/>
    <w:rsid w:val="00576827"/>
    <w:rPr>
      <w:color w:val="96607D"/>
      <w:u w:val="single"/>
    </w:rPr>
  </w:style>
  <w:style w:type="paragraph" w:customStyle="1" w:styleId="msonormal0">
    <w:name w:val="msonormal"/>
    <w:basedOn w:val="Standard"/>
    <w:rsid w:val="0057682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Standard"/>
    <w:rsid w:val="00576827"/>
    <w:pPr>
      <w:spacing w:before="100" w:beforeAutospacing="1" w:after="100" w:afterAutospacing="1" w:line="240" w:lineRule="auto"/>
    </w:pPr>
    <w:rPr>
      <w:rFonts w:ascii="Calibri" w:eastAsia="Times New Roman" w:hAnsi="Calibri" w:cs="Calibri"/>
      <w:color w:val="000000"/>
      <w:kern w:val="0"/>
      <w:sz w:val="22"/>
      <w:szCs w:val="22"/>
      <w14:ligatures w14:val="none"/>
    </w:rPr>
  </w:style>
  <w:style w:type="paragraph" w:customStyle="1" w:styleId="font6">
    <w:name w:val="font6"/>
    <w:basedOn w:val="Standard"/>
    <w:rsid w:val="00576827"/>
    <w:pPr>
      <w:spacing w:before="100" w:beforeAutospacing="1" w:after="100" w:afterAutospacing="1" w:line="240" w:lineRule="auto"/>
    </w:pPr>
    <w:rPr>
      <w:rFonts w:ascii="Calibri" w:eastAsia="Times New Roman" w:hAnsi="Calibri" w:cs="Calibri"/>
      <w:i/>
      <w:iCs/>
      <w:color w:val="000000"/>
      <w:kern w:val="0"/>
      <w:sz w:val="22"/>
      <w:szCs w:val="22"/>
      <w14:ligatures w14:val="none"/>
    </w:rPr>
  </w:style>
  <w:style w:type="paragraph" w:customStyle="1" w:styleId="font7">
    <w:name w:val="font7"/>
    <w:basedOn w:val="Standard"/>
    <w:rsid w:val="00576827"/>
    <w:pPr>
      <w:spacing w:before="100" w:beforeAutospacing="1" w:after="100" w:afterAutospacing="1" w:line="240" w:lineRule="auto"/>
    </w:pPr>
    <w:rPr>
      <w:rFonts w:ascii="Calibri" w:eastAsia="Times New Roman" w:hAnsi="Calibri" w:cs="Calibri"/>
      <w:b/>
      <w:bCs/>
      <w:color w:val="000000"/>
      <w:kern w:val="0"/>
      <w:sz w:val="22"/>
      <w:szCs w:val="22"/>
      <w14:ligatures w14:val="none"/>
    </w:rPr>
  </w:style>
  <w:style w:type="paragraph" w:customStyle="1" w:styleId="xl63">
    <w:name w:val="xl63"/>
    <w:basedOn w:val="Standard"/>
    <w:rsid w:val="00576827"/>
    <w:pPr>
      <w:pBdr>
        <w:top w:val="single" w:sz="4" w:space="0" w:color="44B3E1"/>
        <w:left w:val="single" w:sz="4" w:space="0" w:color="44B3E1"/>
        <w:bottom w:val="single" w:sz="4" w:space="0" w:color="44B3E1"/>
      </w:pBdr>
      <w:shd w:val="clear" w:color="156082" w:fill="156082"/>
      <w:spacing w:before="100" w:beforeAutospacing="1" w:after="100" w:afterAutospacing="1" w:line="240" w:lineRule="auto"/>
      <w:textAlignment w:val="top"/>
    </w:pPr>
    <w:rPr>
      <w:rFonts w:ascii="Calibri" w:eastAsia="Times New Roman" w:hAnsi="Calibri" w:cs="Calibri"/>
      <w:b/>
      <w:bCs/>
      <w:color w:val="FFFFFF"/>
      <w:kern w:val="0"/>
      <w:sz w:val="22"/>
      <w:szCs w:val="22"/>
      <w14:ligatures w14:val="none"/>
    </w:rPr>
  </w:style>
  <w:style w:type="paragraph" w:customStyle="1" w:styleId="xl64">
    <w:name w:val="xl64"/>
    <w:basedOn w:val="Standard"/>
    <w:rsid w:val="00576827"/>
    <w:pPr>
      <w:pBdr>
        <w:top w:val="single" w:sz="4" w:space="0" w:color="44B3E1"/>
        <w:bottom w:val="single" w:sz="4" w:space="0" w:color="44B3E1"/>
      </w:pBdr>
      <w:shd w:val="clear" w:color="156082" w:fill="156082"/>
      <w:spacing w:before="100" w:beforeAutospacing="1" w:after="100" w:afterAutospacing="1" w:line="240" w:lineRule="auto"/>
      <w:textAlignment w:val="top"/>
    </w:pPr>
    <w:rPr>
      <w:rFonts w:ascii="Calibri" w:eastAsia="Times New Roman" w:hAnsi="Calibri" w:cs="Calibri"/>
      <w:b/>
      <w:bCs/>
      <w:color w:val="FFFFFF"/>
      <w:kern w:val="0"/>
      <w:sz w:val="22"/>
      <w:szCs w:val="22"/>
      <w14:ligatures w14:val="none"/>
    </w:rPr>
  </w:style>
  <w:style w:type="paragraph" w:customStyle="1" w:styleId="xl65">
    <w:name w:val="xl65"/>
    <w:basedOn w:val="Standard"/>
    <w:rsid w:val="00576827"/>
    <w:pPr>
      <w:pBdr>
        <w:top w:val="single" w:sz="4" w:space="0" w:color="44B3E1"/>
        <w:bottom w:val="single" w:sz="4" w:space="0" w:color="44B3E1"/>
      </w:pBdr>
      <w:shd w:val="clear" w:color="156082" w:fill="156082"/>
      <w:spacing w:before="100" w:beforeAutospacing="1" w:after="100" w:afterAutospacing="1" w:line="240" w:lineRule="auto"/>
      <w:textAlignment w:val="top"/>
    </w:pPr>
    <w:rPr>
      <w:rFonts w:ascii="Calibri" w:eastAsia="Times New Roman" w:hAnsi="Calibri" w:cs="Calibri"/>
      <w:b/>
      <w:bCs/>
      <w:color w:val="FFFFFF"/>
      <w:kern w:val="0"/>
      <w:sz w:val="22"/>
      <w:szCs w:val="22"/>
      <w14:ligatures w14:val="none"/>
    </w:rPr>
  </w:style>
  <w:style w:type="paragraph" w:customStyle="1" w:styleId="xl66">
    <w:name w:val="xl66"/>
    <w:basedOn w:val="Standard"/>
    <w:rsid w:val="00576827"/>
    <w:pPr>
      <w:pBdr>
        <w:top w:val="single" w:sz="4" w:space="0" w:color="44B3E1"/>
        <w:left w:val="single" w:sz="4" w:space="0" w:color="auto"/>
        <w:bottom w:val="single" w:sz="4" w:space="0" w:color="auto"/>
      </w:pBdr>
      <w:shd w:val="clear" w:color="156082" w:fill="156082"/>
      <w:spacing w:before="100" w:beforeAutospacing="1" w:after="100" w:afterAutospacing="1" w:line="240" w:lineRule="auto"/>
    </w:pPr>
    <w:rPr>
      <w:rFonts w:ascii="Calibri" w:eastAsia="Times New Roman" w:hAnsi="Calibri" w:cs="Calibri"/>
      <w:b/>
      <w:bCs/>
      <w:color w:val="FFFFFF"/>
      <w:kern w:val="0"/>
      <w:sz w:val="22"/>
      <w:szCs w:val="22"/>
      <w14:ligatures w14:val="none"/>
    </w:rPr>
  </w:style>
  <w:style w:type="paragraph" w:customStyle="1" w:styleId="xl67">
    <w:name w:val="xl67"/>
    <w:basedOn w:val="Standard"/>
    <w:rsid w:val="00576827"/>
    <w:pPr>
      <w:pBdr>
        <w:top w:val="single" w:sz="4" w:space="0" w:color="44B3E1"/>
        <w:bottom w:val="single" w:sz="4" w:space="0" w:color="auto"/>
      </w:pBdr>
      <w:shd w:val="clear" w:color="156082" w:fill="156082"/>
      <w:spacing w:before="100" w:beforeAutospacing="1" w:after="100" w:afterAutospacing="1" w:line="240" w:lineRule="auto"/>
    </w:pPr>
    <w:rPr>
      <w:rFonts w:ascii="Calibri" w:eastAsia="Times New Roman" w:hAnsi="Calibri" w:cs="Calibri"/>
      <w:b/>
      <w:bCs/>
      <w:color w:val="FFFFFF"/>
      <w:kern w:val="0"/>
      <w:sz w:val="22"/>
      <w:szCs w:val="22"/>
      <w14:ligatures w14:val="none"/>
    </w:rPr>
  </w:style>
  <w:style w:type="paragraph" w:customStyle="1" w:styleId="xl68">
    <w:name w:val="xl68"/>
    <w:basedOn w:val="Standard"/>
    <w:rsid w:val="00576827"/>
    <w:pPr>
      <w:pBdr>
        <w:top w:val="single" w:sz="4" w:space="0" w:color="44B3E1"/>
        <w:bottom w:val="single" w:sz="4" w:space="0" w:color="auto"/>
      </w:pBdr>
      <w:shd w:val="clear" w:color="156082" w:fill="156082"/>
      <w:spacing w:before="100" w:beforeAutospacing="1" w:after="100" w:afterAutospacing="1" w:line="240" w:lineRule="auto"/>
      <w:jc w:val="right"/>
    </w:pPr>
    <w:rPr>
      <w:rFonts w:ascii="Calibri" w:eastAsia="Times New Roman" w:hAnsi="Calibri" w:cs="Calibri"/>
      <w:b/>
      <w:bCs/>
      <w:color w:val="FFFFFF"/>
      <w:kern w:val="0"/>
      <w:sz w:val="22"/>
      <w:szCs w:val="22"/>
      <w14:ligatures w14:val="none"/>
    </w:rPr>
  </w:style>
  <w:style w:type="paragraph" w:customStyle="1" w:styleId="xl69">
    <w:name w:val="xl69"/>
    <w:basedOn w:val="Standard"/>
    <w:rsid w:val="00576827"/>
    <w:pPr>
      <w:pBdr>
        <w:top w:val="single" w:sz="4" w:space="0" w:color="44B3E1"/>
        <w:bottom w:val="single" w:sz="4" w:space="0" w:color="auto"/>
        <w:right w:val="single" w:sz="4" w:space="0" w:color="44B3E1"/>
      </w:pBdr>
      <w:shd w:val="clear" w:color="156082" w:fill="156082"/>
      <w:spacing w:before="100" w:beforeAutospacing="1" w:after="100" w:afterAutospacing="1" w:line="240" w:lineRule="auto"/>
    </w:pPr>
    <w:rPr>
      <w:rFonts w:ascii="Calibri" w:eastAsia="Times New Roman" w:hAnsi="Calibri" w:cs="Calibri"/>
      <w:b/>
      <w:bCs/>
      <w:color w:val="FFFFFF"/>
      <w:kern w:val="0"/>
      <w:sz w:val="22"/>
      <w:szCs w:val="22"/>
      <w14:ligatures w14:val="none"/>
    </w:rPr>
  </w:style>
  <w:style w:type="paragraph" w:customStyle="1" w:styleId="xl70">
    <w:name w:val="xl70"/>
    <w:basedOn w:val="Standard"/>
    <w:rsid w:val="00576827"/>
    <w:pPr>
      <w:pBdr>
        <w:top w:val="single" w:sz="4" w:space="0" w:color="44B3E1"/>
        <w:left w:val="single" w:sz="4" w:space="0" w:color="44B3E1"/>
        <w:bottom w:val="single" w:sz="4" w:space="0" w:color="44B3E1"/>
      </w:pBdr>
      <w:shd w:val="clear" w:color="C0E6F5" w:fill="C0E6F5"/>
      <w:spacing w:before="100" w:beforeAutospacing="1" w:after="100" w:afterAutospacing="1" w:line="240" w:lineRule="auto"/>
      <w:textAlignment w:val="top"/>
    </w:pPr>
    <w:rPr>
      <w:rFonts w:ascii="Calibri" w:eastAsia="Times New Roman" w:hAnsi="Calibri" w:cs="Calibri"/>
      <w:kern w:val="0"/>
      <w:sz w:val="22"/>
      <w:szCs w:val="22"/>
      <w14:ligatures w14:val="none"/>
    </w:rPr>
  </w:style>
  <w:style w:type="paragraph" w:customStyle="1" w:styleId="xl71">
    <w:name w:val="xl71"/>
    <w:basedOn w:val="Standard"/>
    <w:rsid w:val="00576827"/>
    <w:pPr>
      <w:pBdr>
        <w:top w:val="single" w:sz="4" w:space="0" w:color="44B3E1"/>
        <w:bottom w:val="single" w:sz="4" w:space="0" w:color="44B3E1"/>
      </w:pBdr>
      <w:shd w:val="clear" w:color="C0E6F5" w:fill="C0E6F5"/>
      <w:spacing w:before="100" w:beforeAutospacing="1" w:after="100" w:afterAutospacing="1" w:line="240" w:lineRule="auto"/>
      <w:textAlignment w:val="top"/>
    </w:pPr>
    <w:rPr>
      <w:rFonts w:ascii="Calibri" w:eastAsia="Times New Roman" w:hAnsi="Calibri" w:cs="Calibri"/>
      <w:kern w:val="0"/>
      <w:sz w:val="22"/>
      <w:szCs w:val="22"/>
      <w14:ligatures w14:val="none"/>
    </w:rPr>
  </w:style>
  <w:style w:type="paragraph" w:customStyle="1" w:styleId="xl72">
    <w:name w:val="xl72"/>
    <w:basedOn w:val="Standard"/>
    <w:rsid w:val="00576827"/>
    <w:pPr>
      <w:pBdr>
        <w:top w:val="single" w:sz="4" w:space="0" w:color="44B3E1"/>
        <w:bottom w:val="single" w:sz="4" w:space="0" w:color="44B3E1"/>
      </w:pBdr>
      <w:shd w:val="clear" w:color="C0E6F5" w:fill="C0E6F5"/>
      <w:spacing w:before="100" w:beforeAutospacing="1" w:after="100" w:afterAutospacing="1" w:line="240" w:lineRule="auto"/>
      <w:textAlignment w:val="top"/>
    </w:pPr>
    <w:rPr>
      <w:rFonts w:ascii="Calibri" w:eastAsia="Times New Roman" w:hAnsi="Calibri" w:cs="Calibri"/>
      <w:kern w:val="0"/>
      <w:sz w:val="22"/>
      <w:szCs w:val="22"/>
      <w14:ligatures w14:val="none"/>
    </w:rPr>
  </w:style>
  <w:style w:type="paragraph" w:customStyle="1" w:styleId="xl73">
    <w:name w:val="xl73"/>
    <w:basedOn w:val="Standard"/>
    <w:rsid w:val="00576827"/>
    <w:pPr>
      <w:pBdr>
        <w:top w:val="single" w:sz="4" w:space="0" w:color="44B3E1"/>
        <w:bottom w:val="single" w:sz="4" w:space="0" w:color="44B3E1"/>
      </w:pBdr>
      <w:shd w:val="clear" w:color="C0E6F5" w:fill="C0E6F5"/>
      <w:spacing w:before="100" w:beforeAutospacing="1" w:after="100" w:afterAutospacing="1" w:line="240" w:lineRule="auto"/>
    </w:pPr>
    <w:rPr>
      <w:rFonts w:ascii="Calibri" w:eastAsia="Times New Roman" w:hAnsi="Calibri" w:cs="Calibri"/>
      <w:kern w:val="0"/>
      <w:sz w:val="22"/>
      <w:szCs w:val="22"/>
      <w14:ligatures w14:val="none"/>
    </w:rPr>
  </w:style>
  <w:style w:type="paragraph" w:customStyle="1" w:styleId="xl74">
    <w:name w:val="xl74"/>
    <w:basedOn w:val="Standard"/>
    <w:rsid w:val="00576827"/>
    <w:pPr>
      <w:pBdr>
        <w:top w:val="single" w:sz="4" w:space="0" w:color="44B3E1"/>
        <w:bottom w:val="single" w:sz="4" w:space="0" w:color="44B3E1"/>
      </w:pBdr>
      <w:shd w:val="clear" w:color="C0E6F5" w:fill="C0E6F5"/>
      <w:spacing w:before="100" w:beforeAutospacing="1" w:after="100" w:afterAutospacing="1" w:line="240" w:lineRule="auto"/>
      <w:jc w:val="right"/>
    </w:pPr>
    <w:rPr>
      <w:rFonts w:ascii="Calibri" w:eastAsia="Times New Roman" w:hAnsi="Calibri" w:cs="Calibri"/>
      <w:kern w:val="0"/>
      <w:sz w:val="22"/>
      <w:szCs w:val="22"/>
      <w14:ligatures w14:val="none"/>
    </w:rPr>
  </w:style>
  <w:style w:type="paragraph" w:customStyle="1" w:styleId="xl75">
    <w:name w:val="xl75"/>
    <w:basedOn w:val="Standard"/>
    <w:rsid w:val="00576827"/>
    <w:pPr>
      <w:pBdr>
        <w:top w:val="single" w:sz="4" w:space="0" w:color="44B3E1"/>
        <w:bottom w:val="single" w:sz="4" w:space="0" w:color="44B3E1"/>
        <w:right w:val="single" w:sz="4" w:space="0" w:color="44B3E1"/>
      </w:pBdr>
      <w:shd w:val="clear" w:color="C0E6F5" w:fill="C0E6F5"/>
      <w:spacing w:before="100" w:beforeAutospacing="1" w:after="100" w:afterAutospacing="1" w:line="240" w:lineRule="auto"/>
    </w:pPr>
    <w:rPr>
      <w:rFonts w:ascii="Calibri" w:eastAsia="Times New Roman" w:hAnsi="Calibri" w:cs="Calibri"/>
      <w:kern w:val="0"/>
      <w:sz w:val="22"/>
      <w:szCs w:val="22"/>
      <w14:ligatures w14:val="none"/>
    </w:rPr>
  </w:style>
  <w:style w:type="paragraph" w:customStyle="1" w:styleId="xl76">
    <w:name w:val="xl76"/>
    <w:basedOn w:val="Standard"/>
    <w:rsid w:val="00576827"/>
    <w:pPr>
      <w:pBdr>
        <w:top w:val="single" w:sz="4" w:space="0" w:color="44B3E1"/>
        <w:left w:val="single" w:sz="4" w:space="0" w:color="44B3E1"/>
        <w:bottom w:val="single" w:sz="4" w:space="0" w:color="44B3E1"/>
      </w:pBdr>
      <w:spacing w:before="100" w:beforeAutospacing="1" w:after="100" w:afterAutospacing="1" w:line="240" w:lineRule="auto"/>
      <w:textAlignment w:val="top"/>
    </w:pPr>
    <w:rPr>
      <w:rFonts w:ascii="Calibri" w:eastAsia="Times New Roman" w:hAnsi="Calibri" w:cs="Calibri"/>
      <w:kern w:val="0"/>
      <w:sz w:val="22"/>
      <w:szCs w:val="22"/>
      <w14:ligatures w14:val="none"/>
    </w:rPr>
  </w:style>
  <w:style w:type="paragraph" w:customStyle="1" w:styleId="xl77">
    <w:name w:val="xl77"/>
    <w:basedOn w:val="Standard"/>
    <w:rsid w:val="00576827"/>
    <w:pPr>
      <w:pBdr>
        <w:top w:val="single" w:sz="4" w:space="0" w:color="44B3E1"/>
        <w:bottom w:val="single" w:sz="4" w:space="0" w:color="44B3E1"/>
      </w:pBdr>
      <w:spacing w:before="100" w:beforeAutospacing="1" w:after="100" w:afterAutospacing="1" w:line="240" w:lineRule="auto"/>
      <w:textAlignment w:val="top"/>
    </w:pPr>
    <w:rPr>
      <w:rFonts w:ascii="Calibri" w:eastAsia="Times New Roman" w:hAnsi="Calibri" w:cs="Calibri"/>
      <w:kern w:val="0"/>
      <w:sz w:val="22"/>
      <w:szCs w:val="22"/>
      <w14:ligatures w14:val="none"/>
    </w:rPr>
  </w:style>
  <w:style w:type="paragraph" w:customStyle="1" w:styleId="xl78">
    <w:name w:val="xl78"/>
    <w:basedOn w:val="Standard"/>
    <w:rsid w:val="00576827"/>
    <w:pPr>
      <w:pBdr>
        <w:top w:val="single" w:sz="4" w:space="0" w:color="44B3E1"/>
        <w:bottom w:val="single" w:sz="4" w:space="0" w:color="44B3E1"/>
      </w:pBdr>
      <w:spacing w:before="100" w:beforeAutospacing="1" w:after="100" w:afterAutospacing="1" w:line="240" w:lineRule="auto"/>
      <w:textAlignment w:val="top"/>
    </w:pPr>
    <w:rPr>
      <w:rFonts w:ascii="Calibri" w:eastAsia="Times New Roman" w:hAnsi="Calibri" w:cs="Calibri"/>
      <w:kern w:val="0"/>
      <w:sz w:val="22"/>
      <w:szCs w:val="22"/>
      <w14:ligatures w14:val="none"/>
    </w:rPr>
  </w:style>
  <w:style w:type="paragraph" w:customStyle="1" w:styleId="xl79">
    <w:name w:val="xl79"/>
    <w:basedOn w:val="Standard"/>
    <w:rsid w:val="00576827"/>
    <w:pPr>
      <w:pBdr>
        <w:top w:val="single" w:sz="4" w:space="0" w:color="44B3E1"/>
        <w:bottom w:val="single" w:sz="4" w:space="0" w:color="44B3E1"/>
      </w:pBdr>
      <w:spacing w:before="100" w:beforeAutospacing="1" w:after="100" w:afterAutospacing="1" w:line="240" w:lineRule="auto"/>
    </w:pPr>
    <w:rPr>
      <w:rFonts w:ascii="Calibri" w:eastAsia="Times New Roman" w:hAnsi="Calibri" w:cs="Calibri"/>
      <w:kern w:val="0"/>
      <w:sz w:val="22"/>
      <w:szCs w:val="22"/>
      <w14:ligatures w14:val="none"/>
    </w:rPr>
  </w:style>
  <w:style w:type="paragraph" w:customStyle="1" w:styleId="xl80">
    <w:name w:val="xl80"/>
    <w:basedOn w:val="Standard"/>
    <w:rsid w:val="00576827"/>
    <w:pPr>
      <w:pBdr>
        <w:top w:val="single" w:sz="4" w:space="0" w:color="44B3E1"/>
        <w:bottom w:val="single" w:sz="4" w:space="0" w:color="44B3E1"/>
      </w:pBdr>
      <w:spacing w:before="100" w:beforeAutospacing="1" w:after="100" w:afterAutospacing="1" w:line="240" w:lineRule="auto"/>
    </w:pPr>
    <w:rPr>
      <w:rFonts w:ascii="Calibri" w:eastAsia="Times New Roman" w:hAnsi="Calibri" w:cs="Calibri"/>
      <w:kern w:val="0"/>
      <w:sz w:val="22"/>
      <w:szCs w:val="22"/>
      <w14:ligatures w14:val="none"/>
    </w:rPr>
  </w:style>
  <w:style w:type="paragraph" w:customStyle="1" w:styleId="xl81">
    <w:name w:val="xl81"/>
    <w:basedOn w:val="Standard"/>
    <w:rsid w:val="00576827"/>
    <w:pPr>
      <w:pBdr>
        <w:top w:val="single" w:sz="4" w:space="0" w:color="44B3E1"/>
        <w:bottom w:val="single" w:sz="4" w:space="0" w:color="44B3E1"/>
      </w:pBdr>
      <w:spacing w:before="100" w:beforeAutospacing="1" w:after="100" w:afterAutospacing="1" w:line="240" w:lineRule="auto"/>
      <w:jc w:val="right"/>
    </w:pPr>
    <w:rPr>
      <w:rFonts w:ascii="Calibri" w:eastAsia="Times New Roman" w:hAnsi="Calibri" w:cs="Calibri"/>
      <w:kern w:val="0"/>
      <w:sz w:val="22"/>
      <w:szCs w:val="22"/>
      <w14:ligatures w14:val="none"/>
    </w:rPr>
  </w:style>
  <w:style w:type="paragraph" w:customStyle="1" w:styleId="xl82">
    <w:name w:val="xl82"/>
    <w:basedOn w:val="Standard"/>
    <w:rsid w:val="00576827"/>
    <w:pPr>
      <w:pBdr>
        <w:top w:val="single" w:sz="4" w:space="0" w:color="44B3E1"/>
        <w:bottom w:val="single" w:sz="4" w:space="0" w:color="44B3E1"/>
        <w:right w:val="single" w:sz="4" w:space="0" w:color="44B3E1"/>
      </w:pBdr>
      <w:spacing w:before="100" w:beforeAutospacing="1" w:after="100" w:afterAutospacing="1" w:line="240" w:lineRule="auto"/>
    </w:pPr>
    <w:rPr>
      <w:rFonts w:ascii="Calibri" w:eastAsia="Times New Roman" w:hAnsi="Calibri" w:cs="Calibri"/>
      <w:kern w:val="0"/>
      <w:sz w:val="22"/>
      <w:szCs w:val="22"/>
      <w14:ligatures w14:val="none"/>
    </w:rPr>
  </w:style>
  <w:style w:type="paragraph" w:customStyle="1" w:styleId="xl83">
    <w:name w:val="xl83"/>
    <w:basedOn w:val="Standard"/>
    <w:rsid w:val="00576827"/>
    <w:pPr>
      <w:pBdr>
        <w:top w:val="single" w:sz="4" w:space="0" w:color="44B3E1"/>
        <w:bottom w:val="single" w:sz="4" w:space="0" w:color="44B3E1"/>
      </w:pBdr>
      <w:shd w:val="clear" w:color="C0E6F5" w:fill="C0E6F5"/>
      <w:spacing w:before="100" w:beforeAutospacing="1" w:after="100" w:afterAutospacing="1" w:line="240" w:lineRule="auto"/>
    </w:pPr>
    <w:rPr>
      <w:rFonts w:ascii="Calibri" w:eastAsia="Times New Roman" w:hAnsi="Calibri" w:cs="Calibri"/>
      <w:kern w:val="0"/>
      <w:sz w:val="22"/>
      <w:szCs w:val="22"/>
      <w14:ligatures w14:val="none"/>
    </w:rPr>
  </w:style>
  <w:style w:type="paragraph" w:customStyle="1" w:styleId="xl84">
    <w:name w:val="xl84"/>
    <w:basedOn w:val="Standard"/>
    <w:rsid w:val="00576827"/>
    <w:pPr>
      <w:pBdr>
        <w:top w:val="single" w:sz="4" w:space="0" w:color="44B3E1"/>
        <w:bottom w:val="single" w:sz="4" w:space="0" w:color="44B3E1"/>
      </w:pBdr>
      <w:shd w:val="clear" w:color="C0E6F5" w:fill="C0E6F5"/>
      <w:spacing w:before="100" w:beforeAutospacing="1" w:after="100" w:afterAutospacing="1" w:line="240" w:lineRule="auto"/>
      <w:jc w:val="right"/>
    </w:pPr>
    <w:rPr>
      <w:rFonts w:ascii="Calibri" w:eastAsia="Times New Roman" w:hAnsi="Calibri" w:cs="Calibri"/>
      <w:kern w:val="0"/>
      <w:sz w:val="22"/>
      <w:szCs w:val="22"/>
      <w14:ligatures w14:val="none"/>
    </w:rPr>
  </w:style>
  <w:style w:type="paragraph" w:customStyle="1" w:styleId="xl85">
    <w:name w:val="xl85"/>
    <w:basedOn w:val="Standard"/>
    <w:rsid w:val="00576827"/>
    <w:pPr>
      <w:pBdr>
        <w:top w:val="single" w:sz="4" w:space="0" w:color="44B3E1"/>
        <w:bottom w:val="single" w:sz="4" w:space="0" w:color="44B3E1"/>
      </w:pBdr>
      <w:spacing w:before="100" w:beforeAutospacing="1" w:after="100" w:afterAutospacing="1" w:line="240" w:lineRule="auto"/>
      <w:jc w:val="right"/>
    </w:pPr>
    <w:rPr>
      <w:rFonts w:ascii="Calibri" w:eastAsia="Times New Roman" w:hAnsi="Calibri" w:cs="Calibri"/>
      <w:kern w:val="0"/>
      <w:sz w:val="22"/>
      <w:szCs w:val="22"/>
      <w14:ligatures w14:val="none"/>
    </w:rPr>
  </w:style>
  <w:style w:type="paragraph" w:customStyle="1" w:styleId="xl86">
    <w:name w:val="xl86"/>
    <w:basedOn w:val="Standard"/>
    <w:rsid w:val="00576827"/>
    <w:pPr>
      <w:pBdr>
        <w:top w:val="single" w:sz="4" w:space="0" w:color="44B3E1"/>
        <w:bottom w:val="single" w:sz="4" w:space="0" w:color="44B3E1"/>
      </w:pBdr>
      <w:spacing w:before="100" w:beforeAutospacing="1" w:after="100" w:afterAutospacing="1" w:line="240" w:lineRule="auto"/>
      <w:jc w:val="right"/>
    </w:pPr>
    <w:rPr>
      <w:rFonts w:ascii="Calibri" w:eastAsia="Times New Roman" w:hAnsi="Calibri" w:cs="Calibri"/>
      <w:kern w:val="0"/>
      <w:sz w:val="22"/>
      <w:szCs w:val="22"/>
      <w14:ligatures w14:val="none"/>
    </w:rPr>
  </w:style>
  <w:style w:type="table" w:styleId="Tabellenraster">
    <w:name w:val="Table Grid"/>
    <w:basedOn w:val="NormaleTabelle"/>
    <w:uiPriority w:val="39"/>
    <w:rsid w:val="00576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741B5"/>
    <w:rPr>
      <w:sz w:val="16"/>
      <w:szCs w:val="16"/>
    </w:rPr>
  </w:style>
  <w:style w:type="paragraph" w:styleId="Kommentartext">
    <w:name w:val="annotation text"/>
    <w:basedOn w:val="Standard"/>
    <w:link w:val="KommentartextZchn"/>
    <w:uiPriority w:val="99"/>
    <w:unhideWhenUsed/>
    <w:rsid w:val="001741B5"/>
    <w:pPr>
      <w:spacing w:line="240" w:lineRule="auto"/>
    </w:pPr>
    <w:rPr>
      <w:sz w:val="20"/>
      <w:szCs w:val="20"/>
    </w:rPr>
  </w:style>
  <w:style w:type="character" w:customStyle="1" w:styleId="KommentartextZchn">
    <w:name w:val="Kommentartext Zchn"/>
    <w:basedOn w:val="Absatz-Standardschriftart"/>
    <w:link w:val="Kommentartext"/>
    <w:uiPriority w:val="99"/>
    <w:rsid w:val="001741B5"/>
    <w:rPr>
      <w:sz w:val="20"/>
      <w:szCs w:val="20"/>
    </w:rPr>
  </w:style>
  <w:style w:type="paragraph" w:styleId="Kommentarthema">
    <w:name w:val="annotation subject"/>
    <w:basedOn w:val="Kommentartext"/>
    <w:next w:val="Kommentartext"/>
    <w:link w:val="KommentarthemaZchn"/>
    <w:uiPriority w:val="99"/>
    <w:semiHidden/>
    <w:unhideWhenUsed/>
    <w:rsid w:val="001741B5"/>
    <w:rPr>
      <w:b/>
      <w:bCs/>
    </w:rPr>
  </w:style>
  <w:style w:type="character" w:customStyle="1" w:styleId="KommentarthemaZchn">
    <w:name w:val="Kommentarthema Zchn"/>
    <w:basedOn w:val="KommentartextZchn"/>
    <w:link w:val="Kommentarthema"/>
    <w:uiPriority w:val="99"/>
    <w:semiHidden/>
    <w:rsid w:val="001741B5"/>
    <w:rPr>
      <w:b/>
      <w:bCs/>
      <w:sz w:val="20"/>
      <w:szCs w:val="20"/>
    </w:rPr>
  </w:style>
  <w:style w:type="character" w:styleId="NichtaufgelsteErwhnung">
    <w:name w:val="Unresolved Mention"/>
    <w:basedOn w:val="Absatz-Standardschriftart"/>
    <w:uiPriority w:val="99"/>
    <w:semiHidden/>
    <w:unhideWhenUsed/>
    <w:rsid w:val="00945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67897">
      <w:bodyDiv w:val="1"/>
      <w:marLeft w:val="0"/>
      <w:marRight w:val="0"/>
      <w:marTop w:val="0"/>
      <w:marBottom w:val="0"/>
      <w:divBdr>
        <w:top w:val="none" w:sz="0" w:space="0" w:color="auto"/>
        <w:left w:val="none" w:sz="0" w:space="0" w:color="auto"/>
        <w:bottom w:val="none" w:sz="0" w:space="0" w:color="auto"/>
        <w:right w:val="none" w:sz="0" w:space="0" w:color="auto"/>
      </w:divBdr>
    </w:div>
    <w:div w:id="78985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D52BD07B1630447B14D6FE932BC9521" ma:contentTypeVersion="13" ma:contentTypeDescription="Ein neues Dokument erstellen." ma:contentTypeScope="" ma:versionID="e71d9924cea6d4aaea53d1a8df073386">
  <xsd:schema xmlns:xsd="http://www.w3.org/2001/XMLSchema" xmlns:xs="http://www.w3.org/2001/XMLSchema" xmlns:p="http://schemas.microsoft.com/office/2006/metadata/properties" xmlns:ns2="6d713ce4-4d83-4272-9c01-c0ecc192a436" xmlns:ns3="f6a9f8ed-085a-435b-8246-25959eff3a30" targetNamespace="http://schemas.microsoft.com/office/2006/metadata/properties" ma:root="true" ma:fieldsID="b6034459beebd8f8732b80f0bfce5782" ns2:_="" ns3:_="">
    <xsd:import namespace="6d713ce4-4d83-4272-9c01-c0ecc192a436"/>
    <xsd:import namespace="f6a9f8ed-085a-435b-8246-25959eff3a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13ce4-4d83-4272-9c01-c0ecc192a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74f8755-2801-4379-94fa-556db36e93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a9f8ed-085a-435b-8246-25959eff3a3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b5db9bdd-1527-48e7-b739-aa7ac6a7139d}" ma:internalName="TaxCatchAll" ma:showField="CatchAllData" ma:web="f6a9f8ed-085a-435b-8246-25959eff3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6a9f8ed-085a-435b-8246-25959eff3a30" xsi:nil="true"/>
    <lcf76f155ced4ddcb4097134ff3c332f xmlns="6d713ce4-4d83-4272-9c01-c0ecc192a43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22279-0016-4EA0-940A-B43BBFC3A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713ce4-4d83-4272-9c01-c0ecc192a436"/>
    <ds:schemaRef ds:uri="f6a9f8ed-085a-435b-8246-25959eff3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34FC9D-4EBE-42A5-8708-F31D10B45538}">
  <ds:schemaRefs>
    <ds:schemaRef ds:uri="http://schemas.microsoft.com/sharepoint/v3/contenttype/forms"/>
  </ds:schemaRefs>
</ds:datastoreItem>
</file>

<file path=customXml/itemProps3.xml><?xml version="1.0" encoding="utf-8"?>
<ds:datastoreItem xmlns:ds="http://schemas.openxmlformats.org/officeDocument/2006/customXml" ds:itemID="{41F78501-7D49-4169-AA45-F71178A8D5F7}">
  <ds:schemaRefs>
    <ds:schemaRef ds:uri="http://schemas.microsoft.com/office/2006/metadata/properties"/>
    <ds:schemaRef ds:uri="http://schemas.microsoft.com/office/infopath/2007/PartnerControls"/>
    <ds:schemaRef ds:uri="f6a9f8ed-085a-435b-8246-25959eff3a30"/>
    <ds:schemaRef ds:uri="6d713ce4-4d83-4272-9c01-c0ecc192a436"/>
  </ds:schemaRefs>
</ds:datastoreItem>
</file>

<file path=customXml/itemProps4.xml><?xml version="1.0" encoding="utf-8"?>
<ds:datastoreItem xmlns:ds="http://schemas.openxmlformats.org/officeDocument/2006/customXml" ds:itemID="{1091304A-5DF5-43EC-A19A-6C6C23705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0</TotalTime>
  <Pages>6</Pages>
  <Words>14018</Words>
  <Characters>86553</Characters>
  <Application>Microsoft Office Word</Application>
  <DocSecurity>0</DocSecurity>
  <Lines>4429</Lines>
  <Paragraphs>864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99664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Christina Strauß</cp:lastModifiedBy>
  <cp:revision>5</cp:revision>
  <cp:lastPrinted>2024-06-10T06:29:00Z</cp:lastPrinted>
  <dcterms:created xsi:type="dcterms:W3CDTF">2024-06-10T05:25:00Z</dcterms:created>
  <dcterms:modified xsi:type="dcterms:W3CDTF">2024-06-11T13:51:00Z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0x0101001D52BD07B1630447B14D6FE932BC9521</vt:lpwstr>
  </property>
  <property fmtid="{D5CDD505-2E9C-101B-9397-08002B2CF9AE}" pid="3" name="MediaServiceImageTags">
    <vt:lpwstr/>
  </property>
  <property fmtid="{D5CDD505-2E9C-101B-9397-08002B2CF9AE}" pid="4" name="Mendeley Recent Style Id 0_1">
    <vt:lpwstr>http://csl.mendeley.com/styles/609840741/apa-6th-edition-2-NODOI-6</vt:lpwstr>
  </property>
  <property fmtid="{D5CDD505-2E9C-101B-9397-08002B2CF9AE}" pid="5" name="Mendeley Recent Style Name 0_1">
    <vt:lpwstr>American Psychological Association 6th edition - NODOI - Michael Harr</vt:lpwstr>
  </property>
  <property fmtid="{D5CDD505-2E9C-101B-9397-08002B2CF9AE}" pid="6" name="Mendeley Recent Style Id 1_1">
    <vt:lpwstr>http://csl.mendeley.com/styles/609840741/apa-6th-edition-2-NODOI-8</vt:lpwstr>
  </property>
  <property fmtid="{D5CDD505-2E9C-101B-9397-08002B2CF9AE}" pid="7" name="Mendeley Recent Style Name 1_1">
    <vt:lpwstr>American Psychological Association 6th edition - NODOI - Michael Harr V2</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http://csl.mendeley.com/styles/609840741/apa-2-Abbreviated-4</vt:lpwstr>
  </property>
  <property fmtid="{D5CDD505-2E9C-101B-9397-08002B2CF9AE}" pid="11" name="Mendeley Recent Style Name 3_1">
    <vt:lpwstr>American Psychological Association 7th edition - MH V3 FINAL MRQ</vt:lpwstr>
  </property>
  <property fmtid="{D5CDD505-2E9C-101B-9397-08002B2CF9AE}" pid="12" name="Mendeley Recent Style Id 4_1">
    <vt:lpwstr>https://csl.mendeley.com/styles/609840741/apa-2-Abbreviated-2</vt:lpwstr>
  </property>
  <property fmtid="{D5CDD505-2E9C-101B-9397-08002B2CF9AE}" pid="13" name="Mendeley Recent Style Name 4_1">
    <vt:lpwstr>American Psychological Association 7th edition - Michael Harr</vt:lpwstr>
  </property>
  <property fmtid="{D5CDD505-2E9C-101B-9397-08002B2CF9AE}" pid="14" name="Mendeley Recent Style Id 5_1">
    <vt:lpwstr>http://csl.mendeley.com/styles/609840741/apa-2-Abbreviated-2</vt:lpwstr>
  </property>
  <property fmtid="{D5CDD505-2E9C-101B-9397-08002B2CF9AE}" pid="15" name="Mendeley Recent Style Name 5_1">
    <vt:lpwstr>American Psychological Association 7th edition - Michael Harr</vt:lpwstr>
  </property>
  <property fmtid="{D5CDD505-2E9C-101B-9397-08002B2CF9AE}" pid="16" name="Mendeley Recent Style Id 6_1">
    <vt:lpwstr>http://www.zotero.org/styles/chicago-annotated-bibliography</vt:lpwstr>
  </property>
  <property fmtid="{D5CDD505-2E9C-101B-9397-08002B2CF9AE}" pid="17" name="Mendeley Recent Style Name 6_1">
    <vt:lpwstr>Chicago Manual of Style 17th edition (note, annotated bibliography)</vt:lpwstr>
  </property>
  <property fmtid="{D5CDD505-2E9C-101B-9397-08002B2CF9AE}" pid="18" name="Mendeley Recent Style Id 7_1">
    <vt:lpwstr>http://www.zotero.org/styles/harvard-cite-them-right-11th-edition</vt:lpwstr>
  </property>
  <property fmtid="{D5CDD505-2E9C-101B-9397-08002B2CF9AE}" pid="19" name="Mendeley Recent Style Name 7_1">
    <vt:lpwstr>Cite Them Right 11th edition - Harvard</vt:lpwstr>
  </property>
  <property fmtid="{D5CDD505-2E9C-101B-9397-08002B2CF9AE}" pid="20" name="Mendeley Recent Style Id 8_1">
    <vt:lpwstr>http://csl.mendeley.com/styles/609840741/HMD-Praxis-MH2-2</vt:lpwstr>
  </property>
  <property fmtid="{D5CDD505-2E9C-101B-9397-08002B2CF9AE}" pid="21" name="Mendeley Recent Style Name 8_1">
    <vt:lpwstr>HMD Praxis der Wirtschaftsinformatik (Deutsch) - MH Adaption</vt:lpwstr>
  </property>
  <property fmtid="{D5CDD505-2E9C-101B-9397-08002B2CF9AE}" pid="22" name="Mendeley Recent Style Id 9_1">
    <vt:lpwstr>http://www.zotero.org/styles/journal-of-the-association-for-information-systems</vt:lpwstr>
  </property>
  <property fmtid="{D5CDD505-2E9C-101B-9397-08002B2CF9AE}" pid="23" name="Mendeley Recent Style Name 9_1">
    <vt:lpwstr>Journal of the Association for Information Systems</vt:lpwstr>
  </property>
  <property fmtid="{D5CDD505-2E9C-101B-9397-08002B2CF9AE}" pid="24" name="Mendeley Document_1">
    <vt:lpwstr>True</vt:lpwstr>
  </property>
  <property fmtid="{D5CDD505-2E9C-101B-9397-08002B2CF9AE}" pid="25" name="Mendeley Unique User Id_1">
    <vt:lpwstr>a25863a3-86c8-322b-9ce6-80ca61d533b9</vt:lpwstr>
  </property>
  <property fmtid="{D5CDD505-2E9C-101B-9397-08002B2CF9AE}" pid="26" name="Mendeley Citation Style_1">
    <vt:lpwstr>https://csl.mendeley.com/styles/609840741/apa-2-Abbreviated-2</vt:lpwstr>
  </property>
</Properties>
</file>