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83DE8" w14:textId="77777777" w:rsidR="00DB50BE" w:rsidRPr="004D3C5C" w:rsidRDefault="00DB50BE" w:rsidP="00DB50BE">
      <w:pPr>
        <w:rPr>
          <w:sz w:val="24"/>
          <w:szCs w:val="24"/>
        </w:rPr>
      </w:pPr>
      <w:r w:rsidRPr="004D3C5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CFFB68D" wp14:editId="790B2DBD">
            <wp:simplePos x="0" y="0"/>
            <wp:positionH relativeFrom="column">
              <wp:posOffset>-858741</wp:posOffset>
            </wp:positionH>
            <wp:positionV relativeFrom="paragraph">
              <wp:posOffset>0</wp:posOffset>
            </wp:positionV>
            <wp:extent cx="7335520" cy="2600960"/>
            <wp:effectExtent l="0" t="0" r="0" b="8890"/>
            <wp:wrapTopAndBottom/>
            <wp:docPr id="154537569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375692" name="Picture 154537569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552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3C5C">
        <w:rPr>
          <w:b/>
          <w:bCs/>
          <w:sz w:val="24"/>
          <w:szCs w:val="24"/>
        </w:rPr>
        <w:t xml:space="preserve">Fig S1 </w:t>
      </w:r>
      <w:r w:rsidRPr="004D3C5C">
        <w:rPr>
          <w:sz w:val="24"/>
          <w:szCs w:val="24"/>
        </w:rPr>
        <w:t>Representative gating strategy to identify HEK293 cells. Live cells were gated by using Hoechst 33342 nucleic acid stain and forward-scatter area (FSC-A). Single cells were gated by FSC-A and height (FSC-H). FSC-A and side-scatter area (SSC-A) were used to gate HEK293 cells</w:t>
      </w:r>
      <w:r w:rsidRPr="004D3C5C">
        <w:rPr>
          <w:sz w:val="24"/>
          <w:szCs w:val="24"/>
        </w:rPr>
        <w:br w:type="page"/>
      </w:r>
    </w:p>
    <w:p w14:paraId="7FABCDB6" w14:textId="77777777" w:rsidR="00DB50BE" w:rsidRPr="004D3C5C" w:rsidRDefault="00DB50BE" w:rsidP="00DB50BE">
      <w:pPr>
        <w:rPr>
          <w:sz w:val="24"/>
          <w:szCs w:val="24"/>
        </w:rPr>
      </w:pPr>
      <w:r w:rsidRPr="004D3C5C">
        <w:rPr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3CE6A8DE" wp14:editId="77E91434">
            <wp:simplePos x="0" y="0"/>
            <wp:positionH relativeFrom="column">
              <wp:posOffset>-768198</wp:posOffset>
            </wp:positionH>
            <wp:positionV relativeFrom="paragraph">
              <wp:posOffset>0</wp:posOffset>
            </wp:positionV>
            <wp:extent cx="7249160" cy="3973830"/>
            <wp:effectExtent l="0" t="0" r="8890" b="7620"/>
            <wp:wrapTopAndBottom/>
            <wp:docPr id="6690243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024341" name="Picture 66902434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9160" cy="397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3C5C">
        <w:rPr>
          <w:b/>
          <w:bCs/>
          <w:sz w:val="24"/>
          <w:szCs w:val="24"/>
        </w:rPr>
        <w:t xml:space="preserve">Fig S2 </w:t>
      </w:r>
      <w:r w:rsidRPr="004D3C5C">
        <w:rPr>
          <w:sz w:val="24"/>
          <w:szCs w:val="24"/>
        </w:rPr>
        <w:t xml:space="preserve">Titration of the anti-human P2X7 mAb (clone 1058613) with mixed HEK293 and HEK-P2X7 </w:t>
      </w:r>
      <w:r w:rsidRPr="00DB50BE">
        <w:rPr>
          <w:sz w:val="24"/>
          <w:szCs w:val="24"/>
        </w:rPr>
        <w:t>cells showed</w:t>
      </w:r>
      <w:r w:rsidRPr="004D3C5C">
        <w:rPr>
          <w:sz w:val="24"/>
          <w:szCs w:val="24"/>
        </w:rPr>
        <w:t xml:space="preserve"> maximal binding at 1 to 2 µg per test. Non-transfected HEK293 and HEK-P2X7 cells were mixed 1:1 and incubated in the absence (FMO) or presence of 0.02 µg, 0.05 µg, 0.1 µg, 0.25 µg, 0.5 µg, 1 µg or 2 µg of the Alexa Fluor 647-conjugated anti-human P2X7 mAb (clone 1058613) and Hoechst 33342 nucleic acid stain and analysed by flow cytometry. (</w:t>
      </w:r>
      <w:r w:rsidRPr="004D3C5C">
        <w:rPr>
          <w:b/>
          <w:bCs/>
          <w:sz w:val="24"/>
          <w:szCs w:val="24"/>
        </w:rPr>
        <w:t>A</w:t>
      </w:r>
      <w:r w:rsidRPr="004D3C5C">
        <w:rPr>
          <w:sz w:val="24"/>
          <w:szCs w:val="24"/>
        </w:rPr>
        <w:t>) The marker was set to ~2% positive cells for each FMO group, with the difference between mAb binding and the corresponding FMO used to determine the percentage of P2X7</w:t>
      </w:r>
      <w:r w:rsidRPr="004D3C5C">
        <w:rPr>
          <w:sz w:val="24"/>
          <w:szCs w:val="24"/>
          <w:vertAlign w:val="superscript"/>
        </w:rPr>
        <w:t>+</w:t>
      </w:r>
      <w:r w:rsidRPr="004D3C5C">
        <w:rPr>
          <w:sz w:val="24"/>
          <w:szCs w:val="24"/>
        </w:rPr>
        <w:t xml:space="preserve"> cells. (</w:t>
      </w:r>
      <w:r w:rsidRPr="004D3C5C">
        <w:rPr>
          <w:b/>
          <w:bCs/>
          <w:sz w:val="24"/>
          <w:szCs w:val="24"/>
        </w:rPr>
        <w:t>B</w:t>
      </w:r>
      <w:r w:rsidRPr="004D3C5C">
        <w:rPr>
          <w:sz w:val="24"/>
          <w:szCs w:val="24"/>
        </w:rPr>
        <w:t>) The difference in MFI between the anti-P2X7 mAb and the FMO was used to determine anti-P2X7 mAb binding to human P2X7. (</w:t>
      </w:r>
      <w:r w:rsidRPr="004D3C5C">
        <w:rPr>
          <w:b/>
          <w:bCs/>
          <w:sz w:val="24"/>
          <w:szCs w:val="24"/>
        </w:rPr>
        <w:t>A</w:t>
      </w:r>
      <w:r w:rsidRPr="004D3C5C">
        <w:rPr>
          <w:sz w:val="24"/>
          <w:szCs w:val="24"/>
        </w:rPr>
        <w:t xml:space="preserve">, </w:t>
      </w:r>
      <w:r w:rsidRPr="004D3C5C">
        <w:rPr>
          <w:b/>
          <w:bCs/>
          <w:sz w:val="24"/>
          <w:szCs w:val="24"/>
        </w:rPr>
        <w:t>B</w:t>
      </w:r>
      <w:r w:rsidRPr="004D3C5C">
        <w:rPr>
          <w:sz w:val="24"/>
          <w:szCs w:val="24"/>
        </w:rPr>
        <w:t>) Results are from one experiment</w:t>
      </w:r>
    </w:p>
    <w:p w14:paraId="47D90B64" w14:textId="0C20D92D" w:rsidR="00721B67" w:rsidRPr="00DB50BE" w:rsidRDefault="00721B67" w:rsidP="00DB50BE"/>
    <w:sectPr w:rsidR="00721B67" w:rsidRPr="00DB50BE" w:rsidSect="00DB50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37A03" w14:textId="77777777" w:rsidR="004A00B4" w:rsidRDefault="004A00B4" w:rsidP="00B91F2F">
      <w:pPr>
        <w:spacing w:after="0" w:line="240" w:lineRule="auto"/>
      </w:pPr>
      <w:r>
        <w:separator/>
      </w:r>
    </w:p>
  </w:endnote>
  <w:endnote w:type="continuationSeparator" w:id="0">
    <w:p w14:paraId="55169AB0" w14:textId="77777777" w:rsidR="004A00B4" w:rsidRDefault="004A00B4" w:rsidP="00B91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4A74E" w14:textId="77777777" w:rsidR="004A00B4" w:rsidRDefault="004A00B4" w:rsidP="00B91F2F">
      <w:pPr>
        <w:spacing w:after="0" w:line="240" w:lineRule="auto"/>
      </w:pPr>
      <w:r>
        <w:separator/>
      </w:r>
    </w:p>
  </w:footnote>
  <w:footnote w:type="continuationSeparator" w:id="0">
    <w:p w14:paraId="77A09910" w14:textId="77777777" w:rsidR="004A00B4" w:rsidRDefault="004A00B4" w:rsidP="00B91F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CCD"/>
    <w:rsid w:val="000008A3"/>
    <w:rsid w:val="00011FA8"/>
    <w:rsid w:val="0001620C"/>
    <w:rsid w:val="00022219"/>
    <w:rsid w:val="000375D3"/>
    <w:rsid w:val="00040994"/>
    <w:rsid w:val="000425E3"/>
    <w:rsid w:val="00054BC1"/>
    <w:rsid w:val="000562BC"/>
    <w:rsid w:val="0006360C"/>
    <w:rsid w:val="00081A7D"/>
    <w:rsid w:val="000966A5"/>
    <w:rsid w:val="000A5EDA"/>
    <w:rsid w:val="000A790F"/>
    <w:rsid w:val="000B371D"/>
    <w:rsid w:val="000C3888"/>
    <w:rsid w:val="000C68E6"/>
    <w:rsid w:val="000C7C23"/>
    <w:rsid w:val="000D0E1B"/>
    <w:rsid w:val="000D2C49"/>
    <w:rsid w:val="000D30BD"/>
    <w:rsid w:val="000D3AE1"/>
    <w:rsid w:val="000E1974"/>
    <w:rsid w:val="000E1FCE"/>
    <w:rsid w:val="000E2D03"/>
    <w:rsid w:val="000F4A37"/>
    <w:rsid w:val="00104C27"/>
    <w:rsid w:val="00110766"/>
    <w:rsid w:val="001151FD"/>
    <w:rsid w:val="001208EA"/>
    <w:rsid w:val="00123125"/>
    <w:rsid w:val="001262C8"/>
    <w:rsid w:val="00133F6F"/>
    <w:rsid w:val="0014488C"/>
    <w:rsid w:val="00152962"/>
    <w:rsid w:val="00153737"/>
    <w:rsid w:val="00156E06"/>
    <w:rsid w:val="00174FD2"/>
    <w:rsid w:val="00177C62"/>
    <w:rsid w:val="001837B2"/>
    <w:rsid w:val="0018478B"/>
    <w:rsid w:val="001A01C1"/>
    <w:rsid w:val="001A1008"/>
    <w:rsid w:val="001A7C5B"/>
    <w:rsid w:val="001B59F1"/>
    <w:rsid w:val="001C28BA"/>
    <w:rsid w:val="001C2A90"/>
    <w:rsid w:val="001C4FB0"/>
    <w:rsid w:val="001D0EE1"/>
    <w:rsid w:val="001D2676"/>
    <w:rsid w:val="001D3CC0"/>
    <w:rsid w:val="001D534A"/>
    <w:rsid w:val="001D6139"/>
    <w:rsid w:val="001E2CBA"/>
    <w:rsid w:val="001F16BB"/>
    <w:rsid w:val="001F580F"/>
    <w:rsid w:val="001F7006"/>
    <w:rsid w:val="00203BD4"/>
    <w:rsid w:val="00206BA2"/>
    <w:rsid w:val="00221F0C"/>
    <w:rsid w:val="00231FAF"/>
    <w:rsid w:val="002344AD"/>
    <w:rsid w:val="0025252E"/>
    <w:rsid w:val="0026004A"/>
    <w:rsid w:val="002601EB"/>
    <w:rsid w:val="00262127"/>
    <w:rsid w:val="00283937"/>
    <w:rsid w:val="00285283"/>
    <w:rsid w:val="00294867"/>
    <w:rsid w:val="00294FF7"/>
    <w:rsid w:val="00295082"/>
    <w:rsid w:val="00295FC7"/>
    <w:rsid w:val="00297346"/>
    <w:rsid w:val="002A0102"/>
    <w:rsid w:val="002A3CEA"/>
    <w:rsid w:val="002B1315"/>
    <w:rsid w:val="002B3363"/>
    <w:rsid w:val="002B4049"/>
    <w:rsid w:val="002B5677"/>
    <w:rsid w:val="002C4D92"/>
    <w:rsid w:val="002C7A33"/>
    <w:rsid w:val="002D5919"/>
    <w:rsid w:val="002F01DF"/>
    <w:rsid w:val="002F07A4"/>
    <w:rsid w:val="002F4943"/>
    <w:rsid w:val="002F4EC3"/>
    <w:rsid w:val="0030236F"/>
    <w:rsid w:val="00307E9E"/>
    <w:rsid w:val="00310C62"/>
    <w:rsid w:val="00312B42"/>
    <w:rsid w:val="003225B6"/>
    <w:rsid w:val="0033272B"/>
    <w:rsid w:val="003367EF"/>
    <w:rsid w:val="00343E97"/>
    <w:rsid w:val="00347591"/>
    <w:rsid w:val="00356D97"/>
    <w:rsid w:val="00367F96"/>
    <w:rsid w:val="003752AD"/>
    <w:rsid w:val="0038017A"/>
    <w:rsid w:val="00387FA5"/>
    <w:rsid w:val="003960F8"/>
    <w:rsid w:val="003A4C9A"/>
    <w:rsid w:val="003B092B"/>
    <w:rsid w:val="003B39B5"/>
    <w:rsid w:val="003C2102"/>
    <w:rsid w:val="003D000A"/>
    <w:rsid w:val="003D6688"/>
    <w:rsid w:val="003E02F5"/>
    <w:rsid w:val="003E7547"/>
    <w:rsid w:val="003F70D9"/>
    <w:rsid w:val="00400BA0"/>
    <w:rsid w:val="004037BE"/>
    <w:rsid w:val="00403A71"/>
    <w:rsid w:val="004068EF"/>
    <w:rsid w:val="00407386"/>
    <w:rsid w:val="004202AD"/>
    <w:rsid w:val="00435944"/>
    <w:rsid w:val="004412E3"/>
    <w:rsid w:val="00446017"/>
    <w:rsid w:val="004550D7"/>
    <w:rsid w:val="0045607B"/>
    <w:rsid w:val="004607AD"/>
    <w:rsid w:val="00461A6F"/>
    <w:rsid w:val="004634A5"/>
    <w:rsid w:val="004720D9"/>
    <w:rsid w:val="004803F9"/>
    <w:rsid w:val="004827B9"/>
    <w:rsid w:val="00484915"/>
    <w:rsid w:val="004850DA"/>
    <w:rsid w:val="00485C93"/>
    <w:rsid w:val="00491687"/>
    <w:rsid w:val="004958A9"/>
    <w:rsid w:val="004A00B4"/>
    <w:rsid w:val="004A2784"/>
    <w:rsid w:val="004B4577"/>
    <w:rsid w:val="004C24AE"/>
    <w:rsid w:val="004D5958"/>
    <w:rsid w:val="004F2719"/>
    <w:rsid w:val="004F30A3"/>
    <w:rsid w:val="004F46AE"/>
    <w:rsid w:val="004F543A"/>
    <w:rsid w:val="004F5EBE"/>
    <w:rsid w:val="0050169F"/>
    <w:rsid w:val="00502AB6"/>
    <w:rsid w:val="005114A8"/>
    <w:rsid w:val="00522748"/>
    <w:rsid w:val="00523919"/>
    <w:rsid w:val="0052414C"/>
    <w:rsid w:val="005260FC"/>
    <w:rsid w:val="00532621"/>
    <w:rsid w:val="00534B0C"/>
    <w:rsid w:val="00536487"/>
    <w:rsid w:val="005432D9"/>
    <w:rsid w:val="0054370A"/>
    <w:rsid w:val="00553BBD"/>
    <w:rsid w:val="00555667"/>
    <w:rsid w:val="00556C12"/>
    <w:rsid w:val="00572528"/>
    <w:rsid w:val="00574383"/>
    <w:rsid w:val="005921B4"/>
    <w:rsid w:val="005A2E1E"/>
    <w:rsid w:val="005A717F"/>
    <w:rsid w:val="005B5A75"/>
    <w:rsid w:val="005C07A4"/>
    <w:rsid w:val="005E188F"/>
    <w:rsid w:val="005E1CC2"/>
    <w:rsid w:val="005E412A"/>
    <w:rsid w:val="005E7A0A"/>
    <w:rsid w:val="005F7106"/>
    <w:rsid w:val="00600E80"/>
    <w:rsid w:val="00607C65"/>
    <w:rsid w:val="00613BB4"/>
    <w:rsid w:val="0061734B"/>
    <w:rsid w:val="006226C7"/>
    <w:rsid w:val="0063081A"/>
    <w:rsid w:val="00630ED2"/>
    <w:rsid w:val="0063397C"/>
    <w:rsid w:val="00636347"/>
    <w:rsid w:val="00641322"/>
    <w:rsid w:val="00641FFF"/>
    <w:rsid w:val="0064245F"/>
    <w:rsid w:val="00656722"/>
    <w:rsid w:val="006603E9"/>
    <w:rsid w:val="00660B9F"/>
    <w:rsid w:val="006827D8"/>
    <w:rsid w:val="00685096"/>
    <w:rsid w:val="006926B2"/>
    <w:rsid w:val="006A1413"/>
    <w:rsid w:val="006A1B37"/>
    <w:rsid w:val="006A4D48"/>
    <w:rsid w:val="006A6DC2"/>
    <w:rsid w:val="006A7CCD"/>
    <w:rsid w:val="006B5E58"/>
    <w:rsid w:val="006C0775"/>
    <w:rsid w:val="006C71B1"/>
    <w:rsid w:val="006C7844"/>
    <w:rsid w:val="006D02ED"/>
    <w:rsid w:val="006E2537"/>
    <w:rsid w:val="006E50B4"/>
    <w:rsid w:val="006E5A89"/>
    <w:rsid w:val="006F726F"/>
    <w:rsid w:val="007054CA"/>
    <w:rsid w:val="007056C4"/>
    <w:rsid w:val="00717E54"/>
    <w:rsid w:val="00721B67"/>
    <w:rsid w:val="00730B21"/>
    <w:rsid w:val="00732FEA"/>
    <w:rsid w:val="007439E4"/>
    <w:rsid w:val="00745255"/>
    <w:rsid w:val="007459C2"/>
    <w:rsid w:val="00755B29"/>
    <w:rsid w:val="00762F3B"/>
    <w:rsid w:val="007758DC"/>
    <w:rsid w:val="00777824"/>
    <w:rsid w:val="007871AA"/>
    <w:rsid w:val="00790353"/>
    <w:rsid w:val="007A4B8C"/>
    <w:rsid w:val="007A5413"/>
    <w:rsid w:val="007A6A1A"/>
    <w:rsid w:val="007B0317"/>
    <w:rsid w:val="007C2AD3"/>
    <w:rsid w:val="007C4772"/>
    <w:rsid w:val="007C7F3E"/>
    <w:rsid w:val="007D1D6C"/>
    <w:rsid w:val="007D664D"/>
    <w:rsid w:val="007E1690"/>
    <w:rsid w:val="007E39DB"/>
    <w:rsid w:val="007E536D"/>
    <w:rsid w:val="007E7ADE"/>
    <w:rsid w:val="007F02A6"/>
    <w:rsid w:val="007F0D4C"/>
    <w:rsid w:val="007F1364"/>
    <w:rsid w:val="007F1FFA"/>
    <w:rsid w:val="007F4822"/>
    <w:rsid w:val="008002CE"/>
    <w:rsid w:val="0080056B"/>
    <w:rsid w:val="00821532"/>
    <w:rsid w:val="00821C35"/>
    <w:rsid w:val="008224CF"/>
    <w:rsid w:val="0082490C"/>
    <w:rsid w:val="00826F52"/>
    <w:rsid w:val="00830FF3"/>
    <w:rsid w:val="0083320E"/>
    <w:rsid w:val="00833644"/>
    <w:rsid w:val="008349E8"/>
    <w:rsid w:val="00834EED"/>
    <w:rsid w:val="00843BE4"/>
    <w:rsid w:val="00855872"/>
    <w:rsid w:val="008565C2"/>
    <w:rsid w:val="00860127"/>
    <w:rsid w:val="008619AF"/>
    <w:rsid w:val="00864106"/>
    <w:rsid w:val="008702C1"/>
    <w:rsid w:val="00880B63"/>
    <w:rsid w:val="008823EB"/>
    <w:rsid w:val="0088720F"/>
    <w:rsid w:val="0088767D"/>
    <w:rsid w:val="00894186"/>
    <w:rsid w:val="00894A56"/>
    <w:rsid w:val="008A24EA"/>
    <w:rsid w:val="008B25F3"/>
    <w:rsid w:val="008B5549"/>
    <w:rsid w:val="008E36FB"/>
    <w:rsid w:val="008F0650"/>
    <w:rsid w:val="008F193C"/>
    <w:rsid w:val="008F1F18"/>
    <w:rsid w:val="008F6435"/>
    <w:rsid w:val="008F7838"/>
    <w:rsid w:val="00921113"/>
    <w:rsid w:val="00923491"/>
    <w:rsid w:val="00924853"/>
    <w:rsid w:val="00925B73"/>
    <w:rsid w:val="00925DED"/>
    <w:rsid w:val="00925EE1"/>
    <w:rsid w:val="009306B3"/>
    <w:rsid w:val="00932CCC"/>
    <w:rsid w:val="00943257"/>
    <w:rsid w:val="0095305E"/>
    <w:rsid w:val="009618FD"/>
    <w:rsid w:val="00964566"/>
    <w:rsid w:val="009750E0"/>
    <w:rsid w:val="009901BE"/>
    <w:rsid w:val="00992F66"/>
    <w:rsid w:val="009A1E91"/>
    <w:rsid w:val="009A6877"/>
    <w:rsid w:val="009A7953"/>
    <w:rsid w:val="009D178B"/>
    <w:rsid w:val="009F631E"/>
    <w:rsid w:val="00A00F7E"/>
    <w:rsid w:val="00A042DB"/>
    <w:rsid w:val="00A10F94"/>
    <w:rsid w:val="00A11DE1"/>
    <w:rsid w:val="00A121E9"/>
    <w:rsid w:val="00A22250"/>
    <w:rsid w:val="00A22309"/>
    <w:rsid w:val="00A22BCC"/>
    <w:rsid w:val="00A23C2C"/>
    <w:rsid w:val="00A27FCF"/>
    <w:rsid w:val="00A30D3C"/>
    <w:rsid w:val="00A41568"/>
    <w:rsid w:val="00A45CAB"/>
    <w:rsid w:val="00A47710"/>
    <w:rsid w:val="00A50205"/>
    <w:rsid w:val="00A55C68"/>
    <w:rsid w:val="00A670C5"/>
    <w:rsid w:val="00A71AA8"/>
    <w:rsid w:val="00A75D40"/>
    <w:rsid w:val="00A84C53"/>
    <w:rsid w:val="00A916D1"/>
    <w:rsid w:val="00A95779"/>
    <w:rsid w:val="00AA0E6A"/>
    <w:rsid w:val="00AB1A7E"/>
    <w:rsid w:val="00AB252F"/>
    <w:rsid w:val="00AD1C87"/>
    <w:rsid w:val="00AD3F7F"/>
    <w:rsid w:val="00AF0917"/>
    <w:rsid w:val="00AF3474"/>
    <w:rsid w:val="00AF5E48"/>
    <w:rsid w:val="00AF6825"/>
    <w:rsid w:val="00B0352F"/>
    <w:rsid w:val="00B078E2"/>
    <w:rsid w:val="00B14506"/>
    <w:rsid w:val="00B25B89"/>
    <w:rsid w:val="00B27695"/>
    <w:rsid w:val="00B30E3A"/>
    <w:rsid w:val="00B33108"/>
    <w:rsid w:val="00B406CE"/>
    <w:rsid w:val="00B43E97"/>
    <w:rsid w:val="00B50B3B"/>
    <w:rsid w:val="00B52D39"/>
    <w:rsid w:val="00B63B6B"/>
    <w:rsid w:val="00B72037"/>
    <w:rsid w:val="00B73212"/>
    <w:rsid w:val="00B776E9"/>
    <w:rsid w:val="00B84AC3"/>
    <w:rsid w:val="00B9181B"/>
    <w:rsid w:val="00B91F2F"/>
    <w:rsid w:val="00BB52CC"/>
    <w:rsid w:val="00BC378B"/>
    <w:rsid w:val="00BE08E0"/>
    <w:rsid w:val="00BF2B11"/>
    <w:rsid w:val="00C07BF3"/>
    <w:rsid w:val="00C107B7"/>
    <w:rsid w:val="00C27ECD"/>
    <w:rsid w:val="00C32289"/>
    <w:rsid w:val="00C33C85"/>
    <w:rsid w:val="00C345CA"/>
    <w:rsid w:val="00C34D17"/>
    <w:rsid w:val="00C4030F"/>
    <w:rsid w:val="00C476C4"/>
    <w:rsid w:val="00C54D5E"/>
    <w:rsid w:val="00C63503"/>
    <w:rsid w:val="00C64D34"/>
    <w:rsid w:val="00C65164"/>
    <w:rsid w:val="00C82366"/>
    <w:rsid w:val="00C8580D"/>
    <w:rsid w:val="00C9220B"/>
    <w:rsid w:val="00C92AE7"/>
    <w:rsid w:val="00C93BF6"/>
    <w:rsid w:val="00CA5FA8"/>
    <w:rsid w:val="00CB08CF"/>
    <w:rsid w:val="00CC51C9"/>
    <w:rsid w:val="00CD5946"/>
    <w:rsid w:val="00CD7DEF"/>
    <w:rsid w:val="00CE31D1"/>
    <w:rsid w:val="00CE39BA"/>
    <w:rsid w:val="00D1003B"/>
    <w:rsid w:val="00D2289D"/>
    <w:rsid w:val="00D23320"/>
    <w:rsid w:val="00D35B7D"/>
    <w:rsid w:val="00D3758A"/>
    <w:rsid w:val="00D41569"/>
    <w:rsid w:val="00D511A5"/>
    <w:rsid w:val="00D6170C"/>
    <w:rsid w:val="00D7414D"/>
    <w:rsid w:val="00D87DF1"/>
    <w:rsid w:val="00D93B11"/>
    <w:rsid w:val="00DA3A8F"/>
    <w:rsid w:val="00DA4FD0"/>
    <w:rsid w:val="00DB0717"/>
    <w:rsid w:val="00DB4C31"/>
    <w:rsid w:val="00DB4D39"/>
    <w:rsid w:val="00DB50BE"/>
    <w:rsid w:val="00DC6187"/>
    <w:rsid w:val="00DC7605"/>
    <w:rsid w:val="00DD18C3"/>
    <w:rsid w:val="00DE3776"/>
    <w:rsid w:val="00DE3DA5"/>
    <w:rsid w:val="00E01038"/>
    <w:rsid w:val="00E01C23"/>
    <w:rsid w:val="00E0643D"/>
    <w:rsid w:val="00E13874"/>
    <w:rsid w:val="00E13C57"/>
    <w:rsid w:val="00E30524"/>
    <w:rsid w:val="00E462A0"/>
    <w:rsid w:val="00E51093"/>
    <w:rsid w:val="00E5117D"/>
    <w:rsid w:val="00E5329D"/>
    <w:rsid w:val="00E61041"/>
    <w:rsid w:val="00E665CB"/>
    <w:rsid w:val="00E76A92"/>
    <w:rsid w:val="00E81A5A"/>
    <w:rsid w:val="00E82664"/>
    <w:rsid w:val="00E83998"/>
    <w:rsid w:val="00E9566B"/>
    <w:rsid w:val="00EA43D7"/>
    <w:rsid w:val="00EA4526"/>
    <w:rsid w:val="00EB0378"/>
    <w:rsid w:val="00EB63D8"/>
    <w:rsid w:val="00EB76E5"/>
    <w:rsid w:val="00EC2742"/>
    <w:rsid w:val="00EF0C48"/>
    <w:rsid w:val="00EF14A5"/>
    <w:rsid w:val="00EF6653"/>
    <w:rsid w:val="00F01A03"/>
    <w:rsid w:val="00F1468C"/>
    <w:rsid w:val="00F14C85"/>
    <w:rsid w:val="00F15204"/>
    <w:rsid w:val="00F20B0A"/>
    <w:rsid w:val="00F25753"/>
    <w:rsid w:val="00F32833"/>
    <w:rsid w:val="00F35A46"/>
    <w:rsid w:val="00F35B19"/>
    <w:rsid w:val="00F4370B"/>
    <w:rsid w:val="00F56A5F"/>
    <w:rsid w:val="00F76DE6"/>
    <w:rsid w:val="00F8518F"/>
    <w:rsid w:val="00F86B43"/>
    <w:rsid w:val="00F87033"/>
    <w:rsid w:val="00F91CFB"/>
    <w:rsid w:val="00F91D15"/>
    <w:rsid w:val="00F925AB"/>
    <w:rsid w:val="00FC1E73"/>
    <w:rsid w:val="00FC69E1"/>
    <w:rsid w:val="00FD2263"/>
    <w:rsid w:val="00FD4367"/>
    <w:rsid w:val="00FD6027"/>
    <w:rsid w:val="00FE04A8"/>
    <w:rsid w:val="00FE23A2"/>
    <w:rsid w:val="00FE4459"/>
    <w:rsid w:val="00FE6B07"/>
    <w:rsid w:val="00FF529F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68DD0B"/>
  <w14:defaultImageDpi w14:val="32767"/>
  <w15:chartTrackingRefBased/>
  <w15:docId w15:val="{7ECA4889-1A7A-43D2-8CB8-A6D91F9B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6AE"/>
    <w:pPr>
      <w:spacing w:line="360" w:lineRule="auto"/>
      <w:jc w:val="both"/>
    </w:pPr>
    <w:rPr>
      <w:rFonts w:ascii="Times New Roman" w:hAnsi="Times New Roman" w:cs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7CCD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CC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CCD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CCD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CCD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CCD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CCD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CCD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CCD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CC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CC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CCD"/>
    <w:rPr>
      <w:rFonts w:eastAsiaTheme="majorEastAsia" w:cstheme="majorBidi"/>
      <w:color w:val="0F4761" w:themeColor="accent1" w:themeShade="BF"/>
      <w:sz w:val="28"/>
      <w:szCs w:val="28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CCD"/>
    <w:rPr>
      <w:rFonts w:eastAsiaTheme="majorEastAsia" w:cstheme="majorBidi"/>
      <w:i/>
      <w:iCs/>
      <w:color w:val="0F4761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CCD"/>
    <w:rPr>
      <w:rFonts w:eastAsiaTheme="majorEastAsia" w:cstheme="majorBidi"/>
      <w:color w:val="0F4761" w:themeColor="accent1" w:themeShade="B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CCD"/>
    <w:rPr>
      <w:rFonts w:eastAsiaTheme="majorEastAsia" w:cstheme="majorBidi"/>
      <w:i/>
      <w:iCs/>
      <w:color w:val="595959" w:themeColor="text1" w:themeTint="A6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CCD"/>
    <w:rPr>
      <w:rFonts w:eastAsiaTheme="majorEastAsia" w:cstheme="majorBidi"/>
      <w:color w:val="595959" w:themeColor="text1" w:themeTint="A6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CCD"/>
    <w:rPr>
      <w:rFonts w:eastAsiaTheme="majorEastAsia" w:cstheme="majorBidi"/>
      <w:i/>
      <w:iCs/>
      <w:color w:val="272727" w:themeColor="text1" w:themeTint="D8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CCD"/>
    <w:rPr>
      <w:rFonts w:eastAsiaTheme="majorEastAsia" w:cstheme="majorBidi"/>
      <w:color w:val="272727" w:themeColor="text1" w:themeTint="D8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6A7CC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CCD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CCD"/>
    <w:pPr>
      <w:numPr>
        <w:ilvl w:val="1"/>
      </w:numPr>
      <w:spacing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7CCD"/>
    <w:rPr>
      <w:rFonts w:eastAsiaTheme="majorEastAsia" w:cstheme="majorBidi"/>
      <w:color w:val="595959" w:themeColor="text1" w:themeTint="A6"/>
      <w:spacing w:val="15"/>
      <w:sz w:val="28"/>
      <w:szCs w:val="28"/>
      <w:lang w:val="en-AU"/>
    </w:rPr>
  </w:style>
  <w:style w:type="paragraph" w:styleId="Quote">
    <w:name w:val="Quote"/>
    <w:basedOn w:val="Normal"/>
    <w:next w:val="Normal"/>
    <w:link w:val="QuoteChar"/>
    <w:uiPriority w:val="29"/>
    <w:qFormat/>
    <w:rsid w:val="006A7CCD"/>
    <w:pPr>
      <w:spacing w:before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7CCD"/>
    <w:rPr>
      <w:i/>
      <w:iCs/>
      <w:color w:val="404040" w:themeColor="text1" w:themeTint="BF"/>
      <w:lang w:val="en-AU"/>
    </w:rPr>
  </w:style>
  <w:style w:type="paragraph" w:styleId="ListParagraph">
    <w:name w:val="List Paragraph"/>
    <w:basedOn w:val="Normal"/>
    <w:uiPriority w:val="34"/>
    <w:qFormat/>
    <w:rsid w:val="006A7CCD"/>
    <w:pPr>
      <w:spacing w:line="259" w:lineRule="auto"/>
      <w:ind w:left="720"/>
      <w:contextualSpacing/>
      <w:jc w:val="left"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A7C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CCD"/>
    <w:rPr>
      <w:i/>
      <w:iCs/>
      <w:color w:val="0F4761" w:themeColor="accent1" w:themeShade="BF"/>
      <w:lang w:val="en-AU"/>
    </w:rPr>
  </w:style>
  <w:style w:type="character" w:styleId="IntenseReference">
    <w:name w:val="Intense Reference"/>
    <w:basedOn w:val="DefaultParagraphFont"/>
    <w:uiPriority w:val="32"/>
    <w:qFormat/>
    <w:rsid w:val="006A7CC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225B6"/>
    <w:pPr>
      <w:spacing w:before="100" w:beforeAutospacing="1" w:after="100" w:afterAutospacing="1" w:line="240" w:lineRule="auto"/>
      <w:jc w:val="left"/>
    </w:pPr>
    <w:rPr>
      <w:rFonts w:eastAsia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9566B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91F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F2F"/>
    <w:rPr>
      <w:rFonts w:ascii="Times New Roman" w:hAnsi="Times New Roman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B91F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F2F"/>
    <w:rPr>
      <w:rFonts w:ascii="Times New Roman" w:hAnsi="Times New Roman" w:cs="Times New Roman"/>
      <w:lang w:val="en-AU"/>
    </w:rPr>
  </w:style>
  <w:style w:type="table" w:styleId="PlainTable2">
    <w:name w:val="Plain Table 2"/>
    <w:basedOn w:val="TableNormal"/>
    <w:uiPriority w:val="42"/>
    <w:rsid w:val="0052414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6567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722"/>
    <w:rPr>
      <w:rFonts w:ascii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7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722"/>
    <w:rPr>
      <w:rFonts w:ascii="Times New Roman" w:hAnsi="Times New Roman" w:cs="Times New Roman"/>
      <w:b/>
      <w:bCs/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435944"/>
    <w:pPr>
      <w:spacing w:after="0" w:line="240" w:lineRule="auto"/>
    </w:pPr>
    <w:rPr>
      <w:rFonts w:ascii="Times New Roman" w:hAnsi="Times New Roman" w:cs="Times New Roman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Koning</dc:creator>
  <cp:keywords/>
  <dc:description/>
  <cp:lastModifiedBy>Leon Koning</cp:lastModifiedBy>
  <cp:revision>9</cp:revision>
  <cp:lastPrinted>2026-05-03T16:37:00Z</cp:lastPrinted>
  <dcterms:created xsi:type="dcterms:W3CDTF">2026-05-28T08:34:00Z</dcterms:created>
  <dcterms:modified xsi:type="dcterms:W3CDTF">2026-07-22T02:46:00Z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6e9d7c33-92c1-4254-b482-360bdb47ab39</vt:lpwstr>
  </property>
</Properties>
</file>